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3D9" w14:textId="77777777" w:rsidR="009475F2" w:rsidRDefault="009475F2" w:rsidP="009475F2">
      <w:pPr>
        <w:pStyle w:val="STPR2Title2"/>
        <w:spacing w:after="240"/>
        <w:rPr>
          <w:lang w:val="en-GB"/>
        </w:rPr>
      </w:pPr>
      <w:bookmarkStart w:id="0" w:name="_Hlk100159834"/>
      <w:bookmarkEnd w:id="0"/>
    </w:p>
    <w:p w14:paraId="740C1736" w14:textId="77777777" w:rsidR="009475F2" w:rsidRDefault="009475F2" w:rsidP="009475F2">
      <w:pPr>
        <w:pStyle w:val="STPR2Title2"/>
        <w:spacing w:after="240"/>
        <w:rPr>
          <w:lang w:val="en-GB"/>
        </w:rPr>
      </w:pPr>
    </w:p>
    <w:p w14:paraId="0EE37958" w14:textId="77777777" w:rsidR="009475F2" w:rsidRDefault="009475F2" w:rsidP="009475F2">
      <w:pPr>
        <w:pStyle w:val="STPR2Title2"/>
        <w:spacing w:after="240"/>
        <w:rPr>
          <w:lang w:val="en-GB"/>
        </w:rPr>
      </w:pPr>
    </w:p>
    <w:p w14:paraId="47B2DFCA" w14:textId="77777777" w:rsidR="009475F2" w:rsidRDefault="009475F2" w:rsidP="009475F2">
      <w:pPr>
        <w:pStyle w:val="STPR2Title2"/>
        <w:spacing w:after="240"/>
        <w:rPr>
          <w:lang w:val="en-GB"/>
        </w:rPr>
      </w:pPr>
    </w:p>
    <w:p w14:paraId="3440126A" w14:textId="77777777" w:rsidR="009475F2" w:rsidRDefault="009475F2" w:rsidP="009475F2">
      <w:pPr>
        <w:pStyle w:val="STPR2Title2"/>
        <w:spacing w:after="240"/>
        <w:rPr>
          <w:lang w:val="en-GB"/>
        </w:rPr>
      </w:pPr>
    </w:p>
    <w:p w14:paraId="190F31AB" w14:textId="77777777" w:rsidR="009475F2" w:rsidRDefault="009475F2" w:rsidP="009475F2">
      <w:pPr>
        <w:pStyle w:val="STPR2Title2"/>
        <w:spacing w:after="240"/>
        <w:rPr>
          <w:lang w:val="en-GB"/>
        </w:rPr>
      </w:pPr>
    </w:p>
    <w:p w14:paraId="76F139B2" w14:textId="77777777" w:rsidR="009475F2" w:rsidRDefault="009475F2" w:rsidP="009475F2">
      <w:pPr>
        <w:pStyle w:val="STPR2Title2"/>
        <w:spacing w:after="240"/>
        <w:rPr>
          <w:lang w:val="en-GB"/>
        </w:rPr>
      </w:pPr>
    </w:p>
    <w:p w14:paraId="1F3F53EF" w14:textId="77777777" w:rsidR="009475F2" w:rsidRDefault="009475F2" w:rsidP="009475F2">
      <w:pPr>
        <w:pStyle w:val="STPR2Title2"/>
        <w:spacing w:after="240"/>
        <w:rPr>
          <w:lang w:val="en-GB"/>
        </w:rPr>
      </w:pPr>
    </w:p>
    <w:p w14:paraId="5B83AB73" w14:textId="77777777" w:rsidR="009475F2" w:rsidRDefault="009475F2" w:rsidP="009475F2">
      <w:pPr>
        <w:pStyle w:val="STPR2Title2"/>
        <w:spacing w:after="240"/>
        <w:rPr>
          <w:lang w:val="en-GB"/>
        </w:rPr>
      </w:pPr>
    </w:p>
    <w:p w14:paraId="65553A62" w14:textId="77777777" w:rsidR="009475F2" w:rsidRDefault="009475F2" w:rsidP="009475F2">
      <w:pPr>
        <w:pStyle w:val="STPR2Title2"/>
        <w:spacing w:after="240"/>
        <w:rPr>
          <w:lang w:val="en-GB"/>
        </w:rPr>
      </w:pPr>
    </w:p>
    <w:p w14:paraId="11ADB91E" w14:textId="77777777" w:rsidR="009475F2" w:rsidRDefault="009475F2" w:rsidP="009475F2">
      <w:pPr>
        <w:pStyle w:val="STPR2Title2"/>
        <w:spacing w:after="240"/>
        <w:rPr>
          <w:lang w:val="en-GB"/>
        </w:rPr>
      </w:pPr>
    </w:p>
    <w:p w14:paraId="50A35C82" w14:textId="77777777" w:rsidR="009475F2" w:rsidRDefault="009475F2" w:rsidP="009475F2">
      <w:pPr>
        <w:pStyle w:val="STPR2Title2"/>
        <w:spacing w:after="240"/>
        <w:rPr>
          <w:lang w:val="en-GB"/>
        </w:rPr>
      </w:pPr>
    </w:p>
    <w:p w14:paraId="2620D24D" w14:textId="77777777" w:rsidR="009475F2" w:rsidRDefault="009475F2" w:rsidP="009475F2">
      <w:pPr>
        <w:pStyle w:val="STPR2Title2"/>
        <w:spacing w:after="240"/>
        <w:rPr>
          <w:lang w:val="en-GB"/>
        </w:rPr>
      </w:pPr>
    </w:p>
    <w:p w14:paraId="54309D1A" w14:textId="77777777" w:rsidR="009475F2" w:rsidRDefault="009475F2" w:rsidP="009475F2">
      <w:pPr>
        <w:pStyle w:val="STPR2Title2"/>
        <w:spacing w:after="240"/>
        <w:rPr>
          <w:lang w:val="en-GB"/>
        </w:rPr>
      </w:pPr>
    </w:p>
    <w:p w14:paraId="6807D312" w14:textId="77777777" w:rsidR="009475F2" w:rsidRDefault="009475F2" w:rsidP="009475F2">
      <w:pPr>
        <w:pStyle w:val="STPR2Title2"/>
        <w:spacing w:after="240"/>
        <w:rPr>
          <w:lang w:val="en-GB"/>
        </w:rPr>
      </w:pPr>
    </w:p>
    <w:p w14:paraId="0F395792" w14:textId="77777777" w:rsidR="009475F2" w:rsidRDefault="009475F2" w:rsidP="009475F2">
      <w:pPr>
        <w:pStyle w:val="STPR2Title2"/>
        <w:spacing w:after="240"/>
        <w:rPr>
          <w:lang w:val="en-GB"/>
        </w:rPr>
      </w:pPr>
    </w:p>
    <w:p w14:paraId="25E14373" w14:textId="77777777" w:rsidR="009475F2" w:rsidRDefault="009475F2" w:rsidP="009475F2">
      <w:pPr>
        <w:pStyle w:val="STPR2Title2"/>
        <w:spacing w:after="240"/>
        <w:rPr>
          <w:lang w:val="en-GB"/>
        </w:rPr>
      </w:pPr>
    </w:p>
    <w:p w14:paraId="4DE54A39" w14:textId="77777777" w:rsidR="009475F2" w:rsidRDefault="009475F2" w:rsidP="009475F2">
      <w:pPr>
        <w:pStyle w:val="STPR2Title3"/>
        <w:rPr>
          <w:sz w:val="36"/>
          <w:szCs w:val="36"/>
          <w:lang w:val="en-GB"/>
        </w:rPr>
      </w:pPr>
    </w:p>
    <w:p w14:paraId="789743F4" w14:textId="77777777" w:rsidR="00082CAC" w:rsidRPr="00614954" w:rsidRDefault="00082CAC" w:rsidP="00082CAC">
      <w:pPr>
        <w:pStyle w:val="STPR2Title3"/>
        <w:rPr>
          <w:lang w:val="en-GB"/>
        </w:rPr>
      </w:pPr>
      <w:r w:rsidRPr="00130317">
        <w:rPr>
          <w:sz w:val="36"/>
          <w:szCs w:val="36"/>
          <w:lang w:val="en-GB"/>
        </w:rPr>
        <w:t>Appendix I: Recommendation</w:t>
      </w:r>
      <w:r w:rsidRPr="00614954">
        <w:rPr>
          <w:sz w:val="36"/>
          <w:szCs w:val="36"/>
          <w:lang w:val="en-GB"/>
        </w:rPr>
        <w:t xml:space="preserve"> Appraisal Summary Tables</w:t>
      </w:r>
    </w:p>
    <w:p w14:paraId="47C99F1D" w14:textId="77777777" w:rsidR="009475F2" w:rsidRPr="00614954" w:rsidRDefault="009475F2" w:rsidP="009475F2">
      <w:pPr>
        <w:pStyle w:val="STPR2Title3"/>
        <w:rPr>
          <w:lang w:val="en-GB"/>
        </w:rPr>
      </w:pPr>
    </w:p>
    <w:p w14:paraId="1CE9FDC5" w14:textId="7153A706" w:rsidR="009475F2" w:rsidRPr="00E645D5" w:rsidRDefault="00082CAC" w:rsidP="009475F2">
      <w:pPr>
        <w:pStyle w:val="STPR2Title3"/>
        <w:rPr>
          <w:lang w:val="en-GB"/>
        </w:rPr>
        <w:sectPr w:rsidR="009475F2" w:rsidRPr="00E645D5" w:rsidSect="00743800">
          <w:headerReference w:type="default" r:id="rId11"/>
          <w:pgSz w:w="11906" w:h="16838" w:code="9"/>
          <w:pgMar w:top="1701" w:right="1138" w:bottom="1138" w:left="1138" w:header="454" w:footer="567" w:gutter="0"/>
          <w:cols w:space="720"/>
          <w:noEndnote/>
          <w:docGrid w:linePitch="299"/>
        </w:sectPr>
      </w:pPr>
      <w:r>
        <w:rPr>
          <w:lang w:val="en-GB"/>
        </w:rPr>
        <w:t>December 202</w:t>
      </w:r>
      <w:r w:rsidR="00A330D0">
        <w:rPr>
          <w:lang w:val="en-GB"/>
        </w:rPr>
        <w:t>2</w:t>
      </w:r>
    </w:p>
    <w:p w14:paraId="45FF28EC" w14:textId="00EA62F4" w:rsidR="009475F2" w:rsidRPr="00E645D5" w:rsidRDefault="009475F2" w:rsidP="009475F2">
      <w:pPr>
        <w:pStyle w:val="STPR2Heading1"/>
        <w:rPr>
          <w:lang w:val="en-GB"/>
        </w:rPr>
      </w:pPr>
      <w:r>
        <w:rPr>
          <w:lang w:val="en-GB"/>
        </w:rPr>
        <w:lastRenderedPageBreak/>
        <w:t>Detailed Appraisal</w:t>
      </w:r>
      <w:r w:rsidR="00143C90">
        <w:rPr>
          <w:lang w:val="en-GB"/>
        </w:rPr>
        <w:t xml:space="preserve"> Summary</w:t>
      </w:r>
    </w:p>
    <w:p w14:paraId="0C9DF289" w14:textId="3B34951A" w:rsidR="00BA13FB" w:rsidRPr="00BA13FB" w:rsidRDefault="00BA13FB" w:rsidP="00BA13FB">
      <w:pPr>
        <w:pStyle w:val="STPR2BodyText"/>
        <w:pBdr>
          <w:top w:val="single" w:sz="4" w:space="1" w:color="auto"/>
          <w:left w:val="single" w:sz="4" w:space="4" w:color="auto"/>
          <w:bottom w:val="single" w:sz="4" w:space="1" w:color="auto"/>
          <w:right w:val="single" w:sz="4" w:space="4" w:color="auto"/>
        </w:pBdr>
        <w:shd w:val="clear" w:color="auto" w:fill="D9D9D9"/>
        <w:rPr>
          <w:rFonts w:eastAsiaTheme="minorHAnsi"/>
          <w:color w:val="auto"/>
          <w:lang w:eastAsia="en-US"/>
        </w:rPr>
      </w:pPr>
      <w:bookmarkStart w:id="1" w:name="_Toc96083512"/>
      <w:bookmarkStart w:id="2" w:name="_Hlk96066077"/>
      <w:r>
        <w:rPr>
          <w:b/>
          <w:bCs/>
          <w:lang w:eastAsia="en-US"/>
        </w:rPr>
        <w:t>An ‘Appendix I: Recommendation Appraisal Summary Tables (ASTs) Explanatory Note’ accompanies this AST.</w:t>
      </w:r>
    </w:p>
    <w:p w14:paraId="68D1BCF3" w14:textId="154ED715" w:rsidR="009475F2" w:rsidRDefault="009475F2" w:rsidP="009475F2">
      <w:pPr>
        <w:pStyle w:val="STPR2Heading2"/>
        <w:numPr>
          <w:ilvl w:val="1"/>
          <w:numId w:val="2"/>
        </w:numPr>
        <w:ind w:left="426"/>
      </w:pPr>
      <w:r>
        <w:t xml:space="preserve">Recommendation </w:t>
      </w:r>
      <w:r w:rsidR="005B62AF" w:rsidRPr="005B62AF">
        <w:t xml:space="preserve">36 – Strategy for improving rest and welfare facilities for </w:t>
      </w:r>
      <w:proofErr w:type="spellStart"/>
      <w:r w:rsidR="005B62AF" w:rsidRPr="005B62AF">
        <w:t>hauliers</w:t>
      </w:r>
      <w:proofErr w:type="spellEnd"/>
    </w:p>
    <w:p w14:paraId="141C1118" w14:textId="254E3EFB" w:rsidR="00EA0E6F" w:rsidRPr="00EA0E6F" w:rsidRDefault="00143C90" w:rsidP="00E63B9C">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Recommendation </w:t>
      </w:r>
      <w:r w:rsidR="005B62AF">
        <w:rPr>
          <w:b/>
          <w:bCs/>
        </w:rPr>
        <w:t>Description</w:t>
      </w:r>
    </w:p>
    <w:p w14:paraId="388A72B3" w14:textId="54136988" w:rsidR="0024703C" w:rsidRDefault="0024703C" w:rsidP="00E63B9C">
      <w:pPr>
        <w:pStyle w:val="STPR2BodyText"/>
        <w:pBdr>
          <w:top w:val="single" w:sz="4" w:space="1" w:color="auto"/>
          <w:left w:val="single" w:sz="4" w:space="4" w:color="auto"/>
          <w:bottom w:val="single" w:sz="4" w:space="1" w:color="auto"/>
          <w:right w:val="single" w:sz="4" w:space="4" w:color="auto"/>
        </w:pBdr>
      </w:pPr>
      <w:r>
        <w:t xml:space="preserve">This recommendation aims to provide a strategy for improving roadside facilities within Scotland, boosting driver welfare and tackling the effects of the driver shortages. </w:t>
      </w:r>
    </w:p>
    <w:p w14:paraId="0F32A50A" w14:textId="4195BAE7" w:rsidR="0024703C" w:rsidRDefault="00836287" w:rsidP="00E63B9C">
      <w:pPr>
        <w:pStyle w:val="STPR2BodyText"/>
        <w:pBdr>
          <w:top w:val="single" w:sz="4" w:space="1" w:color="auto"/>
          <w:left w:val="single" w:sz="4" w:space="4" w:color="auto"/>
          <w:bottom w:val="single" w:sz="4" w:space="1" w:color="auto"/>
          <w:right w:val="single" w:sz="4" w:space="4" w:color="auto"/>
        </w:pBdr>
      </w:pPr>
      <w:r>
        <w:t xml:space="preserve">Across Europe, the average age of drivers is increasing, and the </w:t>
      </w:r>
      <w:hyperlink r:id="rId12" w:history="1">
        <w:r w:rsidRPr="00F376A1">
          <w:rPr>
            <w:rStyle w:val="Hyperlink"/>
          </w:rPr>
          <w:t>HGV driver market is struggling to attract workers to the industry, with long working hours, inadequate driver facilities</w:t>
        </w:r>
        <w:r w:rsidR="00586C7C" w:rsidRPr="00F376A1">
          <w:rPr>
            <w:rStyle w:val="Hyperlink"/>
          </w:rPr>
          <w:t>,</w:t>
        </w:r>
        <w:r w:rsidRPr="00F376A1">
          <w:rPr>
            <w:rStyle w:val="Hyperlink"/>
          </w:rPr>
          <w:t xml:space="preserve"> and safety </w:t>
        </w:r>
        <w:r w:rsidR="00586C7C" w:rsidRPr="00F376A1">
          <w:rPr>
            <w:rStyle w:val="Hyperlink"/>
          </w:rPr>
          <w:t>and</w:t>
        </w:r>
        <w:r w:rsidRPr="00F376A1">
          <w:rPr>
            <w:rStyle w:val="Hyperlink"/>
          </w:rPr>
          <w:t xml:space="preserve"> security cited as key issues</w:t>
        </w:r>
      </w:hyperlink>
      <w:r>
        <w:t xml:space="preserve">. This challenge has been further exacerbated by a </w:t>
      </w:r>
      <w:hyperlink r:id="rId13" w:history="1">
        <w:r w:rsidRPr="00E4595D">
          <w:rPr>
            <w:rStyle w:val="Hyperlink"/>
          </w:rPr>
          <w:t>reduction in the number of EU-national drivers operating within the UK post-Brexit</w:t>
        </w:r>
      </w:hyperlink>
      <w:r>
        <w:t xml:space="preserve">, as well as the </w:t>
      </w:r>
      <w:hyperlink r:id="rId14" w:history="1">
        <w:r w:rsidRPr="007D064F">
          <w:rPr>
            <w:rStyle w:val="Hyperlink"/>
          </w:rPr>
          <w:t>suspension of HGV driver tests during the COVID-19 pan</w:t>
        </w:r>
        <w:r w:rsidR="0024703C" w:rsidRPr="007D064F">
          <w:rPr>
            <w:rStyle w:val="Hyperlink"/>
          </w:rPr>
          <w:t>demic</w:t>
        </w:r>
      </w:hyperlink>
      <w:r w:rsidR="0024703C">
        <w:t>. National media attention was brought to this issue in 2021, as the UK suffered from a shortage of between 60,000 to 100,000 drivers.</w:t>
      </w:r>
    </w:p>
    <w:p w14:paraId="5C8641EE" w14:textId="55102DE4" w:rsidR="0024703C" w:rsidRDefault="0024703C" w:rsidP="00E63B9C">
      <w:pPr>
        <w:pStyle w:val="STPR2BodyText"/>
        <w:pBdr>
          <w:top w:val="single" w:sz="4" w:space="1" w:color="auto"/>
          <w:left w:val="single" w:sz="4" w:space="4" w:color="auto"/>
          <w:bottom w:val="single" w:sz="4" w:space="1" w:color="auto"/>
          <w:right w:val="single" w:sz="4" w:space="4" w:color="auto"/>
        </w:pBdr>
      </w:pPr>
      <w:r>
        <w:t>The r</w:t>
      </w:r>
      <w:r w:rsidRPr="0024703C">
        <w:t>oad haulage</w:t>
      </w:r>
      <w:r>
        <w:t xml:space="preserve"> sector</w:t>
      </w:r>
      <w:r w:rsidRPr="0024703C">
        <w:t xml:space="preserve"> is a </w:t>
      </w:r>
      <w:r w:rsidR="55A84934" w:rsidRPr="0024703C">
        <w:t xml:space="preserve">critical </w:t>
      </w:r>
      <w:r w:rsidRPr="0024703C">
        <w:t>part of the Scottish supply chain</w:t>
      </w:r>
      <w:r>
        <w:t>, and s</w:t>
      </w:r>
      <w:r w:rsidRPr="0024703C">
        <w:t xml:space="preserve">everal studies have highlighted the value of freight on Scotland’s key trade routes, </w:t>
      </w:r>
      <w:hyperlink r:id="rId15" w:history="1">
        <w:r w:rsidRPr="00667165">
          <w:rPr>
            <w:rStyle w:val="Hyperlink"/>
          </w:rPr>
          <w:t>with the A9 for example carrying £19 billion worth of goods per annum</w:t>
        </w:r>
      </w:hyperlink>
      <w:r w:rsidRPr="0024703C">
        <w:t>.</w:t>
      </w:r>
      <w:r>
        <w:t xml:space="preserve"> It is therefore vital to the Scottish economy that a strategy is implemented to improve driver facilities and attract more drivers to the sector.</w:t>
      </w:r>
    </w:p>
    <w:p w14:paraId="56586337" w14:textId="29916BE0" w:rsidR="0024703C" w:rsidRDefault="0024703C" w:rsidP="00E63B9C">
      <w:pPr>
        <w:pStyle w:val="STPR2BodyText"/>
        <w:pBdr>
          <w:top w:val="single" w:sz="4" w:space="1" w:color="auto"/>
          <w:left w:val="single" w:sz="4" w:space="4" w:color="auto"/>
          <w:bottom w:val="single" w:sz="4" w:space="1" w:color="auto"/>
          <w:right w:val="single" w:sz="4" w:space="4" w:color="auto"/>
        </w:pBdr>
      </w:pPr>
      <w:r>
        <w:t xml:space="preserve">This recommendation initially outlines the need for a review of current National Freight Parking/rest areas, with a view to develop more safe, secure, accessible and inclusive facilities across Scotland. </w:t>
      </w:r>
      <w:r w:rsidR="00DF220F">
        <w:t xml:space="preserve">This </w:t>
      </w:r>
      <w:r w:rsidR="00A75CE6">
        <w:t>would</w:t>
      </w:r>
      <w:r w:rsidR="00DF220F">
        <w:t xml:space="preserve"> inform long-term investment in driver welfare infrastructure.</w:t>
      </w:r>
      <w:r w:rsidR="00AE14E9">
        <w:t xml:space="preserve"> </w:t>
      </w:r>
      <w:r w:rsidR="080761EF">
        <w:t xml:space="preserve">Alongside </w:t>
      </w:r>
      <w:r w:rsidR="2F9E9B80">
        <w:t xml:space="preserve">this </w:t>
      </w:r>
      <w:r w:rsidR="080761EF">
        <w:t xml:space="preserve">recommendation there </w:t>
      </w:r>
      <w:r w:rsidR="00A75CE6">
        <w:t>would</w:t>
      </w:r>
      <w:r w:rsidR="080761EF">
        <w:t xml:space="preserve"> be close integration with Recommendation 28 – </w:t>
      </w:r>
      <w:r w:rsidR="7D3BC41F">
        <w:t xml:space="preserve">to inform </w:t>
      </w:r>
      <w:r w:rsidR="080761EF">
        <w:t>the delivery of an alternative fuel infrastructure netw</w:t>
      </w:r>
      <w:r w:rsidR="508C554D">
        <w:t xml:space="preserve">ork where co-location of alternative fuelling with </w:t>
      </w:r>
      <w:r w:rsidR="13D022D1">
        <w:t>l</w:t>
      </w:r>
      <w:r w:rsidR="508C554D">
        <w:t xml:space="preserve">orry rest and welfare facilities may be appropriate and in the delivery of Recommendation 27 – the strategic net zero freight and logistics network. </w:t>
      </w:r>
    </w:p>
    <w:p w14:paraId="412B2498" w14:textId="77777777" w:rsidR="009475F2" w:rsidRDefault="009475F2">
      <w:pPr>
        <w:pStyle w:val="STPR2Heading2"/>
        <w:numPr>
          <w:ilvl w:val="1"/>
          <w:numId w:val="2"/>
        </w:numPr>
        <w:ind w:left="426"/>
      </w:pPr>
      <w:r>
        <w:t>Relevance</w:t>
      </w:r>
    </w:p>
    <w:p w14:paraId="670C21CC" w14:textId="63CA15E2" w:rsidR="00C61E04" w:rsidRDefault="003853B9" w:rsidP="00E63B9C">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Relevant </w:t>
      </w:r>
      <w:r w:rsidR="0071291C">
        <w:rPr>
          <w:b/>
          <w:bCs/>
        </w:rPr>
        <w:t>across Scotland</w:t>
      </w:r>
    </w:p>
    <w:p w14:paraId="2F27B249" w14:textId="4A8B3DE3" w:rsidR="009475F2" w:rsidRPr="00E07DDB" w:rsidRDefault="00E07DDB" w:rsidP="00E63B9C">
      <w:pPr>
        <w:pStyle w:val="STPR2BodyText"/>
        <w:pBdr>
          <w:top w:val="single" w:sz="4" w:space="1" w:color="auto"/>
          <w:left w:val="single" w:sz="4" w:space="4" w:color="auto"/>
          <w:bottom w:val="single" w:sz="4" w:space="1" w:color="auto"/>
          <w:right w:val="single" w:sz="4" w:space="4" w:color="auto"/>
        </w:pBdr>
        <w:rPr>
          <w:color w:val="auto"/>
        </w:rPr>
      </w:pPr>
      <w:r w:rsidRPr="00E07DDB">
        <w:rPr>
          <w:color w:val="auto"/>
        </w:rPr>
        <w:t>A strategy for improving rest and welfare facilities for hauliers</w:t>
      </w:r>
      <w:r w:rsidR="0071291C">
        <w:rPr>
          <w:color w:val="auto"/>
        </w:rPr>
        <w:t xml:space="preserve"> </w:t>
      </w:r>
      <w:r w:rsidR="00A75CE6">
        <w:rPr>
          <w:color w:val="auto"/>
        </w:rPr>
        <w:t>would</w:t>
      </w:r>
      <w:r w:rsidR="0071291C">
        <w:rPr>
          <w:color w:val="auto"/>
        </w:rPr>
        <w:t xml:space="preserve"> be relevant </w:t>
      </w:r>
      <w:r w:rsidR="00F10C24">
        <w:rPr>
          <w:color w:val="auto"/>
        </w:rPr>
        <w:t xml:space="preserve">to the HGV driver market </w:t>
      </w:r>
      <w:r w:rsidR="0071291C">
        <w:rPr>
          <w:color w:val="auto"/>
        </w:rPr>
        <w:t>across Scotland</w:t>
      </w:r>
      <w:r w:rsidR="00F10C24">
        <w:rPr>
          <w:color w:val="auto"/>
        </w:rPr>
        <w:t xml:space="preserve"> and ongoing welfare concerns around road freight users.</w:t>
      </w:r>
      <w:r w:rsidR="004B405D">
        <w:rPr>
          <w:color w:val="auto"/>
        </w:rPr>
        <w:t xml:space="preserve"> </w:t>
      </w:r>
      <w:r w:rsidR="00F10C24">
        <w:rPr>
          <w:color w:val="auto"/>
        </w:rPr>
        <w:t>In particular</w:t>
      </w:r>
      <w:r w:rsidR="009475F2" w:rsidRPr="00E07DDB">
        <w:rPr>
          <w:color w:val="auto"/>
        </w:rPr>
        <w:t>:</w:t>
      </w:r>
    </w:p>
    <w:p w14:paraId="63EFE717" w14:textId="2E290965" w:rsidR="00E07DDB" w:rsidRPr="00E07DDB" w:rsidRDefault="00E07DDB" w:rsidP="00E63B9C">
      <w:pPr>
        <w:pStyle w:val="STPR2BodyText"/>
        <w:numPr>
          <w:ilvl w:val="0"/>
          <w:numId w:val="23"/>
        </w:numPr>
        <w:pBdr>
          <w:top w:val="single" w:sz="4" w:space="1" w:color="auto"/>
          <w:left w:val="single" w:sz="4" w:space="4" w:color="auto"/>
          <w:bottom w:val="single" w:sz="4" w:space="1" w:color="auto"/>
          <w:right w:val="single" w:sz="4" w:space="4" w:color="auto"/>
        </w:pBdr>
        <w:spacing w:after="0"/>
        <w:ind w:left="284" w:hanging="284"/>
        <w:rPr>
          <w:color w:val="auto"/>
        </w:rPr>
      </w:pPr>
      <w:r w:rsidRPr="000F646E">
        <w:rPr>
          <w:color w:val="auto"/>
        </w:rPr>
        <w:t>Businesses and consumers</w:t>
      </w:r>
      <w:r w:rsidRPr="00E07DDB">
        <w:rPr>
          <w:color w:val="auto"/>
        </w:rPr>
        <w:t xml:space="preserve">, who in the long-term </w:t>
      </w:r>
      <w:r w:rsidR="00A75CE6">
        <w:rPr>
          <w:color w:val="auto"/>
        </w:rPr>
        <w:t>would</w:t>
      </w:r>
      <w:r w:rsidRPr="00E07DDB">
        <w:rPr>
          <w:color w:val="auto"/>
        </w:rPr>
        <w:t xml:space="preserve"> benefit in a reduction in freight costs if the HGV driver shortage is reduced by this intervention</w:t>
      </w:r>
      <w:r w:rsidR="00F10C24">
        <w:rPr>
          <w:color w:val="auto"/>
        </w:rPr>
        <w:t>;</w:t>
      </w:r>
    </w:p>
    <w:p w14:paraId="02A654E8" w14:textId="775A262E" w:rsidR="00E07DDB" w:rsidRPr="00E07DDB" w:rsidRDefault="00E07DDB" w:rsidP="00E63B9C">
      <w:pPr>
        <w:pStyle w:val="STPR2BodyText"/>
        <w:numPr>
          <w:ilvl w:val="0"/>
          <w:numId w:val="23"/>
        </w:numPr>
        <w:pBdr>
          <w:top w:val="single" w:sz="4" w:space="1" w:color="auto"/>
          <w:left w:val="single" w:sz="4" w:space="4" w:color="auto"/>
          <w:bottom w:val="single" w:sz="4" w:space="1" w:color="auto"/>
          <w:right w:val="single" w:sz="4" w:space="4" w:color="auto"/>
        </w:pBdr>
        <w:spacing w:after="0"/>
        <w:ind w:left="284" w:hanging="284"/>
        <w:rPr>
          <w:color w:val="auto"/>
        </w:rPr>
      </w:pPr>
      <w:r w:rsidRPr="000F646E">
        <w:rPr>
          <w:color w:val="auto"/>
        </w:rPr>
        <w:t>Transport operators</w:t>
      </w:r>
      <w:r w:rsidRPr="00E07DDB">
        <w:rPr>
          <w:color w:val="auto"/>
        </w:rPr>
        <w:t xml:space="preserve">, who </w:t>
      </w:r>
      <w:r w:rsidR="00A75CE6">
        <w:rPr>
          <w:color w:val="auto"/>
        </w:rPr>
        <w:t>would</w:t>
      </w:r>
      <w:r w:rsidRPr="00E07DDB">
        <w:rPr>
          <w:color w:val="auto"/>
        </w:rPr>
        <w:t xml:space="preserve"> benefit from more drivers joining the industry</w:t>
      </w:r>
      <w:r w:rsidR="00F10C24">
        <w:rPr>
          <w:color w:val="auto"/>
        </w:rPr>
        <w:t>; and</w:t>
      </w:r>
    </w:p>
    <w:p w14:paraId="6A4C1678" w14:textId="58779F48" w:rsidR="00E07DDB" w:rsidRPr="00E07DDB" w:rsidRDefault="00E07DDB" w:rsidP="00E63B9C">
      <w:pPr>
        <w:pStyle w:val="STPR2BodyText"/>
        <w:numPr>
          <w:ilvl w:val="0"/>
          <w:numId w:val="23"/>
        </w:numPr>
        <w:pBdr>
          <w:top w:val="single" w:sz="4" w:space="1" w:color="auto"/>
          <w:left w:val="single" w:sz="4" w:space="4" w:color="auto"/>
          <w:bottom w:val="single" w:sz="4" w:space="1" w:color="auto"/>
          <w:right w:val="single" w:sz="4" w:space="4" w:color="auto"/>
        </w:pBdr>
        <w:spacing w:after="0"/>
        <w:ind w:left="284" w:hanging="284"/>
        <w:rPr>
          <w:color w:val="auto"/>
        </w:rPr>
      </w:pPr>
      <w:r w:rsidRPr="000F646E">
        <w:rPr>
          <w:color w:val="auto"/>
        </w:rPr>
        <w:t>HGV drivers</w:t>
      </w:r>
      <w:r w:rsidRPr="00E07DDB">
        <w:rPr>
          <w:color w:val="auto"/>
        </w:rPr>
        <w:t xml:space="preserve">, who </w:t>
      </w:r>
      <w:r w:rsidR="00A75CE6">
        <w:rPr>
          <w:color w:val="auto"/>
        </w:rPr>
        <w:t>would</w:t>
      </w:r>
      <w:r w:rsidRPr="00E07DDB">
        <w:rPr>
          <w:color w:val="auto"/>
        </w:rPr>
        <w:t xml:space="preserve"> experience improved working conditions</w:t>
      </w:r>
      <w:r w:rsidR="00F10C24">
        <w:rPr>
          <w:color w:val="auto"/>
        </w:rPr>
        <w:t>.</w:t>
      </w:r>
    </w:p>
    <w:p w14:paraId="6AE0BB5C" w14:textId="77777777" w:rsidR="00742A52" w:rsidRDefault="00742A52">
      <w:pPr>
        <w:rPr>
          <w:rFonts w:ascii="Arial" w:hAnsi="Arial" w:cs="Arial"/>
          <w:color w:val="000000"/>
          <w:sz w:val="24"/>
        </w:rPr>
      </w:pPr>
      <w:r>
        <w:br w:type="page"/>
      </w:r>
    </w:p>
    <w:bookmarkEnd w:id="1"/>
    <w:p w14:paraId="54921456" w14:textId="77777777" w:rsidR="009475F2" w:rsidRDefault="009475F2">
      <w:pPr>
        <w:pStyle w:val="STPR2Heading2"/>
        <w:numPr>
          <w:ilvl w:val="1"/>
          <w:numId w:val="2"/>
        </w:numPr>
        <w:ind w:left="426"/>
      </w:pPr>
      <w:r>
        <w:lastRenderedPageBreak/>
        <w:t>Estimated Cost</w:t>
      </w:r>
    </w:p>
    <w:p w14:paraId="2D672DE3" w14:textId="1443D778" w:rsidR="00A4692F" w:rsidRDefault="002D2201" w:rsidP="00E63B9C">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w:t>
      </w:r>
      <w:r w:rsidR="00612E1A">
        <w:rPr>
          <w:b/>
          <w:bCs/>
        </w:rPr>
        <w:t xml:space="preserve">N/A until Baseline Audit is completed </w:t>
      </w:r>
    </w:p>
    <w:p w14:paraId="7445EDC2" w14:textId="33A4CBB4" w:rsidR="009475F2" w:rsidRDefault="00612E1A" w:rsidP="00E63B9C">
      <w:pPr>
        <w:pStyle w:val="STPR2BodyText"/>
        <w:pBdr>
          <w:top w:val="single" w:sz="4" w:space="1" w:color="auto"/>
          <w:left w:val="single" w:sz="4" w:space="4" w:color="auto"/>
          <w:bottom w:val="single" w:sz="4" w:space="1" w:color="auto"/>
          <w:right w:val="single" w:sz="4" w:space="4" w:color="auto"/>
        </w:pBdr>
      </w:pPr>
      <w:r>
        <w:t>Costs are unknown until the Phase 1 baseline audit of the current provision is completed.</w:t>
      </w:r>
    </w:p>
    <w:p w14:paraId="75D91C6F" w14:textId="57031837" w:rsidR="009475F2" w:rsidRDefault="009475F2">
      <w:pPr>
        <w:pStyle w:val="STPR2Heading2"/>
        <w:numPr>
          <w:ilvl w:val="1"/>
          <w:numId w:val="2"/>
        </w:numPr>
        <w:ind w:left="426"/>
      </w:pPr>
      <w:r>
        <w:t>Position in Sustainable Investment Hierarchy</w:t>
      </w:r>
    </w:p>
    <w:bookmarkEnd w:id="2"/>
    <w:p w14:paraId="30B59AFA" w14:textId="77A3C350" w:rsidR="00BE737D" w:rsidRPr="00045A8D" w:rsidRDefault="00A33BEA" w:rsidP="00E63B9C">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Targeted infrastructure improvements</w:t>
      </w:r>
    </w:p>
    <w:p w14:paraId="10504001" w14:textId="3046BE44" w:rsidR="009475F2" w:rsidRDefault="009475F2" w:rsidP="00E63B9C">
      <w:pPr>
        <w:pStyle w:val="STPR2BodyText"/>
        <w:pBdr>
          <w:top w:val="single" w:sz="4" w:space="1" w:color="auto"/>
          <w:left w:val="single" w:sz="4" w:space="4" w:color="auto"/>
          <w:bottom w:val="single" w:sz="4" w:space="1" w:color="auto"/>
          <w:right w:val="single" w:sz="4" w:space="4" w:color="auto"/>
        </w:pBdr>
      </w:pPr>
      <w:r>
        <w:t xml:space="preserve">This recommendation would contribute to </w:t>
      </w:r>
      <w:r w:rsidR="005B62AF">
        <w:t xml:space="preserve">eight of </w:t>
      </w:r>
      <w:r>
        <w:t xml:space="preserve">the </w:t>
      </w:r>
      <w:r w:rsidR="005B62AF">
        <w:t xml:space="preserve">12 </w:t>
      </w:r>
      <w:r>
        <w:t>NTS2 outcomes</w:t>
      </w:r>
      <w:r w:rsidR="005B62AF">
        <w:t>, as follows</w:t>
      </w:r>
      <w:r>
        <w:t>:</w:t>
      </w:r>
    </w:p>
    <w:p w14:paraId="71B40F92" w14:textId="77777777" w:rsidR="009475F2" w:rsidRDefault="009475F2" w:rsidP="00E63B9C">
      <w:pPr>
        <w:pStyle w:val="STPR2BulletsLevel1"/>
        <w:pBdr>
          <w:top w:val="single" w:sz="4" w:space="1" w:color="auto"/>
          <w:left w:val="single" w:sz="4" w:space="4" w:color="auto"/>
          <w:bottom w:val="single" w:sz="4" w:space="1" w:color="auto"/>
          <w:right w:val="single" w:sz="4" w:space="4" w:color="auto"/>
        </w:pBdr>
      </w:pPr>
      <w:r>
        <w:t>Provide fair access to services we need;</w:t>
      </w:r>
    </w:p>
    <w:p w14:paraId="23C6507F" w14:textId="77777777" w:rsidR="009475F2" w:rsidRDefault="009475F2" w:rsidP="00E63B9C">
      <w:pPr>
        <w:pStyle w:val="STPR2BulletsLevel1"/>
        <w:pBdr>
          <w:top w:val="single" w:sz="4" w:space="1" w:color="auto"/>
          <w:left w:val="single" w:sz="4" w:space="4" w:color="auto"/>
          <w:bottom w:val="single" w:sz="4" w:space="1" w:color="auto"/>
          <w:right w:val="single" w:sz="4" w:space="4" w:color="auto"/>
        </w:pBdr>
      </w:pPr>
      <w:r>
        <w:t>Be easy to use for all;</w:t>
      </w:r>
    </w:p>
    <w:p w14:paraId="5F42A8E4" w14:textId="04A1E79C" w:rsidR="009475F2" w:rsidRDefault="009475F2" w:rsidP="00E63B9C">
      <w:pPr>
        <w:pStyle w:val="STPR2BulletsLevel1"/>
        <w:pBdr>
          <w:top w:val="single" w:sz="4" w:space="1" w:color="auto"/>
          <w:left w:val="single" w:sz="4" w:space="4" w:color="auto"/>
          <w:bottom w:val="single" w:sz="4" w:space="1" w:color="auto"/>
          <w:right w:val="single" w:sz="4" w:space="4" w:color="auto"/>
        </w:pBdr>
      </w:pPr>
      <w:r>
        <w:t xml:space="preserve">Help deliver our net-zero </w:t>
      </w:r>
      <w:r w:rsidR="00676A4F">
        <w:t>target.</w:t>
      </w:r>
    </w:p>
    <w:p w14:paraId="4F94A933" w14:textId="6AB1CD92" w:rsidR="000F1E5F" w:rsidRDefault="00676A4F" w:rsidP="00E63B9C">
      <w:pPr>
        <w:pStyle w:val="STPR2BulletsLevel1"/>
        <w:pBdr>
          <w:top w:val="single" w:sz="4" w:space="1" w:color="auto"/>
          <w:left w:val="single" w:sz="4" w:space="4" w:color="auto"/>
          <w:bottom w:val="single" w:sz="4" w:space="1" w:color="auto"/>
          <w:right w:val="single" w:sz="4" w:space="4" w:color="auto"/>
        </w:pBdr>
      </w:pPr>
      <w:r>
        <w:t>A</w:t>
      </w:r>
      <w:r w:rsidR="000F1E5F">
        <w:t>dapt to the effects of climate change</w:t>
      </w:r>
    </w:p>
    <w:p w14:paraId="1B561091" w14:textId="78BFAACE" w:rsidR="009475F2" w:rsidRDefault="009475F2" w:rsidP="00E63B9C">
      <w:pPr>
        <w:pStyle w:val="STPR2BulletsLevel1"/>
        <w:pBdr>
          <w:top w:val="single" w:sz="4" w:space="1" w:color="auto"/>
          <w:left w:val="single" w:sz="4" w:space="4" w:color="auto"/>
          <w:bottom w:val="single" w:sz="4" w:space="1" w:color="auto"/>
          <w:right w:val="single" w:sz="4" w:space="4" w:color="auto"/>
        </w:pBdr>
      </w:pPr>
      <w:r>
        <w:t xml:space="preserve">Promote greener, cleaner </w:t>
      </w:r>
      <w:r w:rsidR="00676A4F">
        <w:t>choices.</w:t>
      </w:r>
    </w:p>
    <w:p w14:paraId="4FC64711" w14:textId="6C089CB1" w:rsidR="009475F2" w:rsidRDefault="009475F2" w:rsidP="00E63B9C">
      <w:pPr>
        <w:pStyle w:val="STPR2BulletsLevel1"/>
        <w:pBdr>
          <w:top w:val="single" w:sz="4" w:space="1" w:color="auto"/>
          <w:left w:val="single" w:sz="4" w:space="4" w:color="auto"/>
          <w:bottom w:val="single" w:sz="4" w:space="1" w:color="auto"/>
          <w:right w:val="single" w:sz="4" w:space="4" w:color="auto"/>
        </w:pBdr>
      </w:pPr>
      <w:r>
        <w:t xml:space="preserve">Be safe and secure for </w:t>
      </w:r>
      <w:r w:rsidR="00676A4F">
        <w:t>all.</w:t>
      </w:r>
    </w:p>
    <w:p w14:paraId="04A14074" w14:textId="217015E2" w:rsidR="009475F2" w:rsidRDefault="009475F2" w:rsidP="00E63B9C">
      <w:pPr>
        <w:pStyle w:val="STPR2BulletsLevel1"/>
        <w:pBdr>
          <w:top w:val="single" w:sz="4" w:space="1" w:color="auto"/>
          <w:left w:val="single" w:sz="4" w:space="4" w:color="auto"/>
          <w:bottom w:val="single" w:sz="4" w:space="1" w:color="auto"/>
          <w:right w:val="single" w:sz="4" w:space="4" w:color="auto"/>
        </w:pBdr>
      </w:pPr>
      <w:r>
        <w:t xml:space="preserve">Get people and goods to where they need to get </w:t>
      </w:r>
      <w:r w:rsidR="00676A4F">
        <w:t>to.</w:t>
      </w:r>
    </w:p>
    <w:p w14:paraId="2A20295E" w14:textId="197962BA" w:rsidR="00676A4F" w:rsidRDefault="00676A4F" w:rsidP="00E63B9C">
      <w:pPr>
        <w:pStyle w:val="STPR2BulletsLevel1"/>
        <w:pBdr>
          <w:top w:val="single" w:sz="4" w:space="1" w:color="auto"/>
          <w:left w:val="single" w:sz="4" w:space="4" w:color="auto"/>
          <w:bottom w:val="single" w:sz="4" w:space="1" w:color="auto"/>
          <w:right w:val="single" w:sz="4" w:space="4" w:color="auto"/>
        </w:pBdr>
      </w:pPr>
      <w:r>
        <w:t>Be reliable, efficient and high quality.</w:t>
      </w:r>
    </w:p>
    <w:p w14:paraId="492AB174" w14:textId="2333CD27" w:rsidR="009475F2" w:rsidRDefault="009475F2">
      <w:pPr>
        <w:pStyle w:val="STPR2Heading2"/>
        <w:numPr>
          <w:ilvl w:val="1"/>
          <w:numId w:val="2"/>
        </w:numPr>
        <w:ind w:left="426"/>
      </w:pPr>
      <w:r>
        <w:t>Summary Rationale</w:t>
      </w:r>
    </w:p>
    <w:p w14:paraId="2EE4AE2E" w14:textId="123E2F28" w:rsidR="00037374" w:rsidRPr="00C51827" w:rsidRDefault="00B12442" w:rsidP="00E63B9C">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B12442">
        <w:rPr>
          <w:b/>
          <w:bCs/>
          <w:color w:val="auto"/>
        </w:rPr>
        <w:t xml:space="preserve">Summary of </w:t>
      </w:r>
      <w:r w:rsidR="002959DB">
        <w:rPr>
          <w:b/>
          <w:bCs/>
          <w:color w:val="auto"/>
        </w:rPr>
        <w:t>Appraisal</w:t>
      </w:r>
    </w:p>
    <w:p w14:paraId="752382B1" w14:textId="7EDFF343" w:rsidR="005C3824" w:rsidRDefault="00BE5FB0" w:rsidP="00E63B9C">
      <w:pPr>
        <w:pStyle w:val="STPR2BodyText"/>
        <w:pBdr>
          <w:top w:val="single" w:sz="4" w:space="1" w:color="auto"/>
          <w:left w:val="single" w:sz="4" w:space="4" w:color="auto"/>
          <w:bottom w:val="single" w:sz="4" w:space="1" w:color="auto"/>
          <w:right w:val="single" w:sz="4" w:space="4" w:color="auto"/>
        </w:pBdr>
        <w:rPr>
          <w:color w:val="auto"/>
        </w:rPr>
      </w:pPr>
      <w:r w:rsidRPr="00BE5FB0">
        <w:rPr>
          <w:noProof/>
          <w:color w:val="auto"/>
        </w:rPr>
        <w:drawing>
          <wp:inline distT="0" distB="0" distL="0" distR="0" wp14:anchorId="3F6C45D6" wp14:editId="2F73EDF3">
            <wp:extent cx="5644800" cy="73095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44800" cy="730952"/>
                    </a:xfrm>
                    <a:prstGeom prst="rect">
                      <a:avLst/>
                    </a:prstGeom>
                    <a:noFill/>
                    <a:ln>
                      <a:noFill/>
                    </a:ln>
                  </pic:spPr>
                </pic:pic>
              </a:graphicData>
            </a:graphic>
          </wp:inline>
        </w:drawing>
      </w:r>
    </w:p>
    <w:p w14:paraId="79EAE24A" w14:textId="33DD117E" w:rsidR="009475F2" w:rsidRPr="00E07DDB" w:rsidRDefault="009475F2" w:rsidP="00E63B9C">
      <w:pPr>
        <w:pStyle w:val="STPR2BodyText"/>
        <w:pBdr>
          <w:top w:val="single" w:sz="4" w:space="1" w:color="auto"/>
          <w:left w:val="single" w:sz="4" w:space="4" w:color="auto"/>
          <w:bottom w:val="single" w:sz="4" w:space="1" w:color="auto"/>
          <w:right w:val="single" w:sz="4" w:space="4" w:color="auto"/>
        </w:pBdr>
        <w:rPr>
          <w:color w:val="auto"/>
        </w:rPr>
      </w:pPr>
      <w:r w:rsidRPr="00E07DDB">
        <w:rPr>
          <w:color w:val="auto"/>
        </w:rPr>
        <w:t>This recommendation makes a</w:t>
      </w:r>
      <w:r w:rsidR="00E07DDB" w:rsidRPr="00E07DDB">
        <w:rPr>
          <w:color w:val="auto"/>
        </w:rPr>
        <w:t xml:space="preserve">n overall </w:t>
      </w:r>
      <w:r w:rsidR="004B778F">
        <w:rPr>
          <w:color w:val="auto"/>
        </w:rPr>
        <w:t>neutral to minor</w:t>
      </w:r>
      <w:r w:rsidR="004B778F" w:rsidRPr="00E07DDB">
        <w:rPr>
          <w:color w:val="auto"/>
        </w:rPr>
        <w:t xml:space="preserve"> </w:t>
      </w:r>
      <w:r w:rsidR="00E07DDB" w:rsidRPr="00E07DDB">
        <w:rPr>
          <w:color w:val="auto"/>
        </w:rPr>
        <w:t>positive</w:t>
      </w:r>
      <w:r w:rsidR="004B778F">
        <w:rPr>
          <w:color w:val="auto"/>
        </w:rPr>
        <w:t xml:space="preserve"> contribution</w:t>
      </w:r>
      <w:r w:rsidRPr="00E07DDB">
        <w:rPr>
          <w:color w:val="auto"/>
        </w:rPr>
        <w:t xml:space="preserve"> to the STPR2 Transport Planning Objectives (TPOs), STAG criteria, and </w:t>
      </w:r>
      <w:r w:rsidR="002920FE">
        <w:rPr>
          <w:color w:val="auto"/>
        </w:rPr>
        <w:t xml:space="preserve">most of the </w:t>
      </w:r>
      <w:r w:rsidRPr="00E07DDB">
        <w:rPr>
          <w:color w:val="auto"/>
        </w:rPr>
        <w:t>Statutory Impact Assessment criteria</w:t>
      </w:r>
      <w:r w:rsidR="00365408" w:rsidRPr="00E07DDB">
        <w:rPr>
          <w:color w:val="auto"/>
        </w:rPr>
        <w:t>.</w:t>
      </w:r>
      <w:r w:rsidR="00E35438">
        <w:rPr>
          <w:color w:val="auto"/>
        </w:rPr>
        <w:t xml:space="preserve"> It has a </w:t>
      </w:r>
      <w:r w:rsidR="002920FE">
        <w:rPr>
          <w:color w:val="auto"/>
        </w:rPr>
        <w:t>m</w:t>
      </w:r>
      <w:r w:rsidR="007629FF">
        <w:rPr>
          <w:color w:val="auto"/>
        </w:rPr>
        <w:t>oderate</w:t>
      </w:r>
      <w:r w:rsidR="002920FE">
        <w:rPr>
          <w:color w:val="auto"/>
        </w:rPr>
        <w:t xml:space="preserve"> positive impact on the health, safety and well</w:t>
      </w:r>
      <w:r w:rsidR="001E1241">
        <w:rPr>
          <w:color w:val="auto"/>
        </w:rPr>
        <w:t>being.</w:t>
      </w:r>
      <w:r w:rsidRPr="00E07DDB">
        <w:rPr>
          <w:color w:val="auto"/>
        </w:rPr>
        <w:t xml:space="preserve"> </w:t>
      </w:r>
      <w:r w:rsidR="00365408" w:rsidRPr="00E07DDB">
        <w:rPr>
          <w:color w:val="auto"/>
        </w:rPr>
        <w:t xml:space="preserve">This </w:t>
      </w:r>
      <w:r w:rsidRPr="00E07DDB">
        <w:rPr>
          <w:color w:val="auto"/>
        </w:rPr>
        <w:t xml:space="preserve">assessment conclusion </w:t>
      </w:r>
      <w:r w:rsidR="00365408" w:rsidRPr="00E07DDB">
        <w:rPr>
          <w:color w:val="auto"/>
        </w:rPr>
        <w:t xml:space="preserve">is </w:t>
      </w:r>
      <w:r w:rsidRPr="00E07DDB">
        <w:rPr>
          <w:color w:val="auto"/>
        </w:rPr>
        <w:t xml:space="preserve">based on a wide body of evidence from other locations in the UK and beyond where similar schemes have been implemented </w:t>
      </w:r>
      <w:r w:rsidR="00E07DDB" w:rsidRPr="00E07DDB">
        <w:rPr>
          <w:color w:val="auto"/>
        </w:rPr>
        <w:t>successfully.</w:t>
      </w:r>
    </w:p>
    <w:p w14:paraId="1DBBD5D2" w14:textId="22486954" w:rsidR="0065179B" w:rsidRDefault="005248CD" w:rsidP="00E63B9C">
      <w:pPr>
        <w:pStyle w:val="STPR2BodyText"/>
        <w:pBdr>
          <w:top w:val="single" w:sz="4" w:space="1" w:color="auto"/>
          <w:left w:val="single" w:sz="4" w:space="4" w:color="auto"/>
          <w:bottom w:val="single" w:sz="4" w:space="1" w:color="auto"/>
          <w:right w:val="single" w:sz="4" w:space="4" w:color="auto"/>
        </w:pBdr>
        <w:rPr>
          <w:color w:val="auto"/>
        </w:rPr>
      </w:pPr>
      <w:r w:rsidRPr="005248CD">
        <w:rPr>
          <w:color w:val="auto"/>
        </w:rPr>
        <w:t>Driver rest and welfare facilities</w:t>
      </w:r>
      <w:r w:rsidR="00365408" w:rsidRPr="005248CD">
        <w:rPr>
          <w:color w:val="auto"/>
        </w:rPr>
        <w:t xml:space="preserve"> </w:t>
      </w:r>
      <w:r w:rsidR="009475F2" w:rsidRPr="005248CD">
        <w:rPr>
          <w:color w:val="auto"/>
        </w:rPr>
        <w:t xml:space="preserve">particularly contribute to objectives for </w:t>
      </w:r>
      <w:r w:rsidR="00E07DDB" w:rsidRPr="005248CD">
        <w:rPr>
          <w:color w:val="auto"/>
        </w:rPr>
        <w:t>health</w:t>
      </w:r>
      <w:r w:rsidRPr="005248CD">
        <w:rPr>
          <w:color w:val="auto"/>
        </w:rPr>
        <w:t>, safety and wellbeing, as well as for accessibility and social inclusion and place making</w:t>
      </w:r>
      <w:r>
        <w:rPr>
          <w:color w:val="auto"/>
        </w:rPr>
        <w:t>.</w:t>
      </w:r>
    </w:p>
    <w:p w14:paraId="28C175E5" w14:textId="063827A5" w:rsidR="00EF61F2" w:rsidRPr="007B25D4" w:rsidRDefault="00C26EDD" w:rsidP="00E63B9C">
      <w:pPr>
        <w:pStyle w:val="STPR2BodyText"/>
        <w:pBdr>
          <w:top w:val="single" w:sz="4" w:space="1" w:color="auto"/>
          <w:left w:val="single" w:sz="4" w:space="4" w:color="auto"/>
          <w:bottom w:val="single" w:sz="4" w:space="1" w:color="auto"/>
          <w:right w:val="single" w:sz="4" w:space="4" w:color="auto"/>
        </w:pBdr>
        <w:rPr>
          <w:color w:val="auto"/>
        </w:rPr>
      </w:pPr>
      <w:r w:rsidRPr="00C26EDD">
        <w:rPr>
          <w:color w:val="auto"/>
        </w:rPr>
        <w:t>Details behind this summary are discussed in Section 3, below</w:t>
      </w:r>
      <w:r>
        <w:rPr>
          <w:color w:val="auto"/>
        </w:rPr>
        <w:t>.</w:t>
      </w:r>
    </w:p>
    <w:p w14:paraId="03ACA22C" w14:textId="10D625EA" w:rsidR="00D12BFC" w:rsidRDefault="00D12BFC" w:rsidP="00460DE3">
      <w:pPr>
        <w:pStyle w:val="STPR2Title3"/>
      </w:pPr>
      <w:bookmarkStart w:id="3" w:name="_Toc96083514"/>
    </w:p>
    <w:p w14:paraId="7E508FDD" w14:textId="77777777" w:rsidR="00D12BFC" w:rsidRDefault="00D12BFC" w:rsidP="00460DE3">
      <w:pPr>
        <w:pStyle w:val="STPR2Title3"/>
      </w:pPr>
    </w:p>
    <w:p w14:paraId="29C08154" w14:textId="77777777" w:rsidR="00D12BFC" w:rsidRDefault="00D12BFC" w:rsidP="00460DE3">
      <w:pPr>
        <w:pStyle w:val="STPR2Title3"/>
      </w:pPr>
    </w:p>
    <w:p w14:paraId="5CB157E4" w14:textId="77777777" w:rsidR="00D12BFC" w:rsidRDefault="00D12BFC" w:rsidP="00460DE3">
      <w:pPr>
        <w:pStyle w:val="STPR2Title3"/>
      </w:pPr>
    </w:p>
    <w:p w14:paraId="12767842" w14:textId="77777777" w:rsidR="00460DE3" w:rsidRDefault="00460DE3" w:rsidP="00460DE3">
      <w:pPr>
        <w:pStyle w:val="STPR2Title3"/>
      </w:pPr>
    </w:p>
    <w:p w14:paraId="49C6AD68" w14:textId="77777777" w:rsidR="00460DE3" w:rsidRDefault="00460DE3" w:rsidP="00460DE3">
      <w:pPr>
        <w:pStyle w:val="STPR2Title3"/>
      </w:pPr>
    </w:p>
    <w:p w14:paraId="5D58CE86" w14:textId="77777777" w:rsidR="00460DE3" w:rsidRDefault="00460DE3" w:rsidP="00460DE3">
      <w:pPr>
        <w:pStyle w:val="STPR2Title3"/>
      </w:pPr>
    </w:p>
    <w:p w14:paraId="6809BF2A" w14:textId="77777777" w:rsidR="00460DE3" w:rsidRPr="00D12BFC" w:rsidRDefault="00460DE3" w:rsidP="00460DE3">
      <w:pPr>
        <w:pStyle w:val="STPR2Title3"/>
      </w:pPr>
    </w:p>
    <w:p w14:paraId="6D7EA77F" w14:textId="2A8677BF" w:rsidR="009475F2" w:rsidRPr="004E1B61" w:rsidRDefault="009475F2" w:rsidP="00BF00E2">
      <w:pPr>
        <w:pStyle w:val="STPR2Heading1"/>
        <w:keepNext/>
        <w:keepLines/>
        <w:rPr>
          <w:lang w:val="en-GB"/>
        </w:rPr>
      </w:pPr>
      <w:r>
        <w:rPr>
          <w:lang w:val="en-GB"/>
        </w:rPr>
        <w:lastRenderedPageBreak/>
        <w:t>Context</w:t>
      </w:r>
      <w:bookmarkEnd w:id="3"/>
      <w:r w:rsidRPr="004E1B61">
        <w:rPr>
          <w:lang w:val="en-GB"/>
        </w:rPr>
        <w:t xml:space="preserve"> </w:t>
      </w:r>
    </w:p>
    <w:p w14:paraId="2ACBCD7C" w14:textId="0FA5B96D" w:rsidR="009B3BEB" w:rsidRDefault="009B3BEB" w:rsidP="00BF00E2">
      <w:pPr>
        <w:pStyle w:val="STPR2Heading2"/>
        <w:keepNext/>
        <w:keepLines/>
        <w:ind w:left="567" w:hanging="567"/>
      </w:pPr>
      <w:r>
        <w:t>Problems and Opportunities</w:t>
      </w:r>
    </w:p>
    <w:p w14:paraId="2EECB164" w14:textId="7790FDD9" w:rsidR="009475F2" w:rsidRDefault="009475F2" w:rsidP="00BF00E2">
      <w:pPr>
        <w:pStyle w:val="STPR2BodyText"/>
        <w:keepNext/>
        <w:keepLines/>
        <w:rPr>
          <w:b/>
          <w:bCs/>
        </w:rPr>
      </w:pPr>
      <w:r>
        <w:t>This recommendation could help to tackle the following problem</w:t>
      </w:r>
      <w:r w:rsidR="005B62AF">
        <w:t>s</w:t>
      </w:r>
      <w:r>
        <w:t xml:space="preserve"> and opportunit</w:t>
      </w:r>
      <w:r w:rsidR="005B62AF">
        <w:t>ies:</w:t>
      </w:r>
    </w:p>
    <w:p w14:paraId="3BD9B5E5" w14:textId="631C8958" w:rsidR="009475F2" w:rsidRPr="00C447AC" w:rsidRDefault="00C447AC" w:rsidP="00BF00E2">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bookmarkStart w:id="4" w:name="_Hlk103589917"/>
      <w:r w:rsidRPr="00C447AC">
        <w:t xml:space="preserve">Relevant Problem &amp; Opportunity Themes Identified in National Case for Change </w:t>
      </w:r>
    </w:p>
    <w:bookmarkEnd w:id="4"/>
    <w:p w14:paraId="22FB5AAF" w14:textId="278CF280" w:rsidR="009475F2" w:rsidRPr="009645AE" w:rsidRDefault="00A3784C" w:rsidP="00BF00E2">
      <w:pPr>
        <w:pStyle w:val="STPR2BulletsLevel1"/>
        <w:keepNext/>
        <w:keepLines/>
        <w:numPr>
          <w:ilvl w:val="0"/>
          <w:numId w:val="25"/>
        </w:numPr>
        <w:pBdr>
          <w:top w:val="single" w:sz="4" w:space="1" w:color="auto"/>
          <w:left w:val="single" w:sz="4" w:space="4" w:color="auto"/>
          <w:bottom w:val="single" w:sz="4" w:space="1" w:color="auto"/>
          <w:right w:val="single" w:sz="4" w:space="4" w:color="auto"/>
        </w:pBdr>
        <w:ind w:left="284" w:hanging="284"/>
        <w:rPr>
          <w:rStyle w:val="normaltextrun"/>
          <w:b/>
          <w:bCs/>
          <w:color w:val="auto"/>
        </w:rPr>
      </w:pPr>
      <w:r w:rsidRPr="009645AE">
        <w:rPr>
          <w:rStyle w:val="normaltextrun"/>
          <w:b/>
          <w:bCs/>
          <w:color w:val="auto"/>
        </w:rPr>
        <w:t>Future Skilled Workforce:</w:t>
      </w:r>
      <w:r w:rsidRPr="009645AE">
        <w:rPr>
          <w:rStyle w:val="normaltextrun"/>
          <w:color w:val="auto"/>
        </w:rPr>
        <w:t xml:space="preserve"> an</w:t>
      </w:r>
      <w:r w:rsidRPr="009645AE">
        <w:rPr>
          <w:rStyle w:val="normaltextrun"/>
          <w:color w:val="auto"/>
          <w:lang w:val="en-US"/>
        </w:rPr>
        <w:t xml:space="preserve"> increasing number of workers in the transport sector are retiring or leaving the industry. T</w:t>
      </w:r>
      <w:r w:rsidRPr="009645AE">
        <w:rPr>
          <w:rStyle w:val="normaltextrun"/>
          <w:color w:val="auto"/>
        </w:rPr>
        <w:t>he labour market is facing concerns related to the loss of technical and commercial skills and expertise, an ageing workforce and how new staff can be attracted and retained.</w:t>
      </w:r>
    </w:p>
    <w:p w14:paraId="653FF2F0" w14:textId="56F54EED" w:rsidR="009645AE" w:rsidRPr="009645AE" w:rsidRDefault="009645AE" w:rsidP="00BF00E2">
      <w:pPr>
        <w:pStyle w:val="STPR2BulletsLevel1"/>
        <w:keepNext/>
        <w:keepLines/>
        <w:numPr>
          <w:ilvl w:val="0"/>
          <w:numId w:val="25"/>
        </w:numPr>
        <w:pBdr>
          <w:top w:val="single" w:sz="4" w:space="1" w:color="auto"/>
          <w:left w:val="single" w:sz="4" w:space="4" w:color="auto"/>
          <w:bottom w:val="single" w:sz="4" w:space="1" w:color="auto"/>
          <w:right w:val="single" w:sz="4" w:space="4" w:color="auto"/>
        </w:pBdr>
        <w:ind w:left="284" w:hanging="284"/>
        <w:rPr>
          <w:color w:val="auto"/>
        </w:rPr>
      </w:pPr>
      <w:r w:rsidRPr="009645AE">
        <w:rPr>
          <w:rStyle w:val="normaltextrun"/>
          <w:b/>
          <w:bCs/>
          <w:color w:val="auto"/>
        </w:rPr>
        <w:t>Trade and Connectivity:</w:t>
      </w:r>
      <w:r w:rsidRPr="009645AE">
        <w:rPr>
          <w:rStyle w:val="normaltextrun"/>
          <w:color w:val="auto"/>
        </w:rPr>
        <w:t xml:space="preserve"> transport is crucial for trade and competitiveness, within Scotland, across the UK and internationally.</w:t>
      </w:r>
      <w:r w:rsidRPr="009645AE">
        <w:rPr>
          <w:rStyle w:val="eop"/>
          <w:color w:val="auto"/>
        </w:rPr>
        <w:t> </w:t>
      </w:r>
    </w:p>
    <w:p w14:paraId="4F80E4D9" w14:textId="736EE1CD" w:rsidR="009B3BEB" w:rsidRDefault="00DA52FC">
      <w:pPr>
        <w:pStyle w:val="STPR2Heading2"/>
        <w:ind w:left="567" w:hanging="567"/>
      </w:pPr>
      <w:bookmarkStart w:id="5" w:name="_Toc96083517"/>
      <w:bookmarkStart w:id="6" w:name="_Hlk96066450"/>
      <w:r>
        <w:t>Interdependencies</w:t>
      </w:r>
    </w:p>
    <w:bookmarkEnd w:id="5"/>
    <w:bookmarkEnd w:id="6"/>
    <w:p w14:paraId="06CC0713" w14:textId="497AD1B8" w:rsidR="009475F2" w:rsidRDefault="009475F2">
      <w:pPr>
        <w:pStyle w:val="STPR2BodyText"/>
      </w:pPr>
      <w:r>
        <w:t>This recommendation has potential overlap with other STPR2 recommendations</w:t>
      </w:r>
      <w:r w:rsidR="00493E3C">
        <w:t xml:space="preserve"> and </w:t>
      </w:r>
      <w:r w:rsidR="00493E3C" w:rsidRPr="00493E3C">
        <w:t>would also complement other areas of Scottish Government activity</w:t>
      </w:r>
      <w:r w:rsidR="00493E3C">
        <w:t>.</w:t>
      </w:r>
    </w:p>
    <w:p w14:paraId="29CEB6A7" w14:textId="4255C9EF" w:rsidR="00DA52FC" w:rsidRDefault="009466E0" w:rsidP="00E63B9C">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Other</w:t>
      </w:r>
      <w:r w:rsidR="00493E3C">
        <w:t xml:space="preserve"> STPR2</w:t>
      </w:r>
      <w:r>
        <w:t xml:space="preserve"> Recommendations</w:t>
      </w:r>
    </w:p>
    <w:p w14:paraId="4161A970" w14:textId="2D68F65E" w:rsidR="00845656" w:rsidRDefault="00845656" w:rsidP="00E63B9C">
      <w:pPr>
        <w:pStyle w:val="STPR2BulletsLevel1"/>
        <w:pBdr>
          <w:top w:val="single" w:sz="4" w:space="1" w:color="auto"/>
          <w:left w:val="single" w:sz="4" w:space="4" w:color="auto"/>
          <w:bottom w:val="single" w:sz="4" w:space="1" w:color="auto"/>
          <w:right w:val="single" w:sz="4" w:space="4" w:color="auto"/>
        </w:pBdr>
      </w:pPr>
      <w:r w:rsidRPr="00845656">
        <w:t>Behavioural change and modal shift for freight (27)</w:t>
      </w:r>
    </w:p>
    <w:p w14:paraId="7FD423C5" w14:textId="77777777" w:rsidR="002459D2" w:rsidRDefault="00760474" w:rsidP="00E63B9C">
      <w:pPr>
        <w:pStyle w:val="STPR2BulletsLevel1"/>
        <w:pBdr>
          <w:top w:val="single" w:sz="4" w:space="1" w:color="auto"/>
          <w:left w:val="single" w:sz="4" w:space="4" w:color="auto"/>
          <w:bottom w:val="single" w:sz="4" w:space="1" w:color="auto"/>
          <w:right w:val="single" w:sz="4" w:space="4" w:color="auto"/>
        </w:pBdr>
      </w:pPr>
      <w:r w:rsidRPr="00760474">
        <w:t>Zero emission vehicles and infrastructure transition (28)</w:t>
      </w:r>
    </w:p>
    <w:p w14:paraId="3854EF2A" w14:textId="6B7FB9A4" w:rsidR="00760474" w:rsidRDefault="00C85F45" w:rsidP="00E63B9C">
      <w:pPr>
        <w:pStyle w:val="STPR2BulletsLevel1"/>
        <w:pBdr>
          <w:top w:val="single" w:sz="4" w:space="1" w:color="auto"/>
          <w:left w:val="single" w:sz="4" w:space="4" w:color="auto"/>
          <w:bottom w:val="single" w:sz="4" w:space="1" w:color="auto"/>
          <w:right w:val="single" w:sz="4" w:space="4" w:color="auto"/>
        </w:pBdr>
      </w:pPr>
      <w:r w:rsidRPr="00C85F45">
        <w:t xml:space="preserve">Access to Stranraer and the ports at </w:t>
      </w:r>
      <w:proofErr w:type="spellStart"/>
      <w:r w:rsidRPr="00C85F45">
        <w:t>Cairnryan</w:t>
      </w:r>
      <w:proofErr w:type="spellEnd"/>
      <w:r w:rsidRPr="00C85F45">
        <w:t xml:space="preserve"> (40</w:t>
      </w:r>
      <w:r>
        <w:t>)</w:t>
      </w:r>
    </w:p>
    <w:p w14:paraId="6BD2B654" w14:textId="5B0C817E" w:rsidR="00C85F45" w:rsidRPr="00760474" w:rsidRDefault="0033680E" w:rsidP="00E63B9C">
      <w:pPr>
        <w:pStyle w:val="STPR2BulletsLevel1"/>
        <w:pBdr>
          <w:top w:val="single" w:sz="4" w:space="1" w:color="auto"/>
          <w:left w:val="single" w:sz="4" w:space="4" w:color="auto"/>
          <w:bottom w:val="single" w:sz="4" w:space="1" w:color="auto"/>
          <w:right w:val="single" w:sz="4" w:space="4" w:color="auto"/>
        </w:pBdr>
      </w:pPr>
      <w:r>
        <w:t>Rail freight terminals and facilities (44)</w:t>
      </w:r>
    </w:p>
    <w:p w14:paraId="1344B893" w14:textId="45688272" w:rsidR="009475F2" w:rsidRDefault="00493E3C" w:rsidP="00E63B9C">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w:t>
      </w:r>
      <w:r w:rsidR="009475F2">
        <w:t>ther areas of Scottish Government activity</w:t>
      </w:r>
    </w:p>
    <w:p w14:paraId="0B479DC9" w14:textId="164FB596" w:rsidR="009475F2" w:rsidRDefault="00E95939" w:rsidP="00E63B9C">
      <w:pPr>
        <w:pStyle w:val="STPR2BulletsLevel1"/>
        <w:pBdr>
          <w:top w:val="single" w:sz="4" w:space="1" w:color="auto"/>
          <w:left w:val="single" w:sz="4" w:space="4" w:color="auto"/>
          <w:bottom w:val="single" w:sz="4" w:space="1" w:color="auto"/>
          <w:right w:val="single" w:sz="4" w:space="4" w:color="auto"/>
        </w:pBdr>
      </w:pPr>
      <w:hyperlink r:id="rId17" w:history="1">
        <w:r w:rsidR="00734278" w:rsidRPr="00734278">
          <w:rPr>
            <w:rStyle w:val="Hyperlink"/>
          </w:rPr>
          <w:t xml:space="preserve">Revised </w:t>
        </w:r>
        <w:r w:rsidR="00E541B9" w:rsidRPr="00734278">
          <w:rPr>
            <w:rStyle w:val="Hyperlink"/>
          </w:rPr>
          <w:t>Draft Fourth National Planning Framework</w:t>
        </w:r>
      </w:hyperlink>
      <w:r w:rsidR="00E541B9">
        <w:t xml:space="preserve"> (</w:t>
      </w:r>
      <w:r w:rsidR="00734278">
        <w:t xml:space="preserve">Revised Draft </w:t>
      </w:r>
      <w:r w:rsidR="009475F2" w:rsidRPr="00E07DDB">
        <w:t>NPF4</w:t>
      </w:r>
      <w:r w:rsidR="00E541B9">
        <w:t>)</w:t>
      </w:r>
      <w:r w:rsidR="005F4CAE">
        <w:t>;</w:t>
      </w:r>
    </w:p>
    <w:p w14:paraId="65AAA19C" w14:textId="2543287D" w:rsidR="00E07DDB" w:rsidRDefault="00E95939" w:rsidP="00E63B9C">
      <w:pPr>
        <w:pStyle w:val="STPR2BulletsLevel1"/>
        <w:pBdr>
          <w:top w:val="single" w:sz="4" w:space="1" w:color="auto"/>
          <w:left w:val="single" w:sz="4" w:space="4" w:color="auto"/>
          <w:bottom w:val="single" w:sz="4" w:space="1" w:color="auto"/>
          <w:right w:val="single" w:sz="4" w:space="4" w:color="auto"/>
        </w:pBdr>
      </w:pPr>
      <w:hyperlink r:id="rId18" w:history="1">
        <w:r w:rsidR="00E07DDB" w:rsidRPr="00AB3881">
          <w:rPr>
            <w:rStyle w:val="Hyperlink"/>
          </w:rPr>
          <w:t>The Place Principle</w:t>
        </w:r>
      </w:hyperlink>
      <w:r w:rsidR="005F4CAE">
        <w:t>; and</w:t>
      </w:r>
    </w:p>
    <w:p w14:paraId="6EC55244" w14:textId="650F4D84" w:rsidR="00F16CB1" w:rsidRPr="00E07DDB" w:rsidRDefault="00E95939" w:rsidP="00E63B9C">
      <w:pPr>
        <w:pStyle w:val="STPR2BulletsLevel1"/>
        <w:pBdr>
          <w:top w:val="single" w:sz="4" w:space="1" w:color="auto"/>
          <w:left w:val="single" w:sz="4" w:space="4" w:color="auto"/>
          <w:bottom w:val="single" w:sz="4" w:space="1" w:color="auto"/>
          <w:right w:val="single" w:sz="4" w:space="4" w:color="auto"/>
        </w:pBdr>
      </w:pPr>
      <w:hyperlink r:id="rId19" w:history="1">
        <w:r w:rsidR="00F16CB1" w:rsidRPr="002B2EB9">
          <w:rPr>
            <w:rStyle w:val="Hyperlink"/>
          </w:rPr>
          <w:t>Fair Work Convention</w:t>
        </w:r>
      </w:hyperlink>
      <w:r w:rsidR="005F4CAE">
        <w:t>.</w:t>
      </w:r>
    </w:p>
    <w:p w14:paraId="734E8518" w14:textId="77777777" w:rsidR="005B62AF" w:rsidRDefault="005B62AF">
      <w:pPr>
        <w:rPr>
          <w:rFonts w:ascii="Arial" w:hAnsi="Arial" w:cs="Arial"/>
          <w:b/>
          <w:bCs/>
          <w:color w:val="F38B33"/>
          <w:sz w:val="36"/>
          <w:szCs w:val="36"/>
          <w:lang w:val="en-US"/>
        </w:rPr>
      </w:pPr>
      <w:r>
        <w:br w:type="page"/>
      </w:r>
    </w:p>
    <w:p w14:paraId="5B3A2577" w14:textId="30136676" w:rsidR="009475F2" w:rsidRPr="00502991" w:rsidRDefault="0000245A">
      <w:pPr>
        <w:pStyle w:val="STPR2Heading1"/>
      </w:pPr>
      <w:r>
        <w:lastRenderedPageBreak/>
        <w:t>Appraisal</w:t>
      </w:r>
    </w:p>
    <w:p w14:paraId="5F287089" w14:textId="77777777" w:rsidR="00E6320C" w:rsidRDefault="009475F2">
      <w:pPr>
        <w:pStyle w:val="STPR2BodyText"/>
      </w:pPr>
      <w:r>
        <w:t>This section provides an assessment of the recommendation against</w:t>
      </w:r>
      <w:r w:rsidR="00E6320C">
        <w:t>:</w:t>
      </w:r>
      <w:r>
        <w:t xml:space="preserve"> </w:t>
      </w:r>
    </w:p>
    <w:p w14:paraId="5CDDBE13" w14:textId="6316B416" w:rsidR="00E6320C" w:rsidRDefault="009475F2">
      <w:pPr>
        <w:pStyle w:val="ListBullet"/>
        <w:rPr>
          <w:rFonts w:ascii="Arial" w:hAnsi="Arial" w:cs="Arial"/>
          <w:sz w:val="24"/>
          <w:szCs w:val="24"/>
        </w:rPr>
      </w:pPr>
      <w:r w:rsidRPr="0065476B">
        <w:rPr>
          <w:rFonts w:ascii="Arial" w:hAnsi="Arial" w:cs="Arial"/>
          <w:sz w:val="24"/>
          <w:szCs w:val="24"/>
        </w:rPr>
        <w:t>STPR2 Transport Planning Objectives (TPOs)</w:t>
      </w:r>
      <w:r w:rsidR="000E0AC9">
        <w:rPr>
          <w:rFonts w:ascii="Arial" w:hAnsi="Arial" w:cs="Arial"/>
          <w:sz w:val="24"/>
          <w:szCs w:val="24"/>
        </w:rPr>
        <w:t>;</w:t>
      </w:r>
    </w:p>
    <w:p w14:paraId="7C16AA3B" w14:textId="7907A2DB" w:rsidR="00E6320C" w:rsidRDefault="0000245A">
      <w:pPr>
        <w:pStyle w:val="ListBullet"/>
        <w:rPr>
          <w:rFonts w:ascii="Arial" w:hAnsi="Arial" w:cs="Arial"/>
          <w:sz w:val="24"/>
          <w:szCs w:val="24"/>
        </w:rPr>
      </w:pPr>
      <w:r w:rsidRPr="0065476B">
        <w:rPr>
          <w:rFonts w:ascii="Arial" w:hAnsi="Arial" w:cs="Arial"/>
          <w:sz w:val="24"/>
          <w:szCs w:val="24"/>
        </w:rPr>
        <w:t>STAG criteria</w:t>
      </w:r>
      <w:r w:rsidR="000E0AC9">
        <w:rPr>
          <w:rFonts w:ascii="Arial" w:hAnsi="Arial" w:cs="Arial"/>
          <w:sz w:val="24"/>
          <w:szCs w:val="24"/>
        </w:rPr>
        <w:t>;</w:t>
      </w:r>
    </w:p>
    <w:p w14:paraId="2EFBD4BE" w14:textId="2BC04606" w:rsidR="00E6320C" w:rsidRDefault="00E6320C">
      <w:pPr>
        <w:pStyle w:val="ListBullet"/>
        <w:rPr>
          <w:rFonts w:ascii="Arial" w:hAnsi="Arial" w:cs="Arial"/>
          <w:sz w:val="24"/>
          <w:szCs w:val="24"/>
        </w:rPr>
      </w:pPr>
      <w:r>
        <w:rPr>
          <w:rFonts w:ascii="Arial" w:hAnsi="Arial" w:cs="Arial"/>
          <w:sz w:val="24"/>
          <w:szCs w:val="24"/>
        </w:rPr>
        <w:t>D</w:t>
      </w:r>
      <w:r w:rsidR="00F77243" w:rsidRPr="0065476B">
        <w:rPr>
          <w:rFonts w:ascii="Arial" w:hAnsi="Arial" w:cs="Arial"/>
          <w:sz w:val="24"/>
          <w:szCs w:val="24"/>
        </w:rPr>
        <w:t>eliverability criteria</w:t>
      </w:r>
      <w:r w:rsidR="000E0AC9">
        <w:rPr>
          <w:rFonts w:ascii="Arial" w:hAnsi="Arial" w:cs="Arial"/>
          <w:sz w:val="24"/>
          <w:szCs w:val="24"/>
        </w:rPr>
        <w:t>; and</w:t>
      </w:r>
      <w:r w:rsidR="00F77243" w:rsidRPr="0065476B">
        <w:rPr>
          <w:rFonts w:ascii="Arial" w:hAnsi="Arial" w:cs="Arial"/>
          <w:sz w:val="24"/>
          <w:szCs w:val="24"/>
        </w:rPr>
        <w:t xml:space="preserve"> </w:t>
      </w:r>
    </w:p>
    <w:p w14:paraId="55C65281" w14:textId="59BD276E" w:rsidR="00E6320C" w:rsidRPr="00E6320C" w:rsidRDefault="00A22061">
      <w:pPr>
        <w:pStyle w:val="ListBullet"/>
        <w:rPr>
          <w:rFonts w:ascii="Arial" w:hAnsi="Arial" w:cs="Arial"/>
          <w:sz w:val="24"/>
          <w:szCs w:val="24"/>
        </w:rPr>
      </w:pPr>
      <w:r>
        <w:rPr>
          <w:rFonts w:ascii="Arial" w:hAnsi="Arial" w:cs="Arial"/>
          <w:sz w:val="24"/>
          <w:szCs w:val="24"/>
        </w:rPr>
        <w:t>Statutory Impact Assessment criteria</w:t>
      </w:r>
      <w:r w:rsidR="009475F2" w:rsidRPr="0065476B">
        <w:rPr>
          <w:rFonts w:ascii="Arial" w:hAnsi="Arial" w:cs="Arial"/>
          <w:sz w:val="24"/>
          <w:szCs w:val="24"/>
        </w:rPr>
        <w:t xml:space="preserve">. </w:t>
      </w:r>
    </w:p>
    <w:p w14:paraId="39CA1FD3" w14:textId="1AFE23DF" w:rsidR="009475F2" w:rsidRPr="00A0387A" w:rsidRDefault="009475F2" w:rsidP="00A0387A">
      <w:pPr>
        <w:pStyle w:val="ListBullet"/>
        <w:numPr>
          <w:ilvl w:val="0"/>
          <w:numId w:val="0"/>
        </w:numPr>
        <w:tabs>
          <w:tab w:val="left" w:pos="720"/>
        </w:tabs>
        <w:rPr>
          <w:rFonts w:ascii="Arial" w:hAnsi="Arial" w:cs="Arial"/>
          <w:sz w:val="24"/>
          <w:szCs w:val="24"/>
        </w:rPr>
      </w:pPr>
      <w:r w:rsidRPr="0065476B">
        <w:rPr>
          <w:rFonts w:ascii="Arial" w:hAnsi="Arial" w:cs="Arial"/>
          <w:sz w:val="24"/>
          <w:szCs w:val="24"/>
        </w:rPr>
        <w:t xml:space="preserve">The seven-point assessment scale has been used to indicate the impact of the recommendation when considered under the </w:t>
      </w:r>
      <w:r w:rsidR="000E0AC9">
        <w:rPr>
          <w:rFonts w:ascii="Arial" w:hAnsi="Arial" w:cs="Arial"/>
          <w:sz w:val="24"/>
          <w:szCs w:val="24"/>
        </w:rPr>
        <w:t>‘L</w:t>
      </w:r>
      <w:r w:rsidRPr="0065476B">
        <w:rPr>
          <w:rFonts w:ascii="Arial" w:hAnsi="Arial" w:cs="Arial"/>
          <w:sz w:val="24"/>
          <w:szCs w:val="24"/>
        </w:rPr>
        <w:t>ow</w:t>
      </w:r>
      <w:r w:rsidR="000E0AC9">
        <w:rPr>
          <w:rFonts w:ascii="Arial" w:hAnsi="Arial" w:cs="Arial"/>
          <w:sz w:val="24"/>
          <w:szCs w:val="24"/>
        </w:rPr>
        <w:t>’</w:t>
      </w:r>
      <w:r w:rsidRPr="0065476B">
        <w:rPr>
          <w:rFonts w:ascii="Arial" w:hAnsi="Arial" w:cs="Arial"/>
          <w:sz w:val="24"/>
          <w:szCs w:val="24"/>
        </w:rPr>
        <w:t xml:space="preserve"> and </w:t>
      </w:r>
      <w:r w:rsidR="000E0AC9">
        <w:rPr>
          <w:rFonts w:ascii="Arial" w:hAnsi="Arial" w:cs="Arial"/>
          <w:sz w:val="24"/>
          <w:szCs w:val="24"/>
        </w:rPr>
        <w:t>‘H</w:t>
      </w:r>
      <w:r w:rsidRPr="0065476B">
        <w:rPr>
          <w:rFonts w:ascii="Arial" w:hAnsi="Arial" w:cs="Arial"/>
          <w:sz w:val="24"/>
          <w:szCs w:val="24"/>
        </w:rPr>
        <w:t>igh</w:t>
      </w:r>
      <w:r w:rsidR="000E0AC9">
        <w:rPr>
          <w:rFonts w:ascii="Arial" w:hAnsi="Arial" w:cs="Arial"/>
          <w:sz w:val="24"/>
          <w:szCs w:val="24"/>
        </w:rPr>
        <w:t>’</w:t>
      </w:r>
      <w:r w:rsidRPr="0065476B">
        <w:rPr>
          <w:rFonts w:ascii="Arial" w:hAnsi="Arial" w:cs="Arial"/>
          <w:sz w:val="24"/>
          <w:szCs w:val="24"/>
        </w:rPr>
        <w:t xml:space="preserve"> </w:t>
      </w:r>
      <w:r w:rsidR="00A0387A">
        <w:rPr>
          <w:rFonts w:ascii="Arial" w:hAnsi="Arial" w:cs="Arial"/>
          <w:sz w:val="24"/>
          <w:szCs w:val="24"/>
        </w:rPr>
        <w:t>Transport</w:t>
      </w:r>
      <w:r w:rsidR="005B62AF">
        <w:rPr>
          <w:rFonts w:ascii="Arial" w:hAnsi="Arial" w:cs="Arial"/>
          <w:sz w:val="24"/>
          <w:szCs w:val="24"/>
        </w:rPr>
        <w:t xml:space="preserve"> Behaviour </w:t>
      </w:r>
      <w:r w:rsidR="00A0387A">
        <w:rPr>
          <w:rFonts w:ascii="Arial" w:hAnsi="Arial" w:cs="Arial"/>
          <w:sz w:val="24"/>
          <w:szCs w:val="24"/>
        </w:rPr>
        <w:t>Scenarios</w:t>
      </w:r>
      <w:r w:rsidRPr="0065476B">
        <w:rPr>
          <w:rFonts w:ascii="Arial" w:hAnsi="Arial" w:cs="Arial"/>
          <w:sz w:val="24"/>
          <w:szCs w:val="24"/>
        </w:rPr>
        <w:t xml:space="preserve"> (which are described in Appendix F of the Technical Report).</w:t>
      </w:r>
    </w:p>
    <w:p w14:paraId="7066EE21" w14:textId="66ACC9DD" w:rsidR="009B5FBA" w:rsidRDefault="009B5FBA">
      <w:pPr>
        <w:pStyle w:val="STPR2Heading2"/>
        <w:ind w:left="567" w:hanging="567"/>
      </w:pPr>
      <w:r>
        <w:t>Transport Planning Objectives</w:t>
      </w:r>
    </w:p>
    <w:p w14:paraId="36C402AC" w14:textId="3B1E78E5" w:rsidR="00B8131D" w:rsidRPr="00316AA8" w:rsidRDefault="00D378E1" w:rsidP="00E63B9C">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7" w:name="_Toc96083524"/>
      <w:r>
        <w:t xml:space="preserve">1. </w:t>
      </w:r>
      <w:r w:rsidR="007E14A7" w:rsidRPr="00316AA8">
        <w:t>A sustainable strategic transport system that contributes significantly to the Scottish Government’s net-zero emissions target</w:t>
      </w:r>
    </w:p>
    <w:bookmarkEnd w:id="7"/>
    <w:p w14:paraId="45AAF700" w14:textId="5CC96538" w:rsidR="00743800" w:rsidRDefault="00C97E3B" w:rsidP="00E63B9C">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A5107F">
        <w:rPr>
          <w:noProof/>
        </w:rPr>
        <w:drawing>
          <wp:inline distT="0" distB="0" distL="0" distR="0" wp14:anchorId="4A1052E9" wp14:editId="5AA71C42">
            <wp:extent cx="5644800" cy="624269"/>
            <wp:effectExtent l="0" t="0" r="0" b="4445"/>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624269"/>
                    </a:xfrm>
                    <a:prstGeom prst="rect">
                      <a:avLst/>
                    </a:prstGeom>
                    <a:noFill/>
                    <a:ln>
                      <a:noFill/>
                    </a:ln>
                  </pic:spPr>
                </pic:pic>
              </a:graphicData>
            </a:graphic>
          </wp:inline>
        </w:drawing>
      </w:r>
    </w:p>
    <w:p w14:paraId="634342D9" w14:textId="1841E571" w:rsidR="001E18A9" w:rsidRDefault="001E18A9" w:rsidP="00E63B9C">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A strategy to implement improved</w:t>
      </w:r>
      <w:r w:rsidRPr="001E18A9">
        <w:rPr>
          <w:rFonts w:ascii="Arial" w:eastAsia="Courier New" w:hAnsi="Arial" w:cs="Arial"/>
          <w:sz w:val="24"/>
          <w:szCs w:val="24"/>
          <w:lang w:eastAsia="en-US"/>
        </w:rPr>
        <w:t xml:space="preserve"> rest and welfare facilities for hauliers</w:t>
      </w:r>
      <w:r>
        <w:rPr>
          <w:rFonts w:ascii="Arial" w:eastAsia="Courier New" w:hAnsi="Arial" w:cs="Arial"/>
          <w:sz w:val="24"/>
          <w:szCs w:val="24"/>
          <w:lang w:eastAsia="en-US"/>
        </w:rPr>
        <w:t xml:space="preserve"> </w:t>
      </w:r>
      <w:r w:rsidR="00A75CE6">
        <w:rPr>
          <w:rFonts w:ascii="Arial" w:eastAsia="Courier New" w:hAnsi="Arial" w:cs="Arial"/>
          <w:sz w:val="24"/>
          <w:szCs w:val="24"/>
          <w:lang w:eastAsia="en-US"/>
        </w:rPr>
        <w:t>would</w:t>
      </w:r>
      <w:r>
        <w:rPr>
          <w:rFonts w:ascii="Arial" w:eastAsia="Courier New" w:hAnsi="Arial" w:cs="Arial"/>
          <w:sz w:val="24"/>
          <w:szCs w:val="24"/>
          <w:lang w:eastAsia="en-US"/>
        </w:rPr>
        <w:t xml:space="preserve"> have no contribution to Scottish Government’s net-zero emissions target. There may be opportunities to install alternative fuel infrastructure (such as electric vehicle charging, </w:t>
      </w:r>
      <w:r w:rsidR="000603D6">
        <w:rPr>
          <w:rFonts w:ascii="Arial" w:eastAsia="Courier New" w:hAnsi="Arial" w:cs="Arial"/>
          <w:sz w:val="24"/>
          <w:szCs w:val="24"/>
          <w:lang w:eastAsia="en-US"/>
        </w:rPr>
        <w:t>liquified</w:t>
      </w:r>
      <w:r>
        <w:rPr>
          <w:rFonts w:ascii="Arial" w:eastAsia="Courier New" w:hAnsi="Arial" w:cs="Arial"/>
          <w:sz w:val="24"/>
          <w:szCs w:val="24"/>
          <w:lang w:eastAsia="en-US"/>
        </w:rPr>
        <w:t>/</w:t>
      </w:r>
      <w:r w:rsidR="000603D6">
        <w:rPr>
          <w:rFonts w:ascii="Arial" w:eastAsia="Courier New" w:hAnsi="Arial" w:cs="Arial"/>
          <w:sz w:val="24"/>
          <w:szCs w:val="24"/>
          <w:lang w:eastAsia="en-US"/>
        </w:rPr>
        <w:t>compressed natural gas</w:t>
      </w:r>
      <w:r>
        <w:rPr>
          <w:rFonts w:ascii="Arial" w:eastAsia="Courier New" w:hAnsi="Arial" w:cs="Arial"/>
          <w:sz w:val="24"/>
          <w:szCs w:val="24"/>
          <w:lang w:eastAsia="en-US"/>
        </w:rPr>
        <w:t xml:space="preserve"> fuelling) as part of truck stop re-developments identified within the strategy, however this is captured as part of</w:t>
      </w:r>
      <w:r w:rsidR="0052564C">
        <w:rPr>
          <w:rFonts w:ascii="Arial" w:eastAsia="Courier New" w:hAnsi="Arial" w:cs="Arial"/>
          <w:sz w:val="24"/>
          <w:szCs w:val="24"/>
          <w:lang w:eastAsia="en-US"/>
        </w:rPr>
        <w:t xml:space="preserve"> Zero emissions vehicles and </w:t>
      </w:r>
      <w:r w:rsidR="00FB483F">
        <w:rPr>
          <w:rFonts w:ascii="Arial" w:eastAsia="Courier New" w:hAnsi="Arial" w:cs="Arial"/>
          <w:sz w:val="24"/>
          <w:szCs w:val="24"/>
          <w:lang w:eastAsia="en-US"/>
        </w:rPr>
        <w:t xml:space="preserve">infrastructure </w:t>
      </w:r>
      <w:r w:rsidR="004A11BD">
        <w:rPr>
          <w:rFonts w:ascii="Arial" w:eastAsia="Courier New" w:hAnsi="Arial" w:cs="Arial"/>
          <w:sz w:val="24"/>
          <w:szCs w:val="24"/>
          <w:lang w:eastAsia="en-US"/>
        </w:rPr>
        <w:t>transition (</w:t>
      </w:r>
      <w:r>
        <w:rPr>
          <w:rFonts w:ascii="Arial" w:eastAsia="Courier New" w:hAnsi="Arial" w:cs="Arial"/>
          <w:sz w:val="24"/>
          <w:szCs w:val="24"/>
          <w:lang w:eastAsia="en-US"/>
        </w:rPr>
        <w:t>Recommendation 28</w:t>
      </w:r>
      <w:r w:rsidR="004A11BD">
        <w:rPr>
          <w:rFonts w:ascii="Arial" w:eastAsia="Courier New" w:hAnsi="Arial" w:cs="Arial"/>
          <w:sz w:val="24"/>
          <w:szCs w:val="24"/>
          <w:lang w:eastAsia="en-US"/>
        </w:rPr>
        <w:t>)</w:t>
      </w:r>
      <w:r>
        <w:rPr>
          <w:rFonts w:ascii="Arial" w:eastAsia="Courier New" w:hAnsi="Arial" w:cs="Arial"/>
          <w:sz w:val="24"/>
          <w:szCs w:val="24"/>
          <w:lang w:eastAsia="en-US"/>
        </w:rPr>
        <w:t>.</w:t>
      </w:r>
    </w:p>
    <w:p w14:paraId="0DC7FE4C" w14:textId="6AA34279" w:rsidR="00BF5DF5" w:rsidRDefault="00C46A96" w:rsidP="00E63B9C">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hAnsi="Arial" w:cs="Arial"/>
          <w:sz w:val="24"/>
          <w:szCs w:val="24"/>
        </w:rPr>
        <w:t>This recommendation is therefore expected to have a neutral impact on this objective in both Low and High scenarios</w:t>
      </w:r>
      <w:r>
        <w:rPr>
          <w:rFonts w:ascii="Arial" w:eastAsia="Courier New" w:hAnsi="Arial" w:cs="Arial"/>
          <w:sz w:val="24"/>
          <w:szCs w:val="24"/>
          <w:lang w:eastAsia="en-US"/>
        </w:rPr>
        <w:t>.</w:t>
      </w:r>
    </w:p>
    <w:p w14:paraId="3BF6EF2B" w14:textId="77777777" w:rsidR="005B62AF" w:rsidRDefault="005B62AF">
      <w:pPr>
        <w:pStyle w:val="STPR2BodyText"/>
        <w:rPr>
          <w:rFonts w:eastAsia="Courier New"/>
          <w:lang w:eastAsia="en-US"/>
        </w:rPr>
      </w:pPr>
    </w:p>
    <w:p w14:paraId="7E4E1BC0" w14:textId="1AFF343B" w:rsidR="009475F2" w:rsidRPr="00316AA8" w:rsidRDefault="009475F2" w:rsidP="00E63B9C">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316AA8">
        <w:t>An inclusive strategic transport system that improves the affordability and accessibility of public transport.</w:t>
      </w:r>
    </w:p>
    <w:p w14:paraId="690CAFED" w14:textId="404CFB62" w:rsidR="006A2046" w:rsidRDefault="00A5107F" w:rsidP="00E63B9C">
      <w:pPr>
        <w:pBdr>
          <w:top w:val="single" w:sz="4" w:space="1" w:color="auto"/>
          <w:left w:val="single" w:sz="4" w:space="4" w:color="auto"/>
          <w:bottom w:val="single" w:sz="4" w:space="1" w:color="auto"/>
          <w:right w:val="single" w:sz="4" w:space="4" w:color="auto"/>
        </w:pBdr>
        <w:rPr>
          <w:rFonts w:ascii="Arial" w:hAnsi="Arial" w:cs="Arial"/>
          <w:sz w:val="24"/>
          <w:szCs w:val="24"/>
        </w:rPr>
      </w:pPr>
      <w:r w:rsidRPr="00A5107F">
        <w:rPr>
          <w:noProof/>
        </w:rPr>
        <w:drawing>
          <wp:inline distT="0" distB="0" distL="0" distR="0" wp14:anchorId="555CB534" wp14:editId="53BD326C">
            <wp:extent cx="5644800" cy="624269"/>
            <wp:effectExtent l="0" t="0" r="0" b="444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624269"/>
                    </a:xfrm>
                    <a:prstGeom prst="rect">
                      <a:avLst/>
                    </a:prstGeom>
                    <a:noFill/>
                    <a:ln>
                      <a:noFill/>
                    </a:ln>
                  </pic:spPr>
                </pic:pic>
              </a:graphicData>
            </a:graphic>
          </wp:inline>
        </w:drawing>
      </w:r>
    </w:p>
    <w:p w14:paraId="600E3526" w14:textId="3FAAB89B" w:rsidR="00C6790F" w:rsidRPr="00C6790F" w:rsidRDefault="00C6790F" w:rsidP="00E63B9C">
      <w:pPr>
        <w:pBdr>
          <w:top w:val="single" w:sz="4" w:space="1" w:color="auto"/>
          <w:left w:val="single" w:sz="4" w:space="4" w:color="auto"/>
          <w:bottom w:val="single" w:sz="4" w:space="1" w:color="auto"/>
          <w:right w:val="single" w:sz="4" w:space="4" w:color="auto"/>
        </w:pBdr>
        <w:rPr>
          <w:rFonts w:ascii="Arial" w:eastAsia="Courier New" w:hAnsi="Arial" w:cs="Arial"/>
          <w:sz w:val="24"/>
          <w:szCs w:val="24"/>
        </w:rPr>
      </w:pPr>
      <w:r w:rsidRPr="00C6790F">
        <w:rPr>
          <w:rFonts w:ascii="Arial" w:eastAsia="Courier New" w:hAnsi="Arial" w:cs="Arial"/>
          <w:sz w:val="24"/>
          <w:szCs w:val="24"/>
        </w:rPr>
        <w:t xml:space="preserve">This recommendation is not considered to be of direct relevance to this TPO. </w:t>
      </w:r>
      <w:r w:rsidR="001B3D87">
        <w:rPr>
          <w:rFonts w:ascii="Arial" w:hAnsi="Arial" w:cs="Arial"/>
          <w:sz w:val="24"/>
          <w:szCs w:val="24"/>
        </w:rPr>
        <w:t>This recommendation is therefore expected to have a neutral impact on this objective in both Low and High scenarios</w:t>
      </w:r>
      <w:r w:rsidR="001B3D87">
        <w:rPr>
          <w:rFonts w:ascii="Arial" w:eastAsia="Courier New" w:hAnsi="Arial" w:cs="Arial"/>
          <w:sz w:val="24"/>
          <w:szCs w:val="24"/>
          <w:lang w:eastAsia="en-US"/>
        </w:rPr>
        <w:t>.</w:t>
      </w:r>
    </w:p>
    <w:p w14:paraId="1B60A762" w14:textId="77777777" w:rsidR="009475F2" w:rsidRPr="00036F3F" w:rsidRDefault="009475F2" w:rsidP="00BA13FB">
      <w:pPr>
        <w:pStyle w:val="STPR2Heading3"/>
        <w:keepNext/>
        <w:keepLines/>
        <w:numPr>
          <w:ilvl w:val="0"/>
          <w:numId w:val="2"/>
        </w:numPr>
        <w:pBdr>
          <w:top w:val="single" w:sz="4" w:space="1" w:color="auto"/>
          <w:left w:val="single" w:sz="4" w:space="4" w:color="auto"/>
          <w:bottom w:val="single" w:sz="4" w:space="0" w:color="auto"/>
          <w:right w:val="single" w:sz="4" w:space="4" w:color="auto"/>
        </w:pBdr>
        <w:shd w:val="clear" w:color="auto" w:fill="C9C9C9" w:themeFill="accent3" w:themeFillTint="99"/>
      </w:pPr>
      <w:r w:rsidRPr="00D372E8">
        <w:lastRenderedPageBreak/>
        <w:t>A cohesive strategic transport system that enhances communities as places, supporting health and wellbeing.</w:t>
      </w:r>
    </w:p>
    <w:p w14:paraId="31D8313D" w14:textId="53C755E7" w:rsidR="006A2046" w:rsidRDefault="003C0DDD" w:rsidP="00BA13FB">
      <w:pPr>
        <w:pStyle w:val="STPR2BodyText"/>
        <w:keepNext/>
        <w:keepLines/>
        <w:pBdr>
          <w:top w:val="single" w:sz="4" w:space="1" w:color="auto"/>
          <w:left w:val="single" w:sz="4" w:space="4" w:color="auto"/>
          <w:bottom w:val="single" w:sz="4" w:space="0" w:color="auto"/>
          <w:right w:val="single" w:sz="4" w:space="4" w:color="auto"/>
        </w:pBdr>
        <w:jc w:val="center"/>
        <w:rPr>
          <w:szCs w:val="24"/>
        </w:rPr>
      </w:pPr>
      <w:r w:rsidRPr="00462166">
        <w:rPr>
          <w:noProof/>
        </w:rPr>
        <w:drawing>
          <wp:inline distT="0" distB="0" distL="0" distR="0" wp14:anchorId="7A7DB590" wp14:editId="15309A7D">
            <wp:extent cx="5644800" cy="624269"/>
            <wp:effectExtent l="0" t="0" r="0" b="4445"/>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4800" cy="624269"/>
                    </a:xfrm>
                    <a:prstGeom prst="rect">
                      <a:avLst/>
                    </a:prstGeom>
                    <a:noFill/>
                    <a:ln>
                      <a:noFill/>
                    </a:ln>
                  </pic:spPr>
                </pic:pic>
              </a:graphicData>
            </a:graphic>
          </wp:inline>
        </w:drawing>
      </w:r>
    </w:p>
    <w:p w14:paraId="5711AE28" w14:textId="330BD447" w:rsidR="00E8288C" w:rsidRDefault="00E8288C" w:rsidP="00BA13FB">
      <w:pPr>
        <w:pStyle w:val="STPR2BodyText"/>
        <w:keepNext/>
        <w:keepLines/>
        <w:pBdr>
          <w:top w:val="single" w:sz="4" w:space="1" w:color="auto"/>
          <w:left w:val="single" w:sz="4" w:space="4" w:color="auto"/>
          <w:bottom w:val="single" w:sz="4" w:space="0" w:color="auto"/>
          <w:right w:val="single" w:sz="4" w:space="4" w:color="auto"/>
        </w:pBdr>
        <w:rPr>
          <w:rFonts w:eastAsia="Courier New"/>
          <w:szCs w:val="24"/>
          <w:lang w:eastAsia="en-US"/>
        </w:rPr>
      </w:pPr>
      <w:r>
        <w:rPr>
          <w:rFonts w:eastAsia="Courier New"/>
          <w:szCs w:val="24"/>
          <w:lang w:eastAsia="en-US"/>
        </w:rPr>
        <w:t>A strategy to implement improved</w:t>
      </w:r>
      <w:r w:rsidRPr="001E18A9">
        <w:rPr>
          <w:rFonts w:eastAsia="Courier New"/>
          <w:szCs w:val="24"/>
          <w:lang w:eastAsia="en-US"/>
        </w:rPr>
        <w:t xml:space="preserve"> rest and welfare facilities for hauliers</w:t>
      </w:r>
      <w:r>
        <w:rPr>
          <w:rFonts w:eastAsia="Courier New"/>
          <w:szCs w:val="24"/>
          <w:lang w:eastAsia="en-US"/>
        </w:rPr>
        <w:t xml:space="preserve"> </w:t>
      </w:r>
      <w:r w:rsidR="00A75CE6">
        <w:rPr>
          <w:rFonts w:eastAsia="Courier New"/>
          <w:szCs w:val="24"/>
          <w:lang w:eastAsia="en-US"/>
        </w:rPr>
        <w:t>would</w:t>
      </w:r>
      <w:r>
        <w:rPr>
          <w:rFonts w:eastAsia="Courier New"/>
          <w:szCs w:val="24"/>
          <w:lang w:eastAsia="en-US"/>
        </w:rPr>
        <w:t xml:space="preserve"> help to preserve local amenity by, for example, </w:t>
      </w:r>
      <w:r w:rsidRPr="00E8288C">
        <w:rPr>
          <w:rFonts w:eastAsia="Courier New"/>
          <w:szCs w:val="24"/>
          <w:lang w:eastAsia="en-US"/>
        </w:rPr>
        <w:t>removing unwanted and inappropriate parking and lorry stacking from villages/towns/residential areas.</w:t>
      </w:r>
    </w:p>
    <w:p w14:paraId="0B767D76" w14:textId="2025A741" w:rsidR="00D901BA" w:rsidRDefault="00E8288C" w:rsidP="00E63B9C">
      <w:pPr>
        <w:pStyle w:val="STPR2BodyText"/>
        <w:pBdr>
          <w:top w:val="single" w:sz="4" w:space="1" w:color="auto"/>
          <w:left w:val="single" w:sz="4" w:space="4" w:color="auto"/>
          <w:bottom w:val="single" w:sz="4" w:space="0" w:color="auto"/>
          <w:right w:val="single" w:sz="4" w:space="4" w:color="auto"/>
        </w:pBdr>
        <w:rPr>
          <w:szCs w:val="24"/>
        </w:rPr>
      </w:pPr>
      <w:r>
        <w:rPr>
          <w:rFonts w:eastAsia="Courier New"/>
          <w:szCs w:val="24"/>
          <w:lang w:eastAsia="en-US"/>
        </w:rPr>
        <w:t xml:space="preserve">This aligns with </w:t>
      </w:r>
      <w:hyperlink r:id="rId22" w:history="1">
        <w:r w:rsidRPr="00423066">
          <w:rPr>
            <w:rStyle w:val="Hyperlink"/>
            <w:rFonts w:eastAsia="Courier New"/>
            <w:szCs w:val="24"/>
            <w:lang w:eastAsia="en-US"/>
          </w:rPr>
          <w:t>Scottish Government’s Place Principle</w:t>
        </w:r>
      </w:hyperlink>
      <w:r>
        <w:rPr>
          <w:rFonts w:eastAsia="Courier New"/>
          <w:szCs w:val="24"/>
          <w:lang w:eastAsia="en-US"/>
        </w:rPr>
        <w:t xml:space="preserve">, wherein “traffic and parking arrangements allow people to move around safely and meet the community’s needs”. Parking facilities for HGVs </w:t>
      </w:r>
      <w:r w:rsidR="00A75CE6">
        <w:rPr>
          <w:rFonts w:eastAsia="Courier New"/>
          <w:szCs w:val="24"/>
          <w:lang w:eastAsia="en-US"/>
        </w:rPr>
        <w:t>would</w:t>
      </w:r>
      <w:r>
        <w:rPr>
          <w:rFonts w:eastAsia="Courier New"/>
          <w:szCs w:val="24"/>
          <w:lang w:eastAsia="en-US"/>
        </w:rPr>
        <w:t xml:space="preserve"> need to be located at suitable locations, </w:t>
      </w:r>
      <w:r w:rsidRPr="00B11DEF">
        <w:rPr>
          <w:szCs w:val="24"/>
        </w:rPr>
        <w:t>including at industrial estates, key manufacturing facilities, rail freight terminals, ferry terminals, major ports and airports and national development sites</w:t>
      </w:r>
      <w:r>
        <w:rPr>
          <w:szCs w:val="24"/>
        </w:rPr>
        <w:t>.</w:t>
      </w:r>
    </w:p>
    <w:p w14:paraId="48676C8A" w14:textId="5FE9F743" w:rsidR="00D36725" w:rsidRDefault="00D36725" w:rsidP="00E63B9C">
      <w:pPr>
        <w:pStyle w:val="STPR2BodyText"/>
        <w:pBdr>
          <w:top w:val="single" w:sz="4" w:space="1" w:color="auto"/>
          <w:left w:val="single" w:sz="4" w:space="4" w:color="auto"/>
          <w:bottom w:val="single" w:sz="4" w:space="0" w:color="auto"/>
          <w:right w:val="single" w:sz="4" w:space="4" w:color="auto"/>
        </w:pBdr>
        <w:rPr>
          <w:szCs w:val="24"/>
        </w:rPr>
      </w:pPr>
      <w:r>
        <w:rPr>
          <w:szCs w:val="24"/>
        </w:rPr>
        <w:t>Furthermore, this rec</w:t>
      </w:r>
      <w:r w:rsidR="00F33AD8">
        <w:rPr>
          <w:szCs w:val="24"/>
        </w:rPr>
        <w:t>ommendation</w:t>
      </w:r>
      <w:r w:rsidR="000874C3">
        <w:rPr>
          <w:szCs w:val="24"/>
        </w:rPr>
        <w:t xml:space="preserve"> </w:t>
      </w:r>
      <w:r w:rsidR="00A75CE6">
        <w:rPr>
          <w:szCs w:val="24"/>
        </w:rPr>
        <w:t>would</w:t>
      </w:r>
      <w:r w:rsidR="000874C3">
        <w:rPr>
          <w:szCs w:val="24"/>
        </w:rPr>
        <w:t xml:space="preserve"> look to provide improved</w:t>
      </w:r>
      <w:r w:rsidR="00F33AD8" w:rsidRPr="00F33AD8">
        <w:rPr>
          <w:szCs w:val="24"/>
        </w:rPr>
        <w:t xml:space="preserve"> access to health and wellbeing infrastructure. This general improvement of facilities </w:t>
      </w:r>
      <w:r w:rsidR="00A75CE6">
        <w:rPr>
          <w:szCs w:val="24"/>
        </w:rPr>
        <w:t>would</w:t>
      </w:r>
      <w:r w:rsidR="00F33AD8" w:rsidRPr="00F33AD8">
        <w:rPr>
          <w:szCs w:val="24"/>
        </w:rPr>
        <w:t xml:space="preserve"> improve the health, safety and wellbeing of lorry drivers, aligning with the Scottish Government’s Fair Work convention</w:t>
      </w:r>
      <w:r w:rsidR="000874C3">
        <w:rPr>
          <w:szCs w:val="24"/>
        </w:rPr>
        <w:t>.</w:t>
      </w:r>
    </w:p>
    <w:p w14:paraId="18C97C6F" w14:textId="20BD82D7" w:rsidR="00E8288C" w:rsidRDefault="001B3D87" w:rsidP="00E63B9C">
      <w:pPr>
        <w:pStyle w:val="STPR2BodyText"/>
        <w:pBdr>
          <w:top w:val="single" w:sz="4" w:space="1" w:color="auto"/>
          <w:left w:val="single" w:sz="4" w:space="4" w:color="auto"/>
          <w:bottom w:val="single" w:sz="4" w:space="0" w:color="auto"/>
          <w:right w:val="single" w:sz="4" w:space="4" w:color="auto"/>
        </w:pBdr>
        <w:rPr>
          <w:szCs w:val="24"/>
        </w:rPr>
      </w:pPr>
      <w:bookmarkStart w:id="8" w:name="_Hlk102662205"/>
      <w:r>
        <w:rPr>
          <w:szCs w:val="24"/>
        </w:rPr>
        <w:t>This recommendation is therefore expected to have a minor positive impact on this objective in both Low and High scenarios</w:t>
      </w:r>
    </w:p>
    <w:bookmarkEnd w:id="8"/>
    <w:p w14:paraId="323974C2" w14:textId="03CC5766" w:rsidR="009475F2" w:rsidRPr="00036F3F" w:rsidRDefault="003B0FFA" w:rsidP="00E63B9C">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4. </w:t>
      </w:r>
      <w:r w:rsidR="009475F2" w:rsidRPr="00D372E8">
        <w:t>An integrated strategic transport system that contributes towards sustainable inclusive growth in Scotland.</w:t>
      </w:r>
    </w:p>
    <w:p w14:paraId="0D32BB7A" w14:textId="228AA956" w:rsidR="00C9486F" w:rsidRDefault="00CF1C18" w:rsidP="00E63B9C">
      <w:pPr>
        <w:pBdr>
          <w:top w:val="single" w:sz="4" w:space="1" w:color="auto"/>
          <w:left w:val="single" w:sz="4" w:space="4" w:color="auto"/>
          <w:bottom w:val="single" w:sz="4" w:space="1" w:color="auto"/>
          <w:right w:val="single" w:sz="4" w:space="4" w:color="auto"/>
        </w:pBdr>
        <w:rPr>
          <w:rFonts w:ascii="Arial" w:hAnsi="Arial" w:cs="Arial"/>
          <w:sz w:val="24"/>
          <w:szCs w:val="24"/>
        </w:rPr>
      </w:pPr>
      <w:r w:rsidRPr="00462166">
        <w:rPr>
          <w:noProof/>
        </w:rPr>
        <w:drawing>
          <wp:inline distT="0" distB="0" distL="0" distR="0" wp14:anchorId="3DC80D35" wp14:editId="42C353D9">
            <wp:extent cx="5644800" cy="624269"/>
            <wp:effectExtent l="0" t="0" r="0" b="4445"/>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4800" cy="624269"/>
                    </a:xfrm>
                    <a:prstGeom prst="rect">
                      <a:avLst/>
                    </a:prstGeom>
                    <a:noFill/>
                    <a:ln>
                      <a:noFill/>
                    </a:ln>
                  </pic:spPr>
                </pic:pic>
              </a:graphicData>
            </a:graphic>
          </wp:inline>
        </w:drawing>
      </w:r>
    </w:p>
    <w:p w14:paraId="6ECAA7BA" w14:textId="03852AD2" w:rsidR="00067311" w:rsidRDefault="009B1F89" w:rsidP="00E63B9C">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A strategy to implement improved</w:t>
      </w:r>
      <w:r w:rsidRPr="001E18A9">
        <w:rPr>
          <w:rFonts w:ascii="Arial" w:eastAsia="Courier New" w:hAnsi="Arial" w:cs="Arial"/>
          <w:sz w:val="24"/>
          <w:szCs w:val="24"/>
          <w:lang w:eastAsia="en-US"/>
        </w:rPr>
        <w:t xml:space="preserve"> rest and welfare facilities for hauliers</w:t>
      </w:r>
      <w:r>
        <w:rPr>
          <w:rFonts w:ascii="Arial" w:eastAsia="Courier New" w:hAnsi="Arial" w:cs="Arial"/>
          <w:sz w:val="24"/>
          <w:szCs w:val="24"/>
          <w:lang w:eastAsia="en-US"/>
        </w:rPr>
        <w:t xml:space="preserve">, and the actions generated by this review, </w:t>
      </w:r>
      <w:r w:rsidR="00A75CE6">
        <w:rPr>
          <w:rFonts w:ascii="Arial" w:eastAsia="Courier New" w:hAnsi="Arial" w:cs="Arial"/>
          <w:sz w:val="24"/>
          <w:szCs w:val="24"/>
          <w:lang w:eastAsia="en-US"/>
        </w:rPr>
        <w:t>would</w:t>
      </w:r>
      <w:r>
        <w:rPr>
          <w:rFonts w:ascii="Arial" w:eastAsia="Courier New" w:hAnsi="Arial" w:cs="Arial"/>
          <w:sz w:val="24"/>
          <w:szCs w:val="24"/>
          <w:lang w:eastAsia="en-US"/>
        </w:rPr>
        <w:t xml:space="preserve"> aim to address the shortage in HGV drivers. </w:t>
      </w:r>
      <w:hyperlink r:id="rId23" w:history="1">
        <w:r w:rsidRPr="00AD4366">
          <w:rPr>
            <w:rStyle w:val="Hyperlink"/>
            <w:rFonts w:ascii="Arial" w:eastAsia="Courier New" w:hAnsi="Arial" w:cs="Arial"/>
            <w:sz w:val="24"/>
            <w:szCs w:val="24"/>
            <w:lang w:eastAsia="en-US"/>
          </w:rPr>
          <w:t>Driver shortages reduce the competitiveness of Scottish businesses, by increasing costs for commercial transport, as well as increasing prices across the economy, which is felt by Scottish citizens through higher prices for food</w:t>
        </w:r>
      </w:hyperlink>
      <w:r>
        <w:rPr>
          <w:rFonts w:ascii="Arial" w:eastAsia="Courier New" w:hAnsi="Arial" w:cs="Arial"/>
          <w:sz w:val="24"/>
          <w:szCs w:val="24"/>
          <w:lang w:eastAsia="en-US"/>
        </w:rPr>
        <w:t xml:space="preserve"> and other goods.</w:t>
      </w:r>
    </w:p>
    <w:p w14:paraId="137859F9" w14:textId="4BC8218C" w:rsidR="0066463D" w:rsidRDefault="00E95939" w:rsidP="00E63B9C">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24" w:history="1">
        <w:r w:rsidR="0066463D" w:rsidRPr="00933A8A">
          <w:rPr>
            <w:rStyle w:val="Hyperlink"/>
            <w:rFonts w:ascii="Arial" w:hAnsi="Arial" w:cs="Arial"/>
            <w:sz w:val="24"/>
            <w:szCs w:val="24"/>
          </w:rPr>
          <w:t>The improvement of facilities was identified by the road haulage sector</w:t>
        </w:r>
      </w:hyperlink>
      <w:r w:rsidR="0066463D" w:rsidRPr="00B11DEF">
        <w:rPr>
          <w:rFonts w:ascii="Arial" w:hAnsi="Arial" w:cs="Arial"/>
          <w:sz w:val="24"/>
          <w:szCs w:val="24"/>
        </w:rPr>
        <w:t xml:space="preserve"> as an opportunity for economic recovery post</w:t>
      </w:r>
      <w:r w:rsidR="0066463D">
        <w:rPr>
          <w:rFonts w:ascii="Arial" w:hAnsi="Arial" w:cs="Arial"/>
          <w:sz w:val="24"/>
          <w:szCs w:val="24"/>
        </w:rPr>
        <w:t>-</w:t>
      </w:r>
      <w:r w:rsidR="0066463D" w:rsidRPr="00B11DEF">
        <w:rPr>
          <w:rFonts w:ascii="Arial" w:hAnsi="Arial" w:cs="Arial"/>
          <w:sz w:val="24"/>
          <w:szCs w:val="24"/>
        </w:rPr>
        <w:t>COVID-19</w:t>
      </w:r>
      <w:r w:rsidR="0066463D">
        <w:rPr>
          <w:rFonts w:ascii="Arial" w:hAnsi="Arial" w:cs="Arial"/>
          <w:sz w:val="24"/>
          <w:szCs w:val="24"/>
        </w:rPr>
        <w:t xml:space="preserve">, </w:t>
      </w:r>
      <w:hyperlink r:id="rId25" w:history="1">
        <w:r w:rsidR="0066463D" w:rsidRPr="00EB7109">
          <w:rPr>
            <w:rStyle w:val="Hyperlink"/>
            <w:rFonts w:ascii="Arial" w:hAnsi="Arial" w:cs="Arial"/>
            <w:sz w:val="24"/>
            <w:szCs w:val="24"/>
          </w:rPr>
          <w:t>with a study from the USA indicating that truck stops can represent agglomeration benefits for surrounding trucking-related industries</w:t>
        </w:r>
      </w:hyperlink>
      <w:r w:rsidR="0066463D">
        <w:rPr>
          <w:rFonts w:ascii="Arial" w:hAnsi="Arial" w:cs="Arial"/>
          <w:sz w:val="24"/>
          <w:szCs w:val="24"/>
        </w:rPr>
        <w:t xml:space="preserve">. Facilities </w:t>
      </w:r>
      <w:proofErr w:type="gramStart"/>
      <w:r w:rsidR="0066463D">
        <w:rPr>
          <w:rFonts w:ascii="Arial" w:hAnsi="Arial" w:cs="Arial"/>
          <w:sz w:val="24"/>
          <w:szCs w:val="24"/>
        </w:rPr>
        <w:t>could be therefore be</w:t>
      </w:r>
      <w:proofErr w:type="gramEnd"/>
      <w:r w:rsidR="0066463D">
        <w:rPr>
          <w:rFonts w:ascii="Arial" w:hAnsi="Arial" w:cs="Arial"/>
          <w:sz w:val="24"/>
          <w:szCs w:val="24"/>
        </w:rPr>
        <w:t xml:space="preserve"> strategically located to harness the economic benefits to local communities. However, it is not fully understood how this would translate to the Scottish economy.</w:t>
      </w:r>
    </w:p>
    <w:p w14:paraId="6C9BA580" w14:textId="29C3DC9F" w:rsidR="009B1F89" w:rsidRDefault="00F73B56" w:rsidP="00E63B9C">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eastAsia="Courier New" w:hAnsi="Arial" w:cs="Arial"/>
          <w:sz w:val="24"/>
          <w:szCs w:val="28"/>
          <w:lang w:eastAsia="en-US"/>
        </w:rPr>
        <w:t xml:space="preserve">As it is difficult to assess the value of constructing truck stops to the Scottish economy, as well as the impact it </w:t>
      </w:r>
      <w:r w:rsidR="00A75CE6">
        <w:rPr>
          <w:rFonts w:ascii="Arial" w:eastAsia="Courier New" w:hAnsi="Arial" w:cs="Arial"/>
          <w:sz w:val="24"/>
          <w:szCs w:val="28"/>
          <w:lang w:eastAsia="en-US"/>
        </w:rPr>
        <w:t>would</w:t>
      </w:r>
      <w:r>
        <w:rPr>
          <w:rFonts w:ascii="Arial" w:eastAsia="Courier New" w:hAnsi="Arial" w:cs="Arial"/>
          <w:sz w:val="24"/>
          <w:szCs w:val="28"/>
          <w:lang w:eastAsia="en-US"/>
        </w:rPr>
        <w:t xml:space="preserve"> have on attracting new workers to the sector, t</w:t>
      </w:r>
      <w:r w:rsidR="0066463D" w:rsidRPr="0066463D">
        <w:rPr>
          <w:rFonts w:ascii="Arial" w:eastAsia="Courier New" w:hAnsi="Arial" w:cs="Arial"/>
          <w:sz w:val="24"/>
          <w:szCs w:val="28"/>
          <w:lang w:eastAsia="en-US"/>
        </w:rPr>
        <w:t xml:space="preserve">his recommendation </w:t>
      </w:r>
      <w:r w:rsidR="00276490">
        <w:rPr>
          <w:rFonts w:ascii="Arial" w:eastAsia="Courier New" w:hAnsi="Arial" w:cs="Arial"/>
          <w:sz w:val="24"/>
          <w:szCs w:val="28"/>
          <w:lang w:eastAsia="en-US"/>
        </w:rPr>
        <w:t>is expected to have a minor</w:t>
      </w:r>
      <w:r w:rsidR="009645AE">
        <w:rPr>
          <w:rFonts w:ascii="Arial" w:eastAsia="Courier New" w:hAnsi="Arial" w:cs="Arial"/>
          <w:sz w:val="24"/>
          <w:szCs w:val="28"/>
          <w:lang w:eastAsia="en-US"/>
        </w:rPr>
        <w:t xml:space="preserve"> positive </w:t>
      </w:r>
      <w:r w:rsidR="0066463D">
        <w:rPr>
          <w:rFonts w:ascii="Arial" w:eastAsia="Courier New" w:hAnsi="Arial" w:cs="Arial"/>
          <w:sz w:val="24"/>
          <w:szCs w:val="28"/>
          <w:lang w:eastAsia="en-US"/>
        </w:rPr>
        <w:t>impact</w:t>
      </w:r>
      <w:r w:rsidR="0066463D" w:rsidRPr="0066463D">
        <w:rPr>
          <w:rFonts w:ascii="Arial" w:eastAsia="Courier New" w:hAnsi="Arial" w:cs="Arial"/>
          <w:sz w:val="24"/>
          <w:szCs w:val="28"/>
          <w:lang w:eastAsia="en-US"/>
        </w:rPr>
        <w:t xml:space="preserve"> </w:t>
      </w:r>
      <w:r w:rsidR="00276490">
        <w:rPr>
          <w:rFonts w:ascii="Arial" w:eastAsia="Courier New" w:hAnsi="Arial" w:cs="Arial"/>
          <w:sz w:val="24"/>
          <w:szCs w:val="28"/>
          <w:lang w:eastAsia="en-US"/>
        </w:rPr>
        <w:t xml:space="preserve">on this objective in both Low and </w:t>
      </w:r>
      <w:r w:rsidR="0066463D" w:rsidRPr="0066463D">
        <w:rPr>
          <w:rFonts w:ascii="Arial" w:eastAsia="Courier New" w:hAnsi="Arial" w:cs="Arial"/>
          <w:sz w:val="24"/>
          <w:szCs w:val="28"/>
          <w:lang w:eastAsia="en-US"/>
        </w:rPr>
        <w:t>High scenarios</w:t>
      </w:r>
      <w:r w:rsidR="009E176A">
        <w:rPr>
          <w:rFonts w:ascii="Arial" w:eastAsia="Courier New" w:hAnsi="Arial" w:cs="Arial"/>
          <w:sz w:val="24"/>
          <w:szCs w:val="28"/>
          <w:lang w:eastAsia="en-US"/>
        </w:rPr>
        <w:t>.</w:t>
      </w:r>
      <w:r w:rsidR="0066463D">
        <w:rPr>
          <w:rFonts w:ascii="Arial" w:eastAsia="Courier New" w:hAnsi="Arial" w:cs="Arial"/>
          <w:sz w:val="24"/>
          <w:szCs w:val="28"/>
          <w:lang w:eastAsia="en-US"/>
        </w:rPr>
        <w:t xml:space="preserve"> </w:t>
      </w:r>
    </w:p>
    <w:p w14:paraId="32BC6E8F" w14:textId="66575AE4" w:rsidR="00E21263" w:rsidRPr="00036F3F" w:rsidRDefault="00E21263">
      <w:pPr>
        <w:rPr>
          <w:rFonts w:ascii="Arial" w:eastAsia="Courier New" w:hAnsi="Arial" w:cs="Arial"/>
          <w:sz w:val="24"/>
          <w:szCs w:val="24"/>
          <w:lang w:eastAsia="en-US"/>
        </w:rPr>
      </w:pPr>
    </w:p>
    <w:p w14:paraId="6C633730" w14:textId="2833BAF2" w:rsidR="009475F2" w:rsidRPr="00036F3F" w:rsidRDefault="003B0FFA" w:rsidP="00E63B9C">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w:t>
      </w:r>
      <w:bookmarkStart w:id="9" w:name="_Hlk96067281"/>
      <w:r w:rsidR="009475F2" w:rsidRPr="00D372E8">
        <w:t>A reliable and resilient strategic transport system that is safe and secure for users.</w:t>
      </w:r>
    </w:p>
    <w:bookmarkEnd w:id="9"/>
    <w:p w14:paraId="51455A53" w14:textId="266ABEF9" w:rsidR="006A2046" w:rsidRDefault="00CF1C18" w:rsidP="00E63B9C">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462166">
        <w:rPr>
          <w:noProof/>
        </w:rPr>
        <w:drawing>
          <wp:inline distT="0" distB="0" distL="0" distR="0" wp14:anchorId="311EDA29" wp14:editId="60FF00BA">
            <wp:extent cx="5644800" cy="624269"/>
            <wp:effectExtent l="0" t="0" r="0" b="4445"/>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4800" cy="624269"/>
                    </a:xfrm>
                    <a:prstGeom prst="rect">
                      <a:avLst/>
                    </a:prstGeom>
                    <a:noFill/>
                    <a:ln>
                      <a:noFill/>
                    </a:ln>
                  </pic:spPr>
                </pic:pic>
              </a:graphicData>
            </a:graphic>
          </wp:inline>
        </w:drawing>
      </w:r>
    </w:p>
    <w:p w14:paraId="51F2CD64" w14:textId="6DCA789D" w:rsidR="00AC0E76" w:rsidRDefault="0066463D" w:rsidP="00E63B9C">
      <w:pPr>
        <w:pBdr>
          <w:top w:val="single" w:sz="4" w:space="1" w:color="auto"/>
          <w:left w:val="single" w:sz="4" w:space="4" w:color="auto"/>
          <w:bottom w:val="single" w:sz="4" w:space="1" w:color="auto"/>
          <w:right w:val="single" w:sz="4" w:space="4" w:color="auto"/>
        </w:pBdr>
        <w:rPr>
          <w:rFonts w:ascii="Arial" w:hAnsi="Arial" w:cs="Arial"/>
          <w:sz w:val="24"/>
          <w:szCs w:val="24"/>
        </w:rPr>
      </w:pPr>
      <w:r w:rsidRPr="0066463D">
        <w:rPr>
          <w:rFonts w:ascii="Arial" w:hAnsi="Arial" w:cs="Arial"/>
          <w:sz w:val="24"/>
          <w:szCs w:val="24"/>
        </w:rPr>
        <w:t>A strategy to implement improved rest and welfare facilities for hauliers</w:t>
      </w:r>
      <w:r>
        <w:rPr>
          <w:rFonts w:ascii="Arial" w:hAnsi="Arial" w:cs="Arial"/>
          <w:sz w:val="24"/>
          <w:szCs w:val="24"/>
        </w:rPr>
        <w:t xml:space="preserve">, and their subsequent construction, </w:t>
      </w:r>
      <w:r w:rsidR="00A75CE6">
        <w:rPr>
          <w:rFonts w:ascii="Arial" w:hAnsi="Arial" w:cs="Arial"/>
          <w:sz w:val="24"/>
          <w:szCs w:val="24"/>
        </w:rPr>
        <w:t>would</w:t>
      </w:r>
      <w:r>
        <w:rPr>
          <w:rFonts w:ascii="Arial" w:hAnsi="Arial" w:cs="Arial"/>
          <w:sz w:val="24"/>
          <w:szCs w:val="24"/>
        </w:rPr>
        <w:t xml:space="preserve"> aim to address the shortage in HGV drivers. </w:t>
      </w:r>
      <w:r w:rsidR="00AC0E76">
        <w:rPr>
          <w:rFonts w:ascii="Arial" w:hAnsi="Arial" w:cs="Arial"/>
          <w:sz w:val="24"/>
          <w:szCs w:val="24"/>
        </w:rPr>
        <w:t>Currently, the challenge is straining the industry, making reliable, consistent services more difficult to provide by logistics operators</w:t>
      </w:r>
      <w:r w:rsidR="00767842">
        <w:rPr>
          <w:rFonts w:ascii="Arial" w:hAnsi="Arial" w:cs="Arial"/>
          <w:sz w:val="24"/>
          <w:szCs w:val="24"/>
        </w:rPr>
        <w:t>, and making the supply chain more resilient to demand and supply shocks.</w:t>
      </w:r>
    </w:p>
    <w:p w14:paraId="7E2CDEC9" w14:textId="202448DF" w:rsidR="00883506" w:rsidRDefault="00651797" w:rsidP="00E63B9C">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There may also be benefits to safety and security, as the</w:t>
      </w:r>
      <w:r w:rsidR="00A67718">
        <w:rPr>
          <w:rFonts w:ascii="Arial" w:hAnsi="Arial" w:cs="Arial"/>
          <w:sz w:val="24"/>
          <w:szCs w:val="24"/>
        </w:rPr>
        <w:t xml:space="preserve"> strategy would look to increase </w:t>
      </w:r>
      <w:r w:rsidR="00475503">
        <w:rPr>
          <w:rFonts w:ascii="Arial" w:hAnsi="Arial" w:cs="Arial"/>
          <w:sz w:val="24"/>
          <w:szCs w:val="24"/>
        </w:rPr>
        <w:t>provision of facilities across Scotland</w:t>
      </w:r>
      <w:r w:rsidR="000D6586">
        <w:rPr>
          <w:rFonts w:ascii="Arial" w:hAnsi="Arial" w:cs="Arial"/>
          <w:sz w:val="24"/>
          <w:szCs w:val="24"/>
        </w:rPr>
        <w:t>, as well as providing facilities with adequate CCTV, lighting and security fencing to protect drivers and their freight.</w:t>
      </w:r>
    </w:p>
    <w:p w14:paraId="03A4A4C5" w14:textId="0450A774" w:rsidR="00AE7896" w:rsidRDefault="00D16051" w:rsidP="00E63B9C">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This recommendation is therefore expected to have a </w:t>
      </w:r>
      <w:r w:rsidR="00592D94">
        <w:rPr>
          <w:rFonts w:ascii="Arial" w:hAnsi="Arial" w:cs="Arial"/>
          <w:sz w:val="24"/>
          <w:szCs w:val="24"/>
        </w:rPr>
        <w:t xml:space="preserve">minor </w:t>
      </w:r>
      <w:r>
        <w:rPr>
          <w:rFonts w:ascii="Arial" w:hAnsi="Arial" w:cs="Arial"/>
          <w:sz w:val="24"/>
          <w:szCs w:val="24"/>
        </w:rPr>
        <w:t>positive impact on this objective in both Low and High scenarios</w:t>
      </w:r>
      <w:r w:rsidR="008D2EE9">
        <w:rPr>
          <w:rFonts w:ascii="Arial" w:hAnsi="Arial" w:cs="Arial"/>
          <w:sz w:val="24"/>
          <w:szCs w:val="24"/>
        </w:rPr>
        <w:t>.</w:t>
      </w:r>
    </w:p>
    <w:p w14:paraId="75F8B8BC" w14:textId="098CCE33" w:rsidR="009475F2" w:rsidRDefault="009475F2">
      <w:pPr>
        <w:pStyle w:val="STPR2Heading2"/>
        <w:ind w:left="567" w:hanging="567"/>
      </w:pPr>
      <w:bookmarkStart w:id="10" w:name="_Toc96083526"/>
      <w:r>
        <w:t xml:space="preserve">STAG </w:t>
      </w:r>
      <w:bookmarkEnd w:id="10"/>
      <w:r w:rsidR="00A22061">
        <w:t>Criteria</w:t>
      </w:r>
    </w:p>
    <w:p w14:paraId="7B8811C0" w14:textId="43806BF1" w:rsidR="009475F2" w:rsidRPr="00D372E8" w:rsidRDefault="003B0FFA" w:rsidP="00E63B9C">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1" w:name="_Toc96083527"/>
      <w:r>
        <w:t xml:space="preserve">1. </w:t>
      </w:r>
      <w:bookmarkEnd w:id="11"/>
      <w:r w:rsidR="009475F2" w:rsidRPr="00D372E8">
        <w:t>Environment</w:t>
      </w:r>
    </w:p>
    <w:p w14:paraId="4599EA29" w14:textId="558965EF" w:rsidR="00C9486F" w:rsidRPr="00537A75" w:rsidRDefault="00A5107F" w:rsidP="00E63B9C">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A5107F">
        <w:rPr>
          <w:noProof/>
        </w:rPr>
        <w:drawing>
          <wp:inline distT="0" distB="0" distL="0" distR="0" wp14:anchorId="604F33FD" wp14:editId="3F4552D3">
            <wp:extent cx="5644800" cy="624269"/>
            <wp:effectExtent l="0" t="0" r="0" b="4445"/>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624269"/>
                    </a:xfrm>
                    <a:prstGeom prst="rect">
                      <a:avLst/>
                    </a:prstGeom>
                    <a:noFill/>
                    <a:ln>
                      <a:noFill/>
                    </a:ln>
                  </pic:spPr>
                </pic:pic>
              </a:graphicData>
            </a:graphic>
          </wp:inline>
        </w:drawing>
      </w:r>
    </w:p>
    <w:p w14:paraId="76A84888" w14:textId="77777777" w:rsidR="00287B54" w:rsidRDefault="00287B54" w:rsidP="00E63B9C">
      <w:pPr>
        <w:pBdr>
          <w:top w:val="single" w:sz="4" w:space="1" w:color="auto"/>
          <w:left w:val="single" w:sz="4" w:space="4" w:color="auto"/>
          <w:bottom w:val="single" w:sz="4" w:space="1" w:color="auto"/>
          <w:right w:val="single" w:sz="4" w:space="4" w:color="auto"/>
        </w:pBdr>
        <w:rPr>
          <w:rFonts w:ascii="Arial" w:hAnsi="Arial" w:cs="Arial"/>
          <w:color w:val="000000"/>
          <w:sz w:val="24"/>
        </w:rPr>
      </w:pPr>
      <w:r w:rsidRPr="00287B54">
        <w:rPr>
          <w:rFonts w:ascii="Arial" w:hAnsi="Arial" w:cs="Arial"/>
          <w:color w:val="000000"/>
          <w:sz w:val="24"/>
        </w:rPr>
        <w:t>See Strategic Environmental Assessment (SEA) below.</w:t>
      </w:r>
    </w:p>
    <w:p w14:paraId="0885C30B" w14:textId="121FC08B" w:rsidR="00826389" w:rsidRDefault="002132B4" w:rsidP="00E63B9C">
      <w:pPr>
        <w:pBdr>
          <w:top w:val="single" w:sz="4" w:space="1" w:color="auto"/>
          <w:left w:val="single" w:sz="4" w:space="4" w:color="auto"/>
          <w:bottom w:val="single" w:sz="4" w:space="1" w:color="auto"/>
          <w:right w:val="single" w:sz="4" w:space="4" w:color="auto"/>
        </w:pBdr>
        <w:rPr>
          <w:rFonts w:ascii="Arial" w:hAnsi="Arial" w:cs="Arial"/>
          <w:color w:val="000000"/>
          <w:sz w:val="24"/>
        </w:rPr>
      </w:pPr>
      <w:r w:rsidRPr="002132B4">
        <w:rPr>
          <w:rFonts w:ascii="Arial" w:hAnsi="Arial" w:cs="Arial"/>
          <w:color w:val="000000"/>
          <w:sz w:val="24"/>
        </w:rPr>
        <w:t>This recommendation</w:t>
      </w:r>
      <w:r w:rsidR="008D2EE9">
        <w:rPr>
          <w:rFonts w:ascii="Arial" w:hAnsi="Arial" w:cs="Arial"/>
          <w:color w:val="000000"/>
          <w:sz w:val="24"/>
        </w:rPr>
        <w:t xml:space="preserve"> is expected to have</w:t>
      </w:r>
      <w:r w:rsidRPr="002132B4">
        <w:rPr>
          <w:rFonts w:ascii="Arial" w:hAnsi="Arial" w:cs="Arial"/>
          <w:color w:val="000000"/>
          <w:sz w:val="24"/>
        </w:rPr>
        <w:t xml:space="preserve"> </w:t>
      </w:r>
      <w:r w:rsidR="00287B54">
        <w:rPr>
          <w:rFonts w:ascii="Arial" w:hAnsi="Arial" w:cs="Arial"/>
          <w:color w:val="000000"/>
          <w:sz w:val="24"/>
        </w:rPr>
        <w:t xml:space="preserve">a neutral </w:t>
      </w:r>
      <w:r w:rsidR="008D2EE9">
        <w:rPr>
          <w:rFonts w:ascii="Arial" w:hAnsi="Arial" w:cs="Arial"/>
          <w:color w:val="000000"/>
          <w:sz w:val="24"/>
        </w:rPr>
        <w:t>effect on this criterion in both the Low and High scenarios.</w:t>
      </w:r>
    </w:p>
    <w:p w14:paraId="5D9479F6" w14:textId="77777777" w:rsidR="00E21263" w:rsidRPr="00537A75" w:rsidRDefault="00E21263">
      <w:pPr>
        <w:rPr>
          <w:rFonts w:ascii="Arial" w:eastAsia="Courier New" w:hAnsi="Arial" w:cs="Arial"/>
          <w:sz w:val="24"/>
          <w:szCs w:val="24"/>
          <w:lang w:eastAsia="en-US"/>
        </w:rPr>
      </w:pPr>
    </w:p>
    <w:p w14:paraId="3CAD198B" w14:textId="2D640B99" w:rsidR="009475F2" w:rsidRPr="00D372E8" w:rsidRDefault="003B0FFA" w:rsidP="00E63B9C">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r w:rsidR="009475F2" w:rsidRPr="00D372E8">
        <w:t>Climate Change</w:t>
      </w:r>
    </w:p>
    <w:p w14:paraId="20A1E1B9" w14:textId="0ACF2FF0" w:rsidR="00C9486F" w:rsidRDefault="00A5107F" w:rsidP="00E63B9C">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A5107F">
        <w:rPr>
          <w:noProof/>
        </w:rPr>
        <w:drawing>
          <wp:inline distT="0" distB="0" distL="0" distR="0" wp14:anchorId="1C6DC569" wp14:editId="79E60621">
            <wp:extent cx="5644800" cy="624269"/>
            <wp:effectExtent l="0" t="0" r="0" b="4445"/>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624269"/>
                    </a:xfrm>
                    <a:prstGeom prst="rect">
                      <a:avLst/>
                    </a:prstGeom>
                    <a:noFill/>
                    <a:ln>
                      <a:noFill/>
                    </a:ln>
                  </pic:spPr>
                </pic:pic>
              </a:graphicData>
            </a:graphic>
          </wp:inline>
        </w:drawing>
      </w:r>
    </w:p>
    <w:p w14:paraId="586DD8EE" w14:textId="55EFEE87" w:rsidR="00830B08" w:rsidRDefault="00830B08" w:rsidP="00E63B9C">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r w:rsidRPr="00830B08">
        <w:rPr>
          <w:rFonts w:ascii="Arial" w:hAnsi="Arial" w:cs="Arial"/>
          <w:iCs/>
          <w:sz w:val="24"/>
          <w:szCs w:val="24"/>
        </w:rPr>
        <w:t xml:space="preserve">A strategy to implement improved rest and welfare facilities for hauliers </w:t>
      </w:r>
      <w:r w:rsidR="00A75CE6">
        <w:rPr>
          <w:rFonts w:ascii="Arial" w:hAnsi="Arial" w:cs="Arial"/>
          <w:iCs/>
          <w:sz w:val="24"/>
          <w:szCs w:val="24"/>
        </w:rPr>
        <w:t>would</w:t>
      </w:r>
      <w:r w:rsidRPr="00830B08">
        <w:rPr>
          <w:rFonts w:ascii="Arial" w:hAnsi="Arial" w:cs="Arial"/>
          <w:iCs/>
          <w:sz w:val="24"/>
          <w:szCs w:val="24"/>
        </w:rPr>
        <w:t xml:space="preserve"> have no contribution to </w:t>
      </w:r>
      <w:r>
        <w:rPr>
          <w:rFonts w:ascii="Arial" w:hAnsi="Arial" w:cs="Arial"/>
          <w:iCs/>
          <w:sz w:val="24"/>
          <w:szCs w:val="24"/>
        </w:rPr>
        <w:t>greenhouse gas emissions</w:t>
      </w:r>
      <w:r w:rsidR="001D3BEF">
        <w:rPr>
          <w:rFonts w:ascii="Arial" w:hAnsi="Arial" w:cs="Arial"/>
          <w:iCs/>
          <w:sz w:val="24"/>
          <w:szCs w:val="24"/>
        </w:rPr>
        <w:t xml:space="preserve">, vulnerability to the effects of climate change, or the potential to adapt to </w:t>
      </w:r>
      <w:r w:rsidR="002B3D08">
        <w:rPr>
          <w:rFonts w:ascii="Arial" w:hAnsi="Arial" w:cs="Arial"/>
          <w:iCs/>
          <w:sz w:val="24"/>
          <w:szCs w:val="24"/>
        </w:rPr>
        <w:t xml:space="preserve">the </w:t>
      </w:r>
      <w:r w:rsidR="001D3BEF">
        <w:rPr>
          <w:rFonts w:ascii="Arial" w:hAnsi="Arial" w:cs="Arial"/>
          <w:iCs/>
          <w:sz w:val="24"/>
          <w:szCs w:val="24"/>
        </w:rPr>
        <w:t>effects of climate change.</w:t>
      </w:r>
      <w:r>
        <w:rPr>
          <w:rFonts w:ascii="Arial" w:hAnsi="Arial" w:cs="Arial"/>
          <w:iCs/>
          <w:sz w:val="24"/>
          <w:szCs w:val="24"/>
        </w:rPr>
        <w:t xml:space="preserve"> </w:t>
      </w:r>
      <w:r w:rsidRPr="00830B08">
        <w:rPr>
          <w:rFonts w:ascii="Arial" w:hAnsi="Arial" w:cs="Arial"/>
          <w:iCs/>
          <w:sz w:val="24"/>
          <w:szCs w:val="24"/>
        </w:rPr>
        <w:t xml:space="preserve">There may be opportunities to install alternative fuel infrastructure (such as electric vehicle charging, LNG/CNG fuelling) as part of truck stop re-developments identified within the strategy, however this is captured as part of </w:t>
      </w:r>
      <w:r w:rsidR="00BC232C">
        <w:rPr>
          <w:rFonts w:ascii="Arial" w:eastAsia="Courier New" w:hAnsi="Arial" w:cs="Arial"/>
          <w:sz w:val="24"/>
          <w:szCs w:val="24"/>
        </w:rPr>
        <w:t>Zero emissions vehicles and infrastructure transition (Recommendation 28)</w:t>
      </w:r>
      <w:r w:rsidR="00BC232C">
        <w:rPr>
          <w:rFonts w:ascii="Arial" w:hAnsi="Arial" w:cs="Arial"/>
          <w:iCs/>
          <w:sz w:val="24"/>
          <w:szCs w:val="24"/>
        </w:rPr>
        <w:t>.</w:t>
      </w:r>
    </w:p>
    <w:p w14:paraId="14AFA8F2" w14:textId="15B77BAE" w:rsidR="00830B08" w:rsidRPr="00830B08" w:rsidRDefault="00830B08" w:rsidP="00E63B9C">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r>
        <w:rPr>
          <w:rFonts w:ascii="Arial" w:hAnsi="Arial" w:cs="Arial"/>
          <w:iCs/>
          <w:sz w:val="24"/>
          <w:szCs w:val="24"/>
        </w:rPr>
        <w:lastRenderedPageBreak/>
        <w:t xml:space="preserve">It could also be noted that additional truck parking </w:t>
      </w:r>
      <w:r w:rsidR="00A75CE6">
        <w:rPr>
          <w:rFonts w:ascii="Arial" w:hAnsi="Arial" w:cs="Arial"/>
          <w:iCs/>
          <w:sz w:val="24"/>
          <w:szCs w:val="24"/>
        </w:rPr>
        <w:t>would</w:t>
      </w:r>
      <w:r>
        <w:rPr>
          <w:rFonts w:ascii="Arial" w:hAnsi="Arial" w:cs="Arial"/>
          <w:iCs/>
          <w:sz w:val="24"/>
          <w:szCs w:val="24"/>
        </w:rPr>
        <w:t xml:space="preserve"> be required to provide safe stopping points for drivers during disruptive weather, which </w:t>
      </w:r>
      <w:r w:rsidR="00A75CE6">
        <w:rPr>
          <w:rFonts w:ascii="Arial" w:hAnsi="Arial" w:cs="Arial"/>
          <w:iCs/>
          <w:sz w:val="24"/>
          <w:szCs w:val="24"/>
        </w:rPr>
        <w:t>would</w:t>
      </w:r>
      <w:r>
        <w:rPr>
          <w:rFonts w:ascii="Arial" w:hAnsi="Arial" w:cs="Arial"/>
          <w:iCs/>
          <w:sz w:val="24"/>
          <w:szCs w:val="24"/>
        </w:rPr>
        <w:t xml:space="preserve"> become more common due to climate change.</w:t>
      </w:r>
    </w:p>
    <w:p w14:paraId="0049E21E" w14:textId="672A56A8" w:rsidR="00880F74" w:rsidRDefault="00880F74" w:rsidP="00E63B9C">
      <w:pPr>
        <w:pBdr>
          <w:top w:val="single" w:sz="4" w:space="1" w:color="auto"/>
          <w:left w:val="single" w:sz="4" w:space="4" w:color="auto"/>
          <w:bottom w:val="single" w:sz="4" w:space="1" w:color="auto"/>
          <w:right w:val="single" w:sz="4" w:space="4" w:color="auto"/>
        </w:pBdr>
        <w:rPr>
          <w:rFonts w:ascii="Arial" w:hAnsi="Arial" w:cs="Arial"/>
          <w:sz w:val="24"/>
          <w:szCs w:val="24"/>
        </w:rPr>
      </w:pPr>
      <w:r w:rsidRPr="00166808">
        <w:rPr>
          <w:rFonts w:ascii="Arial" w:hAnsi="Arial" w:cs="Arial"/>
          <w:sz w:val="24"/>
          <w:szCs w:val="24"/>
        </w:rPr>
        <w:t xml:space="preserve">This recommendation is expected to have a </w:t>
      </w:r>
      <w:r>
        <w:rPr>
          <w:rFonts w:ascii="Arial" w:hAnsi="Arial" w:cs="Arial"/>
          <w:sz w:val="24"/>
          <w:szCs w:val="24"/>
        </w:rPr>
        <w:t>neutral</w:t>
      </w:r>
      <w:r w:rsidRPr="00166808">
        <w:rPr>
          <w:rFonts w:ascii="Arial" w:hAnsi="Arial" w:cs="Arial"/>
          <w:sz w:val="24"/>
          <w:szCs w:val="24"/>
        </w:rPr>
        <w:t xml:space="preserve"> impact on this criterion in both Low and High scenarios.</w:t>
      </w:r>
    </w:p>
    <w:p w14:paraId="26495575" w14:textId="77777777" w:rsidR="008D2EE9" w:rsidRPr="00A0568A" w:rsidRDefault="008D2EE9">
      <w:pPr>
        <w:pStyle w:val="STPR2BodyText"/>
      </w:pPr>
    </w:p>
    <w:p w14:paraId="3B1FDC67" w14:textId="2B5F0765" w:rsidR="009475F2" w:rsidRPr="00537A75" w:rsidRDefault="003B0FFA" w:rsidP="00E63B9C">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r w:rsidR="009475F2" w:rsidRPr="00537A75">
        <w:t>Health, Safety and Wellbeing</w:t>
      </w:r>
    </w:p>
    <w:p w14:paraId="459F711D" w14:textId="75A2FAB3" w:rsidR="00BF5DF5" w:rsidRPr="00537A75" w:rsidRDefault="008D7039" w:rsidP="00E63B9C">
      <w:pPr>
        <w:pStyle w:val="ListBullet"/>
        <w:keepNext/>
        <w:keepLines/>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432BD1">
        <w:rPr>
          <w:noProof/>
        </w:rPr>
        <w:drawing>
          <wp:inline distT="0" distB="0" distL="0" distR="0" wp14:anchorId="25EC0D77" wp14:editId="6569ED1B">
            <wp:extent cx="5644800" cy="589436"/>
            <wp:effectExtent l="0" t="0" r="0" b="127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44800" cy="589436"/>
                    </a:xfrm>
                    <a:prstGeom prst="rect">
                      <a:avLst/>
                    </a:prstGeom>
                    <a:noFill/>
                    <a:ln>
                      <a:noFill/>
                    </a:ln>
                  </pic:spPr>
                </pic:pic>
              </a:graphicData>
            </a:graphic>
          </wp:inline>
        </w:drawing>
      </w:r>
    </w:p>
    <w:p w14:paraId="5C0CFCA1" w14:textId="3B1081AD" w:rsidR="00B11DEF" w:rsidRPr="00B11DEF" w:rsidRDefault="00830B08" w:rsidP="00E63B9C">
      <w:pPr>
        <w:keepNext/>
        <w:keepLines/>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830B08">
        <w:rPr>
          <w:rFonts w:ascii="Arial" w:eastAsia="Courier New" w:hAnsi="Arial" w:cs="Arial"/>
          <w:sz w:val="24"/>
          <w:szCs w:val="24"/>
          <w:lang w:eastAsia="en-US"/>
        </w:rPr>
        <w:t>A strategy to implement improved rest and welfare facilities for hauliers</w:t>
      </w:r>
      <w:r>
        <w:rPr>
          <w:rFonts w:ascii="Arial" w:eastAsia="Courier New" w:hAnsi="Arial" w:cs="Arial"/>
          <w:sz w:val="24"/>
          <w:szCs w:val="24"/>
          <w:lang w:eastAsia="en-US"/>
        </w:rPr>
        <w:t xml:space="preserve"> </w:t>
      </w:r>
      <w:r w:rsidR="00B11DEF" w:rsidRPr="00B11DEF">
        <w:rPr>
          <w:rFonts w:ascii="Arial" w:eastAsia="Courier New" w:hAnsi="Arial" w:cs="Arial"/>
          <w:sz w:val="24"/>
          <w:szCs w:val="24"/>
          <w:lang w:eastAsia="en-US"/>
        </w:rPr>
        <w:t>would identify gaps in safety and welfare provision</w:t>
      </w:r>
      <w:r>
        <w:rPr>
          <w:rFonts w:ascii="Arial" w:eastAsia="Courier New" w:hAnsi="Arial" w:cs="Arial"/>
          <w:sz w:val="24"/>
          <w:szCs w:val="24"/>
          <w:lang w:eastAsia="en-US"/>
        </w:rPr>
        <w:t xml:space="preserve"> on the Scottish road network,</w:t>
      </w:r>
      <w:r w:rsidR="00B11DEF" w:rsidRPr="00B11DEF">
        <w:rPr>
          <w:rFonts w:ascii="Arial" w:eastAsia="Courier New" w:hAnsi="Arial" w:cs="Arial"/>
          <w:sz w:val="24"/>
          <w:szCs w:val="24"/>
          <w:lang w:eastAsia="en-US"/>
        </w:rPr>
        <w:t xml:space="preserve"> with a view to improving </w:t>
      </w:r>
      <w:r w:rsidR="001D3BEF">
        <w:rPr>
          <w:rFonts w:ascii="Arial" w:eastAsia="Courier New" w:hAnsi="Arial" w:cs="Arial"/>
          <w:sz w:val="24"/>
          <w:szCs w:val="24"/>
          <w:lang w:eastAsia="en-US"/>
        </w:rPr>
        <w:t>access to health and wellbeing infrastructure</w:t>
      </w:r>
      <w:r w:rsidR="00B11DEF" w:rsidRPr="00B11DEF">
        <w:rPr>
          <w:rFonts w:ascii="Arial" w:eastAsia="Courier New" w:hAnsi="Arial" w:cs="Arial"/>
          <w:sz w:val="24"/>
          <w:szCs w:val="24"/>
          <w:lang w:eastAsia="en-US"/>
        </w:rPr>
        <w:t>.</w:t>
      </w:r>
      <w:r w:rsidR="00F16CB1">
        <w:rPr>
          <w:rFonts w:ascii="Arial" w:eastAsia="Courier New" w:hAnsi="Arial" w:cs="Arial"/>
          <w:sz w:val="24"/>
          <w:szCs w:val="24"/>
          <w:lang w:eastAsia="en-US"/>
        </w:rPr>
        <w:t xml:space="preserve"> This general improvement of facilities </w:t>
      </w:r>
      <w:r w:rsidR="00A75CE6">
        <w:rPr>
          <w:rFonts w:ascii="Arial" w:eastAsia="Courier New" w:hAnsi="Arial" w:cs="Arial"/>
          <w:sz w:val="24"/>
          <w:szCs w:val="24"/>
          <w:lang w:eastAsia="en-US"/>
        </w:rPr>
        <w:t>would</w:t>
      </w:r>
      <w:r w:rsidR="00F16CB1">
        <w:rPr>
          <w:rFonts w:ascii="Arial" w:eastAsia="Courier New" w:hAnsi="Arial" w:cs="Arial"/>
          <w:sz w:val="24"/>
          <w:szCs w:val="24"/>
          <w:lang w:eastAsia="en-US"/>
        </w:rPr>
        <w:t xml:space="preserve"> improve the health, safety and wellbeing of lorry drivers, </w:t>
      </w:r>
      <w:r w:rsidR="001D3BEF">
        <w:rPr>
          <w:rFonts w:ascii="Arial" w:eastAsia="Courier New" w:hAnsi="Arial" w:cs="Arial"/>
          <w:sz w:val="24"/>
          <w:szCs w:val="24"/>
          <w:lang w:eastAsia="en-US"/>
        </w:rPr>
        <w:t xml:space="preserve">aligning with the </w:t>
      </w:r>
      <w:r w:rsidR="00F16CB1">
        <w:rPr>
          <w:rFonts w:ascii="Arial" w:eastAsia="Courier New" w:hAnsi="Arial" w:cs="Arial"/>
          <w:sz w:val="24"/>
          <w:szCs w:val="24"/>
          <w:lang w:eastAsia="en-US"/>
        </w:rPr>
        <w:t>Scottish Government’s Fair Work convention.</w:t>
      </w:r>
      <w:r>
        <w:rPr>
          <w:rFonts w:ascii="Arial" w:eastAsia="Courier New" w:hAnsi="Arial" w:cs="Arial"/>
          <w:sz w:val="24"/>
          <w:szCs w:val="24"/>
          <w:lang w:eastAsia="en-US"/>
        </w:rPr>
        <w:t xml:space="preserve"> The lack of protection provided to drivers utilising lay-bys and on-street parking makes them a target for theft, and therefore it is paramount to provide adequate parking, with lighting, CCTV and security fencing.</w:t>
      </w:r>
    </w:p>
    <w:p w14:paraId="2F7DC83E" w14:textId="68428828" w:rsidR="009475F2" w:rsidRDefault="00830B08" w:rsidP="00E63B9C">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The addition of s</w:t>
      </w:r>
      <w:r w:rsidR="00B11DEF" w:rsidRPr="00B11DEF">
        <w:rPr>
          <w:rFonts w:ascii="Arial" w:eastAsia="Courier New" w:hAnsi="Arial" w:cs="Arial"/>
          <w:sz w:val="24"/>
          <w:szCs w:val="24"/>
          <w:lang w:eastAsia="en-US"/>
        </w:rPr>
        <w:t xml:space="preserve">uitable rest and welfare facility provision for hauliers </w:t>
      </w:r>
      <w:r w:rsidR="00A75CE6">
        <w:rPr>
          <w:rFonts w:ascii="Arial" w:eastAsia="Courier New" w:hAnsi="Arial" w:cs="Arial"/>
          <w:sz w:val="24"/>
          <w:szCs w:val="24"/>
          <w:lang w:eastAsia="en-US"/>
        </w:rPr>
        <w:t>would</w:t>
      </w:r>
      <w:r w:rsidR="00B11DEF" w:rsidRPr="00B11DEF">
        <w:rPr>
          <w:rFonts w:ascii="Arial" w:eastAsia="Courier New" w:hAnsi="Arial" w:cs="Arial"/>
          <w:sz w:val="24"/>
          <w:szCs w:val="24"/>
          <w:lang w:eastAsia="en-US"/>
        </w:rPr>
        <w:t xml:space="preserve"> also help to improve </w:t>
      </w:r>
      <w:r>
        <w:rPr>
          <w:rFonts w:ascii="Arial" w:eastAsia="Courier New" w:hAnsi="Arial" w:cs="Arial"/>
          <w:sz w:val="24"/>
          <w:szCs w:val="24"/>
          <w:lang w:eastAsia="en-US"/>
        </w:rPr>
        <w:t xml:space="preserve">overall </w:t>
      </w:r>
      <w:r w:rsidR="00B11DEF" w:rsidRPr="00B11DEF">
        <w:rPr>
          <w:rFonts w:ascii="Arial" w:eastAsia="Courier New" w:hAnsi="Arial" w:cs="Arial"/>
          <w:sz w:val="24"/>
          <w:szCs w:val="24"/>
          <w:lang w:eastAsia="en-US"/>
        </w:rPr>
        <w:t>safety on the road network</w:t>
      </w:r>
      <w:r>
        <w:rPr>
          <w:rFonts w:ascii="Arial" w:eastAsia="Courier New" w:hAnsi="Arial" w:cs="Arial"/>
          <w:sz w:val="24"/>
          <w:szCs w:val="24"/>
          <w:lang w:eastAsia="en-US"/>
        </w:rPr>
        <w:t>,</w:t>
      </w:r>
      <w:r w:rsidR="00B11DEF" w:rsidRPr="00B11DEF">
        <w:rPr>
          <w:rFonts w:ascii="Arial" w:eastAsia="Courier New" w:hAnsi="Arial" w:cs="Arial"/>
          <w:sz w:val="24"/>
          <w:szCs w:val="24"/>
          <w:lang w:eastAsia="en-US"/>
        </w:rPr>
        <w:t xml:space="preserve"> by </w:t>
      </w:r>
      <w:r>
        <w:rPr>
          <w:rFonts w:ascii="Arial" w:eastAsia="Courier New" w:hAnsi="Arial" w:cs="Arial"/>
          <w:sz w:val="24"/>
          <w:szCs w:val="24"/>
          <w:lang w:eastAsia="en-US"/>
        </w:rPr>
        <w:t xml:space="preserve">allowing </w:t>
      </w:r>
      <w:r w:rsidR="00B11DEF" w:rsidRPr="00B11DEF">
        <w:rPr>
          <w:rFonts w:ascii="Arial" w:eastAsia="Courier New" w:hAnsi="Arial" w:cs="Arial"/>
          <w:sz w:val="24"/>
          <w:szCs w:val="24"/>
          <w:lang w:eastAsia="en-US"/>
        </w:rPr>
        <w:t xml:space="preserve">drivers to take their statutory breaks in the </w:t>
      </w:r>
      <w:r>
        <w:rPr>
          <w:rFonts w:ascii="Arial" w:eastAsia="Courier New" w:hAnsi="Arial" w:cs="Arial"/>
          <w:sz w:val="24"/>
          <w:szCs w:val="24"/>
          <w:lang w:eastAsia="en-US"/>
        </w:rPr>
        <w:t>optimum</w:t>
      </w:r>
      <w:r w:rsidR="00B11DEF" w:rsidRPr="00B11DEF">
        <w:rPr>
          <w:rFonts w:ascii="Arial" w:eastAsia="Courier New" w:hAnsi="Arial" w:cs="Arial"/>
          <w:sz w:val="24"/>
          <w:szCs w:val="24"/>
          <w:lang w:eastAsia="en-US"/>
        </w:rPr>
        <w:t xml:space="preserve"> locations for their operations.</w:t>
      </w:r>
      <w:r>
        <w:rPr>
          <w:rFonts w:ascii="Arial" w:eastAsia="Courier New" w:hAnsi="Arial" w:cs="Arial"/>
          <w:sz w:val="24"/>
          <w:szCs w:val="24"/>
          <w:lang w:eastAsia="en-US"/>
        </w:rPr>
        <w:t xml:space="preserve"> This </w:t>
      </w:r>
      <w:r w:rsidR="00A75CE6">
        <w:rPr>
          <w:rFonts w:ascii="Arial" w:eastAsia="Courier New" w:hAnsi="Arial" w:cs="Arial"/>
          <w:sz w:val="24"/>
          <w:szCs w:val="24"/>
          <w:lang w:eastAsia="en-US"/>
        </w:rPr>
        <w:t>would</w:t>
      </w:r>
      <w:r>
        <w:rPr>
          <w:rFonts w:ascii="Arial" w:eastAsia="Courier New" w:hAnsi="Arial" w:cs="Arial"/>
          <w:sz w:val="24"/>
          <w:szCs w:val="24"/>
          <w:lang w:eastAsia="en-US"/>
        </w:rPr>
        <w:t xml:space="preserve"> reduce driver fatigue and reduce the number of drivers driving over their legal periods</w:t>
      </w:r>
      <w:r w:rsidR="001D3BEF">
        <w:rPr>
          <w:rFonts w:ascii="Arial" w:eastAsia="Courier New" w:hAnsi="Arial" w:cs="Arial"/>
          <w:sz w:val="24"/>
          <w:szCs w:val="24"/>
          <w:lang w:eastAsia="en-US"/>
        </w:rPr>
        <w:t xml:space="preserve">, which could lead to </w:t>
      </w:r>
      <w:r w:rsidR="008F19B8">
        <w:rPr>
          <w:rFonts w:ascii="Arial" w:eastAsia="Courier New" w:hAnsi="Arial" w:cs="Arial"/>
          <w:sz w:val="24"/>
          <w:szCs w:val="24"/>
          <w:lang w:eastAsia="en-US"/>
        </w:rPr>
        <w:t xml:space="preserve">fewer </w:t>
      </w:r>
      <w:r w:rsidR="001D3BEF">
        <w:rPr>
          <w:rFonts w:ascii="Arial" w:eastAsia="Courier New" w:hAnsi="Arial" w:cs="Arial"/>
          <w:sz w:val="24"/>
          <w:szCs w:val="24"/>
          <w:lang w:eastAsia="en-US"/>
        </w:rPr>
        <w:t>accidents.</w:t>
      </w:r>
    </w:p>
    <w:p w14:paraId="4B3E9BC0" w14:textId="2AAC69B3" w:rsidR="00D63F32" w:rsidRDefault="00AB6B89" w:rsidP="00E63B9C">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AB6B89">
        <w:rPr>
          <w:rFonts w:ascii="Arial" w:eastAsia="Courier New" w:hAnsi="Arial" w:cs="Arial"/>
          <w:sz w:val="24"/>
          <w:szCs w:val="24"/>
          <w:lang w:eastAsia="en-US"/>
        </w:rPr>
        <w:t>Given the nature of the recommendation</w:t>
      </w:r>
      <w:r>
        <w:rPr>
          <w:rFonts w:ascii="Arial" w:eastAsia="Courier New" w:hAnsi="Arial" w:cs="Arial"/>
          <w:sz w:val="24"/>
          <w:szCs w:val="24"/>
          <w:lang w:eastAsia="en-US"/>
        </w:rPr>
        <w:t xml:space="preserve"> </w:t>
      </w:r>
      <w:r w:rsidR="00550C45">
        <w:rPr>
          <w:rFonts w:ascii="Arial" w:eastAsia="Courier New" w:hAnsi="Arial" w:cs="Arial"/>
          <w:sz w:val="24"/>
          <w:szCs w:val="24"/>
          <w:lang w:eastAsia="en-US"/>
        </w:rPr>
        <w:t>(</w:t>
      </w:r>
      <w:r w:rsidR="00C4723D">
        <w:rPr>
          <w:rFonts w:ascii="Arial" w:eastAsia="Courier New" w:hAnsi="Arial" w:cs="Arial"/>
          <w:sz w:val="24"/>
          <w:szCs w:val="24"/>
          <w:lang w:eastAsia="en-US"/>
        </w:rPr>
        <w:t>developing a strategy</w:t>
      </w:r>
      <w:r w:rsidRPr="00AB6B89">
        <w:rPr>
          <w:rFonts w:ascii="Arial" w:eastAsia="Courier New" w:hAnsi="Arial" w:cs="Arial"/>
          <w:sz w:val="24"/>
          <w:szCs w:val="24"/>
          <w:lang w:eastAsia="en-US"/>
        </w:rPr>
        <w:t xml:space="preserve"> to inform decision making for improvements to rest and welfare facilities for freight</w:t>
      </w:r>
      <w:r w:rsidR="00550C45">
        <w:rPr>
          <w:rFonts w:ascii="Arial" w:eastAsia="Courier New" w:hAnsi="Arial" w:cs="Arial"/>
          <w:sz w:val="24"/>
          <w:szCs w:val="24"/>
          <w:lang w:eastAsia="en-US"/>
        </w:rPr>
        <w:t>)</w:t>
      </w:r>
      <w:r w:rsidRPr="00AB6B89">
        <w:rPr>
          <w:rFonts w:ascii="Arial" w:eastAsia="Courier New" w:hAnsi="Arial" w:cs="Arial"/>
          <w:sz w:val="24"/>
          <w:szCs w:val="24"/>
          <w:lang w:eastAsia="en-US"/>
        </w:rPr>
        <w:t xml:space="preserve"> the recommendation </w:t>
      </w:r>
      <w:r w:rsidR="00D4237B">
        <w:rPr>
          <w:rFonts w:ascii="Arial" w:eastAsia="Courier New" w:hAnsi="Arial" w:cs="Arial"/>
          <w:sz w:val="24"/>
          <w:szCs w:val="24"/>
          <w:lang w:eastAsia="en-US"/>
        </w:rPr>
        <w:t xml:space="preserve">is not likely </w:t>
      </w:r>
      <w:r w:rsidR="005131D7">
        <w:rPr>
          <w:rFonts w:ascii="Arial" w:eastAsia="Courier New" w:hAnsi="Arial" w:cs="Arial"/>
          <w:sz w:val="24"/>
          <w:szCs w:val="24"/>
          <w:lang w:eastAsia="en-US"/>
        </w:rPr>
        <w:t xml:space="preserve">to </w:t>
      </w:r>
      <w:r w:rsidR="005C0BEB">
        <w:rPr>
          <w:rFonts w:ascii="Arial" w:eastAsia="Courier New" w:hAnsi="Arial" w:cs="Arial"/>
          <w:sz w:val="24"/>
          <w:szCs w:val="24"/>
          <w:lang w:eastAsia="en-US"/>
        </w:rPr>
        <w:t xml:space="preserve">result in significant effects </w:t>
      </w:r>
      <w:r w:rsidR="008A5762">
        <w:rPr>
          <w:rFonts w:ascii="Arial" w:eastAsia="Courier New" w:hAnsi="Arial" w:cs="Arial"/>
          <w:sz w:val="24"/>
          <w:szCs w:val="24"/>
          <w:lang w:eastAsia="en-US"/>
        </w:rPr>
        <w:t>on visual amenity.</w:t>
      </w:r>
    </w:p>
    <w:p w14:paraId="40080CEB" w14:textId="1A693592" w:rsidR="00830B08" w:rsidRDefault="008A5762" w:rsidP="00E63B9C">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Overall, t</w:t>
      </w:r>
      <w:r w:rsidR="00830B08" w:rsidRPr="00830B08">
        <w:rPr>
          <w:rFonts w:ascii="Arial" w:eastAsia="Courier New" w:hAnsi="Arial" w:cs="Arial"/>
          <w:sz w:val="24"/>
          <w:szCs w:val="24"/>
          <w:lang w:eastAsia="en-US"/>
        </w:rPr>
        <w:t xml:space="preserve">his recommendation </w:t>
      </w:r>
      <w:r w:rsidR="008D2EE9">
        <w:rPr>
          <w:rFonts w:ascii="Arial" w:eastAsia="Courier New" w:hAnsi="Arial" w:cs="Arial"/>
          <w:sz w:val="24"/>
          <w:szCs w:val="24"/>
          <w:lang w:eastAsia="en-US"/>
        </w:rPr>
        <w:t>is expected to have a</w:t>
      </w:r>
      <w:r w:rsidR="00880F74">
        <w:rPr>
          <w:rFonts w:ascii="Arial" w:eastAsia="Courier New" w:hAnsi="Arial" w:cs="Arial"/>
          <w:sz w:val="24"/>
          <w:szCs w:val="24"/>
          <w:lang w:eastAsia="en-US"/>
        </w:rPr>
        <w:t xml:space="preserve"> m</w:t>
      </w:r>
      <w:r w:rsidR="00B81DE9">
        <w:rPr>
          <w:rFonts w:ascii="Arial" w:eastAsia="Courier New" w:hAnsi="Arial" w:cs="Arial"/>
          <w:sz w:val="24"/>
          <w:szCs w:val="24"/>
          <w:lang w:eastAsia="en-US"/>
        </w:rPr>
        <w:t>oderate</w:t>
      </w:r>
      <w:r w:rsidR="00880F74">
        <w:rPr>
          <w:rFonts w:ascii="Arial" w:eastAsia="Courier New" w:hAnsi="Arial" w:cs="Arial"/>
          <w:sz w:val="24"/>
          <w:szCs w:val="24"/>
          <w:lang w:eastAsia="en-US"/>
        </w:rPr>
        <w:t xml:space="preserve"> </w:t>
      </w:r>
      <w:r w:rsidR="00830B08" w:rsidRPr="00830B08">
        <w:rPr>
          <w:rFonts w:ascii="Arial" w:eastAsia="Courier New" w:hAnsi="Arial" w:cs="Arial"/>
          <w:sz w:val="24"/>
          <w:szCs w:val="24"/>
          <w:lang w:eastAsia="en-US"/>
        </w:rPr>
        <w:t xml:space="preserve">positive </w:t>
      </w:r>
      <w:r w:rsidR="00880F74">
        <w:rPr>
          <w:rFonts w:ascii="Arial" w:eastAsia="Courier New" w:hAnsi="Arial" w:cs="Arial"/>
          <w:sz w:val="24"/>
          <w:szCs w:val="24"/>
          <w:lang w:eastAsia="en-US"/>
        </w:rPr>
        <w:t xml:space="preserve">impact on this criterion in both the Low and High </w:t>
      </w:r>
      <w:r w:rsidR="00830B08" w:rsidRPr="00830B08">
        <w:rPr>
          <w:rFonts w:ascii="Arial" w:eastAsia="Courier New" w:hAnsi="Arial" w:cs="Arial"/>
          <w:sz w:val="24"/>
          <w:szCs w:val="24"/>
          <w:lang w:eastAsia="en-US"/>
        </w:rPr>
        <w:t>scenarios</w:t>
      </w:r>
      <w:r w:rsidR="008D2EE9">
        <w:rPr>
          <w:rFonts w:ascii="Arial" w:eastAsia="Courier New" w:hAnsi="Arial" w:cs="Arial"/>
          <w:sz w:val="24"/>
          <w:szCs w:val="24"/>
          <w:lang w:eastAsia="en-US"/>
        </w:rPr>
        <w:t>.</w:t>
      </w:r>
    </w:p>
    <w:p w14:paraId="64921811" w14:textId="692F59AE" w:rsidR="00BF5DF5" w:rsidRDefault="00BF5DF5">
      <w:pPr>
        <w:rPr>
          <w:rFonts w:ascii="Arial" w:eastAsia="Courier New" w:hAnsi="Arial" w:cs="Arial"/>
          <w:sz w:val="24"/>
          <w:szCs w:val="24"/>
          <w:lang w:eastAsia="en-US"/>
        </w:rPr>
      </w:pPr>
    </w:p>
    <w:p w14:paraId="169223DF" w14:textId="065D8F1D" w:rsidR="009475F2" w:rsidRPr="00537A75" w:rsidRDefault="003B0FFA" w:rsidP="00E63B9C">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4. </w:t>
      </w:r>
      <w:r w:rsidR="009475F2" w:rsidRPr="00537A75">
        <w:t>Economy</w:t>
      </w:r>
    </w:p>
    <w:p w14:paraId="0184D5EC" w14:textId="677EC35C" w:rsidR="00B505CD" w:rsidRDefault="00A5107F" w:rsidP="00E63B9C">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A5107F">
        <w:rPr>
          <w:noProof/>
        </w:rPr>
        <w:drawing>
          <wp:inline distT="0" distB="0" distL="0" distR="0" wp14:anchorId="474BBAE3" wp14:editId="1924B25B">
            <wp:extent cx="5644800" cy="624269"/>
            <wp:effectExtent l="0" t="0" r="0" b="444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624269"/>
                    </a:xfrm>
                    <a:prstGeom prst="rect">
                      <a:avLst/>
                    </a:prstGeom>
                    <a:noFill/>
                    <a:ln>
                      <a:noFill/>
                    </a:ln>
                  </pic:spPr>
                </pic:pic>
              </a:graphicData>
            </a:graphic>
          </wp:inline>
        </w:drawing>
      </w:r>
    </w:p>
    <w:p w14:paraId="05BD6281" w14:textId="02BF1711" w:rsidR="00830B08" w:rsidRDefault="00830B08" w:rsidP="00E63B9C">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r w:rsidRPr="00830B08">
        <w:rPr>
          <w:rFonts w:ascii="Arial" w:hAnsi="Arial" w:cs="Arial"/>
          <w:iCs/>
          <w:sz w:val="24"/>
          <w:szCs w:val="24"/>
        </w:rPr>
        <w:t xml:space="preserve">The improvement of facilities was identified by the road haulage sector as an opportunity for economic recovery post-COVID-19, </w:t>
      </w:r>
      <w:hyperlink r:id="rId27" w:history="1">
        <w:r w:rsidRPr="004D53C5">
          <w:rPr>
            <w:rStyle w:val="Hyperlink"/>
            <w:rFonts w:ascii="Arial" w:hAnsi="Arial" w:cs="Arial"/>
            <w:iCs/>
            <w:sz w:val="24"/>
            <w:szCs w:val="24"/>
          </w:rPr>
          <w:t xml:space="preserve">with a study from the USA indicating that truck stops can represent </w:t>
        </w:r>
        <w:r w:rsidR="001D3BEF" w:rsidRPr="004D53C5">
          <w:rPr>
            <w:rStyle w:val="Hyperlink"/>
            <w:rFonts w:ascii="Arial" w:hAnsi="Arial" w:cs="Arial"/>
            <w:iCs/>
            <w:sz w:val="24"/>
            <w:szCs w:val="24"/>
          </w:rPr>
          <w:t>wider economic</w:t>
        </w:r>
        <w:r w:rsidRPr="004D53C5">
          <w:rPr>
            <w:rStyle w:val="Hyperlink"/>
            <w:rFonts w:ascii="Arial" w:hAnsi="Arial" w:cs="Arial"/>
            <w:iCs/>
            <w:sz w:val="24"/>
            <w:szCs w:val="24"/>
          </w:rPr>
          <w:t xml:space="preserve"> benefits for surrounding trucking-related industries.</w:t>
        </w:r>
      </w:hyperlink>
      <w:r w:rsidRPr="00830B08">
        <w:rPr>
          <w:rFonts w:ascii="Arial" w:hAnsi="Arial" w:cs="Arial"/>
          <w:iCs/>
          <w:sz w:val="24"/>
          <w:szCs w:val="24"/>
        </w:rPr>
        <w:t xml:space="preserve"> Facilities could be therefore be strategically located to harness the</w:t>
      </w:r>
      <w:r w:rsidR="002437E9">
        <w:rPr>
          <w:rFonts w:ascii="Arial" w:hAnsi="Arial" w:cs="Arial"/>
          <w:iCs/>
          <w:sz w:val="24"/>
          <w:szCs w:val="24"/>
        </w:rPr>
        <w:t xml:space="preserve"> wider</w:t>
      </w:r>
      <w:r w:rsidRPr="00830B08">
        <w:rPr>
          <w:rFonts w:ascii="Arial" w:hAnsi="Arial" w:cs="Arial"/>
          <w:iCs/>
          <w:sz w:val="24"/>
          <w:szCs w:val="24"/>
        </w:rPr>
        <w:t xml:space="preserve"> economic benefits to local communities. However, it is not fully understood how this would translate to the Scottish economy.</w:t>
      </w:r>
    </w:p>
    <w:p w14:paraId="16E7BC38" w14:textId="2933287C" w:rsidR="001D3BEF" w:rsidRPr="00830B08" w:rsidRDefault="001D3BEF" w:rsidP="00E63B9C">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r>
        <w:rPr>
          <w:rFonts w:ascii="Arial" w:hAnsi="Arial" w:cs="Arial"/>
          <w:iCs/>
          <w:sz w:val="24"/>
          <w:szCs w:val="24"/>
        </w:rPr>
        <w:lastRenderedPageBreak/>
        <w:t xml:space="preserve">This recommendation </w:t>
      </w:r>
      <w:r w:rsidR="00A75CE6">
        <w:rPr>
          <w:rFonts w:ascii="Arial" w:hAnsi="Arial" w:cs="Arial"/>
          <w:iCs/>
          <w:sz w:val="24"/>
          <w:szCs w:val="24"/>
        </w:rPr>
        <w:t>would</w:t>
      </w:r>
      <w:r>
        <w:rPr>
          <w:rFonts w:ascii="Arial" w:hAnsi="Arial" w:cs="Arial"/>
          <w:iCs/>
          <w:sz w:val="24"/>
          <w:szCs w:val="24"/>
        </w:rPr>
        <w:t xml:space="preserve"> not impact on Transport Economic Efficiency (TEE).</w:t>
      </w:r>
    </w:p>
    <w:p w14:paraId="33A8AFC7" w14:textId="10C0A060" w:rsidR="00830B08" w:rsidRPr="00830B08" w:rsidRDefault="008A61D0" w:rsidP="00E63B9C">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r w:rsidRPr="00166808">
        <w:rPr>
          <w:rFonts w:ascii="Arial" w:hAnsi="Arial" w:cs="Arial"/>
          <w:sz w:val="24"/>
          <w:szCs w:val="24"/>
        </w:rPr>
        <w:t xml:space="preserve">This recommendation is expected to have a </w:t>
      </w:r>
      <w:r>
        <w:rPr>
          <w:rFonts w:ascii="Arial" w:hAnsi="Arial" w:cs="Arial"/>
          <w:sz w:val="24"/>
          <w:szCs w:val="24"/>
        </w:rPr>
        <w:t>neutral</w:t>
      </w:r>
      <w:r w:rsidRPr="00166808">
        <w:rPr>
          <w:rFonts w:ascii="Arial" w:hAnsi="Arial" w:cs="Arial"/>
          <w:sz w:val="24"/>
          <w:szCs w:val="24"/>
        </w:rPr>
        <w:t xml:space="preserve"> impact on this criterion in both Low and High scenarios</w:t>
      </w:r>
      <w:r w:rsidR="00E818B5">
        <w:rPr>
          <w:rFonts w:ascii="Arial" w:hAnsi="Arial" w:cs="Arial"/>
          <w:sz w:val="24"/>
          <w:szCs w:val="24"/>
        </w:rPr>
        <w:t>.</w:t>
      </w:r>
    </w:p>
    <w:p w14:paraId="56BD507D" w14:textId="562D03D6" w:rsidR="002D2201" w:rsidRPr="002D2201" w:rsidRDefault="002D2201">
      <w:pPr>
        <w:rPr>
          <w:rFonts w:ascii="Arial" w:hAnsi="Arial" w:cs="Arial"/>
          <w:color w:val="000000"/>
          <w:sz w:val="24"/>
        </w:rPr>
      </w:pPr>
    </w:p>
    <w:p w14:paraId="767FC12E" w14:textId="64C44183" w:rsidR="009475F2" w:rsidRPr="00537A75" w:rsidRDefault="003B0FFA" w:rsidP="00E63B9C">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5. </w:t>
      </w:r>
      <w:r w:rsidR="009475F2" w:rsidRPr="00537A75">
        <w:t xml:space="preserve">Equality and Accessibility </w:t>
      </w:r>
    </w:p>
    <w:p w14:paraId="3C6FC076" w14:textId="2AD05DAF" w:rsidR="006A2046" w:rsidRDefault="00CF1C18" w:rsidP="00E63B9C">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sz w:val="24"/>
          <w:szCs w:val="24"/>
        </w:rPr>
      </w:pPr>
      <w:r w:rsidRPr="00462166">
        <w:rPr>
          <w:noProof/>
        </w:rPr>
        <w:drawing>
          <wp:inline distT="0" distB="0" distL="0" distR="0" wp14:anchorId="1D9B09EB" wp14:editId="77E9071F">
            <wp:extent cx="5644800" cy="624269"/>
            <wp:effectExtent l="0" t="0" r="0" b="4445"/>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4800" cy="624269"/>
                    </a:xfrm>
                    <a:prstGeom prst="rect">
                      <a:avLst/>
                    </a:prstGeom>
                    <a:noFill/>
                    <a:ln>
                      <a:noFill/>
                    </a:ln>
                  </pic:spPr>
                </pic:pic>
              </a:graphicData>
            </a:graphic>
          </wp:inline>
        </w:drawing>
      </w:r>
    </w:p>
    <w:p w14:paraId="27440BBA" w14:textId="1302164C" w:rsidR="00B11DEF" w:rsidRDefault="002437E9" w:rsidP="00E63B9C">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The improvement of facilities </w:t>
      </w:r>
      <w:r w:rsidR="00A75CE6">
        <w:rPr>
          <w:rFonts w:ascii="Arial" w:hAnsi="Arial" w:cs="Arial"/>
          <w:sz w:val="24"/>
          <w:szCs w:val="24"/>
        </w:rPr>
        <w:t>would</w:t>
      </w:r>
      <w:r>
        <w:rPr>
          <w:rFonts w:ascii="Arial" w:hAnsi="Arial" w:cs="Arial"/>
          <w:sz w:val="24"/>
          <w:szCs w:val="24"/>
        </w:rPr>
        <w:t xml:space="preserve"> lead to an improvement in comparative accessibility. The strategic review </w:t>
      </w:r>
      <w:r w:rsidR="00A75CE6">
        <w:rPr>
          <w:rFonts w:ascii="Arial" w:hAnsi="Arial" w:cs="Arial"/>
          <w:sz w:val="24"/>
          <w:szCs w:val="24"/>
        </w:rPr>
        <w:t>would</w:t>
      </w:r>
      <w:r>
        <w:rPr>
          <w:rFonts w:ascii="Arial" w:hAnsi="Arial" w:cs="Arial"/>
          <w:sz w:val="24"/>
          <w:szCs w:val="24"/>
        </w:rPr>
        <w:t xml:space="preserve"> identify which areas in Scotland are underserved by lorry parking stops, providing support </w:t>
      </w:r>
      <w:r w:rsidR="00810C6D">
        <w:rPr>
          <w:rFonts w:ascii="Arial" w:hAnsi="Arial" w:cs="Arial"/>
          <w:sz w:val="24"/>
          <w:szCs w:val="24"/>
        </w:rPr>
        <w:t xml:space="preserve">to those </w:t>
      </w:r>
      <w:r>
        <w:rPr>
          <w:rFonts w:ascii="Arial" w:hAnsi="Arial" w:cs="Arial"/>
          <w:sz w:val="24"/>
          <w:szCs w:val="24"/>
        </w:rPr>
        <w:t>that may have been disadvantaged, such as rural areas.</w:t>
      </w:r>
    </w:p>
    <w:p w14:paraId="7D8C8033" w14:textId="521E2A54" w:rsidR="002437E9" w:rsidRDefault="002437E9" w:rsidP="00E63B9C">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Furthermore, the assessment provides the opportunity to cater towards socially excluded groups. Currently, the HGV driver market is primarily made up of older m</w:t>
      </w:r>
      <w:r w:rsidR="00A75CE6">
        <w:rPr>
          <w:rFonts w:ascii="Arial" w:hAnsi="Arial" w:cs="Arial"/>
          <w:sz w:val="24"/>
          <w:szCs w:val="24"/>
        </w:rPr>
        <w:t>ales</w:t>
      </w:r>
      <w:r>
        <w:rPr>
          <w:rFonts w:ascii="Arial" w:hAnsi="Arial" w:cs="Arial"/>
          <w:sz w:val="24"/>
          <w:szCs w:val="24"/>
        </w:rPr>
        <w:t>, with only 1% of the workforce being women. Providing parity in the provision of services, for example, could be an effective tool in removing stereotypes around the sector, and attracting new workers.</w:t>
      </w:r>
    </w:p>
    <w:p w14:paraId="446DD0CB" w14:textId="5412B4B7" w:rsidR="00667A58" w:rsidRDefault="00667A58" w:rsidP="00E63B9C">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This recommendation would not impact on active travel network</w:t>
      </w:r>
      <w:r w:rsidR="008D30CC">
        <w:rPr>
          <w:rFonts w:ascii="Arial" w:hAnsi="Arial" w:cs="Arial"/>
          <w:sz w:val="24"/>
          <w:szCs w:val="24"/>
        </w:rPr>
        <w:t xml:space="preserve"> coverage or</w:t>
      </w:r>
      <w:r>
        <w:rPr>
          <w:rFonts w:ascii="Arial" w:hAnsi="Arial" w:cs="Arial"/>
          <w:sz w:val="24"/>
          <w:szCs w:val="24"/>
        </w:rPr>
        <w:t xml:space="preserve"> public transport network coverage</w:t>
      </w:r>
      <w:r w:rsidR="007400B2">
        <w:rPr>
          <w:rFonts w:ascii="Arial" w:hAnsi="Arial" w:cs="Arial"/>
          <w:sz w:val="24"/>
          <w:szCs w:val="24"/>
        </w:rPr>
        <w:t>, nor would it</w:t>
      </w:r>
      <w:r w:rsidR="00741934">
        <w:rPr>
          <w:rFonts w:ascii="Arial" w:hAnsi="Arial" w:cs="Arial"/>
          <w:sz w:val="24"/>
          <w:szCs w:val="24"/>
        </w:rPr>
        <w:t xml:space="preserve"> impact on </w:t>
      </w:r>
      <w:r w:rsidR="001058C4">
        <w:rPr>
          <w:rFonts w:ascii="Arial" w:hAnsi="Arial" w:cs="Arial"/>
          <w:sz w:val="24"/>
          <w:szCs w:val="24"/>
        </w:rPr>
        <w:t>transport</w:t>
      </w:r>
      <w:r w:rsidR="00741934">
        <w:rPr>
          <w:rFonts w:ascii="Arial" w:hAnsi="Arial" w:cs="Arial"/>
          <w:sz w:val="24"/>
          <w:szCs w:val="24"/>
        </w:rPr>
        <w:t xml:space="preserve"> affordability.</w:t>
      </w:r>
    </w:p>
    <w:p w14:paraId="197BD8E3" w14:textId="77777777" w:rsidR="003E02AE" w:rsidRDefault="003E02AE" w:rsidP="00E63B9C">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A87079">
        <w:rPr>
          <w:rFonts w:ascii="Arial" w:hAnsi="Arial" w:cs="Arial"/>
          <w:sz w:val="24"/>
          <w:szCs w:val="24"/>
        </w:rPr>
        <w:t xml:space="preserve">Also refer to </w:t>
      </w:r>
      <w:proofErr w:type="spellStart"/>
      <w:r w:rsidRPr="00A87079">
        <w:rPr>
          <w:rFonts w:ascii="Arial" w:hAnsi="Arial" w:cs="Arial"/>
          <w:sz w:val="24"/>
          <w:szCs w:val="24"/>
        </w:rPr>
        <w:t>EqIA</w:t>
      </w:r>
      <w:proofErr w:type="spellEnd"/>
      <w:r w:rsidRPr="00A87079">
        <w:rPr>
          <w:rFonts w:ascii="Arial" w:hAnsi="Arial" w:cs="Arial"/>
          <w:sz w:val="24"/>
          <w:szCs w:val="24"/>
        </w:rPr>
        <w:t>/ICIA/FSDA/CRWIA Assessment overleaf.</w:t>
      </w:r>
    </w:p>
    <w:p w14:paraId="57CF49E6" w14:textId="58DDD313" w:rsidR="002437E9" w:rsidRDefault="003F4FE5" w:rsidP="00E63B9C">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166808">
        <w:rPr>
          <w:rFonts w:ascii="Arial" w:hAnsi="Arial" w:cs="Arial"/>
          <w:sz w:val="24"/>
          <w:szCs w:val="24"/>
        </w:rPr>
        <w:t xml:space="preserve">This recommendation is expected to have a </w:t>
      </w:r>
      <w:r>
        <w:rPr>
          <w:rFonts w:ascii="Arial" w:hAnsi="Arial" w:cs="Arial"/>
          <w:sz w:val="24"/>
          <w:szCs w:val="24"/>
        </w:rPr>
        <w:t xml:space="preserve">minor positive </w:t>
      </w:r>
      <w:r w:rsidRPr="00166808">
        <w:rPr>
          <w:rFonts w:ascii="Arial" w:hAnsi="Arial" w:cs="Arial"/>
          <w:sz w:val="24"/>
          <w:szCs w:val="24"/>
        </w:rPr>
        <w:t>impact on this criterion in both Low and High</w:t>
      </w:r>
      <w:r w:rsidR="00446C2C">
        <w:rPr>
          <w:rFonts w:ascii="Arial" w:hAnsi="Arial" w:cs="Arial"/>
          <w:sz w:val="24"/>
          <w:szCs w:val="24"/>
        </w:rPr>
        <w:t xml:space="preserve"> scenarios</w:t>
      </w:r>
      <w:r w:rsidR="00E818B5">
        <w:rPr>
          <w:rFonts w:ascii="Arial" w:hAnsi="Arial" w:cs="Arial"/>
          <w:sz w:val="24"/>
          <w:szCs w:val="24"/>
        </w:rPr>
        <w:t>.</w:t>
      </w:r>
    </w:p>
    <w:p w14:paraId="52647CD0" w14:textId="77777777" w:rsidR="00E818B5" w:rsidRDefault="00E818B5" w:rsidP="00E63B9C">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p>
    <w:p w14:paraId="69A0C316" w14:textId="77777777" w:rsidR="00E818B5" w:rsidRPr="00B11DEF" w:rsidRDefault="00E818B5">
      <w:pPr>
        <w:pStyle w:val="STPR2BodyText"/>
      </w:pPr>
    </w:p>
    <w:p w14:paraId="2EE07F48" w14:textId="08B4A334" w:rsidR="009475F2" w:rsidRPr="00537A75" w:rsidRDefault="009475F2">
      <w:pPr>
        <w:pStyle w:val="STPR2Heading2"/>
        <w:keepNext/>
        <w:keepLines/>
        <w:ind w:left="567" w:hanging="567"/>
      </w:pPr>
      <w:bookmarkStart w:id="12" w:name="_Toc96083530"/>
      <w:r w:rsidRPr="00537A75">
        <w:t>Deliverability</w:t>
      </w:r>
      <w:bookmarkEnd w:id="12"/>
      <w:r w:rsidRPr="00537A75">
        <w:t xml:space="preserve"> </w:t>
      </w:r>
    </w:p>
    <w:p w14:paraId="534696A2" w14:textId="56023F7C" w:rsidR="00AD516E" w:rsidRDefault="003B0FFA" w:rsidP="009F5252">
      <w:pPr>
        <w:pStyle w:val="STPR2Heading3"/>
        <w:keepNext/>
        <w:keepLines/>
        <w:pBdr>
          <w:top w:val="single" w:sz="4" w:space="1" w:color="auto"/>
          <w:left w:val="single" w:sz="4" w:space="4" w:color="auto"/>
          <w:bottom w:val="single" w:sz="4" w:space="6" w:color="auto"/>
          <w:right w:val="single" w:sz="4" w:space="4" w:color="auto"/>
        </w:pBdr>
        <w:shd w:val="clear" w:color="auto" w:fill="C9C9C9" w:themeFill="accent3" w:themeFillTint="99"/>
      </w:pPr>
      <w:bookmarkStart w:id="13" w:name="_Toc96083531"/>
      <w:r>
        <w:t xml:space="preserve">1. </w:t>
      </w:r>
      <w:bookmarkStart w:id="14" w:name="_Toc96083532"/>
      <w:bookmarkEnd w:id="13"/>
      <w:r w:rsidR="009475F2" w:rsidRPr="00537A75">
        <w:t>Feasibility</w:t>
      </w:r>
      <w:bookmarkEnd w:id="14"/>
    </w:p>
    <w:p w14:paraId="3D952AFA" w14:textId="68156B64" w:rsidR="008531CB" w:rsidRDefault="006032CA" w:rsidP="00E63B9C">
      <w:pPr>
        <w:keepNext/>
        <w:keepLines/>
        <w:pBdr>
          <w:top w:val="single" w:sz="4" w:space="1" w:color="auto"/>
          <w:left w:val="single" w:sz="4" w:space="4" w:color="auto"/>
          <w:bottom w:val="single" w:sz="4" w:space="6"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The delivery of a strategy for </w:t>
      </w:r>
      <w:r w:rsidRPr="006032CA">
        <w:rPr>
          <w:rFonts w:ascii="Arial" w:eastAsia="Courier New" w:hAnsi="Arial" w:cs="Arial"/>
          <w:sz w:val="24"/>
          <w:szCs w:val="24"/>
          <w:lang w:eastAsia="en-US"/>
        </w:rPr>
        <w:t>improved rest and welfare facilities for hauliers</w:t>
      </w:r>
      <w:r>
        <w:rPr>
          <w:rFonts w:ascii="Arial" w:eastAsia="Courier New" w:hAnsi="Arial" w:cs="Arial"/>
          <w:sz w:val="24"/>
          <w:szCs w:val="24"/>
          <w:lang w:eastAsia="en-US"/>
        </w:rPr>
        <w:t xml:space="preserve"> is very feasible to deliver, with similar studies being carried out within England on behalf of the Department for Transport and National Highways in recent years.</w:t>
      </w:r>
    </w:p>
    <w:p w14:paraId="18C5C4C1" w14:textId="4F7A753A" w:rsidR="006032CA" w:rsidRDefault="00CB7D01" w:rsidP="00E63B9C">
      <w:pPr>
        <w:pBdr>
          <w:top w:val="single" w:sz="4" w:space="1" w:color="auto"/>
          <w:left w:val="single" w:sz="4" w:space="4" w:color="auto"/>
          <w:bottom w:val="single" w:sz="4" w:space="6"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The feasibility of construction</w:t>
      </w:r>
      <w:r w:rsidR="003E4007">
        <w:rPr>
          <w:rFonts w:ascii="Arial" w:eastAsia="Courier New" w:hAnsi="Arial" w:cs="Arial"/>
          <w:sz w:val="24"/>
          <w:szCs w:val="24"/>
          <w:lang w:eastAsia="en-US"/>
        </w:rPr>
        <w:t xml:space="preserve"> and operation also performs well against this criterion, with new service stations being built at Leeds and Rugby in 2019-2020, as well a</w:t>
      </w:r>
      <w:r w:rsidR="00EA79CE">
        <w:rPr>
          <w:rFonts w:ascii="Arial" w:eastAsia="Courier New" w:hAnsi="Arial" w:cs="Arial"/>
          <w:sz w:val="24"/>
          <w:szCs w:val="24"/>
          <w:lang w:eastAsia="en-US"/>
        </w:rPr>
        <w:t>s a</w:t>
      </w:r>
      <w:r w:rsidR="003E4007">
        <w:rPr>
          <w:rFonts w:ascii="Arial" w:eastAsia="Courier New" w:hAnsi="Arial" w:cs="Arial"/>
          <w:sz w:val="24"/>
          <w:szCs w:val="24"/>
          <w:lang w:eastAsia="en-US"/>
        </w:rPr>
        <w:t xml:space="preserve"> </w:t>
      </w:r>
      <w:r w:rsidR="00F24646">
        <w:rPr>
          <w:rFonts w:ascii="Arial" w:eastAsia="Courier New" w:hAnsi="Arial" w:cs="Arial"/>
          <w:sz w:val="24"/>
          <w:szCs w:val="24"/>
          <w:lang w:eastAsia="en-US"/>
        </w:rPr>
        <w:t>Truckstop</w:t>
      </w:r>
      <w:r w:rsidR="003E4007">
        <w:rPr>
          <w:rFonts w:ascii="Arial" w:eastAsia="Courier New" w:hAnsi="Arial" w:cs="Arial"/>
          <w:sz w:val="24"/>
          <w:szCs w:val="24"/>
          <w:lang w:eastAsia="en-US"/>
        </w:rPr>
        <w:t xml:space="preserve"> at Rothwell. </w:t>
      </w:r>
      <w:r w:rsidR="00F24646">
        <w:rPr>
          <w:rFonts w:ascii="Arial" w:eastAsia="Courier New" w:hAnsi="Arial" w:cs="Arial"/>
          <w:sz w:val="24"/>
          <w:szCs w:val="24"/>
          <w:lang w:eastAsia="en-US"/>
        </w:rPr>
        <w:t>Within Scotland, works are currently being undertaken to overhaul services at Musselburgh.</w:t>
      </w:r>
    </w:p>
    <w:p w14:paraId="792949D3" w14:textId="007F505A" w:rsidR="00F24646" w:rsidRDefault="00F24646">
      <w:pPr>
        <w:pBdr>
          <w:top w:val="single" w:sz="4" w:space="1" w:color="auto"/>
          <w:left w:val="single" w:sz="4" w:space="4" w:color="auto"/>
          <w:bottom w:val="single" w:sz="4" w:space="6" w:color="auto"/>
          <w:right w:val="single" w:sz="4" w:space="4" w:color="auto"/>
        </w:pBdr>
        <w:rPr>
          <w:rFonts w:ascii="Arial" w:eastAsia="Courier New" w:hAnsi="Arial" w:cs="Arial"/>
          <w:sz w:val="24"/>
          <w:szCs w:val="24"/>
          <w:lang w:eastAsia="en-US"/>
        </w:rPr>
      </w:pPr>
      <w:r w:rsidRPr="46AD4601">
        <w:rPr>
          <w:rFonts w:ascii="Arial" w:eastAsia="Courier New" w:hAnsi="Arial" w:cs="Arial"/>
          <w:sz w:val="24"/>
          <w:szCs w:val="24"/>
          <w:lang w:eastAsia="en-US"/>
        </w:rPr>
        <w:t>Any further development in this area is likely to involve public and private sector collaboration, where there has been a long-standing working relationship established.</w:t>
      </w:r>
    </w:p>
    <w:p w14:paraId="091D78A8" w14:textId="7B083CCD" w:rsidR="00237E1E" w:rsidRPr="00322410" w:rsidRDefault="00085AC8" w:rsidP="00BF00E2">
      <w:pPr>
        <w:pBdr>
          <w:top w:val="single" w:sz="4" w:space="1" w:color="auto"/>
          <w:left w:val="single" w:sz="4" w:space="4" w:color="auto"/>
          <w:bottom w:val="single" w:sz="4" w:space="6" w:color="auto"/>
          <w:right w:val="single" w:sz="4" w:space="4" w:color="auto"/>
        </w:pBdr>
        <w:rPr>
          <w:rFonts w:ascii="Arial" w:eastAsia="Courier New" w:hAnsi="Arial" w:cs="Arial"/>
          <w:sz w:val="24"/>
          <w:szCs w:val="24"/>
          <w:lang w:eastAsia="en-US"/>
        </w:rPr>
      </w:pPr>
      <w:r w:rsidRPr="00527D7A">
        <w:rPr>
          <w:rFonts w:ascii="Arial" w:eastAsia="Courier New" w:hAnsi="Arial" w:cs="Arial"/>
          <w:sz w:val="24"/>
          <w:szCs w:val="24"/>
          <w:lang w:eastAsia="en-US"/>
        </w:rPr>
        <w:lastRenderedPageBreak/>
        <w:t>Feasibility</w:t>
      </w:r>
      <w:r w:rsidR="00527D7A" w:rsidRPr="00527D7A">
        <w:rPr>
          <w:rFonts w:ascii="Arial" w:eastAsia="Courier New" w:hAnsi="Arial" w:cs="Arial"/>
          <w:sz w:val="24"/>
          <w:szCs w:val="24"/>
          <w:lang w:eastAsia="en-US"/>
        </w:rPr>
        <w:t xml:space="preserve"> of this intervention would be enhanced where Scottish Government could assist with streamlining the planning process and linkage to the relevant trunk road sites in question.</w:t>
      </w:r>
    </w:p>
    <w:p w14:paraId="016A5160" w14:textId="2A64A066" w:rsidR="009475F2" w:rsidRDefault="00D378E1" w:rsidP="00E63B9C">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15" w:name="_Toc96083533"/>
      <w:r w:rsidR="009475F2">
        <w:t>Affordability</w:t>
      </w:r>
      <w:bookmarkEnd w:id="15"/>
    </w:p>
    <w:p w14:paraId="0ABDDBC9" w14:textId="58A3E5ED" w:rsidR="00494EA6" w:rsidRDefault="00494EA6" w:rsidP="00E63B9C">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46AD4601">
        <w:rPr>
          <w:rFonts w:ascii="Arial" w:eastAsia="Courier New" w:hAnsi="Arial" w:cs="Arial"/>
          <w:sz w:val="24"/>
          <w:szCs w:val="24"/>
          <w:lang w:eastAsia="en-US"/>
        </w:rPr>
        <w:t xml:space="preserve">The delivery of a strategy for improved rest and welfare facilities for hauliers </w:t>
      </w:r>
      <w:r w:rsidR="00A75CE6">
        <w:rPr>
          <w:rFonts w:ascii="Arial" w:eastAsia="Courier New" w:hAnsi="Arial" w:cs="Arial"/>
          <w:sz w:val="24"/>
          <w:szCs w:val="24"/>
          <w:lang w:eastAsia="en-US"/>
        </w:rPr>
        <w:t>would</w:t>
      </w:r>
      <w:r w:rsidRPr="46AD4601">
        <w:rPr>
          <w:rFonts w:ascii="Arial" w:eastAsia="Courier New" w:hAnsi="Arial" w:cs="Arial"/>
          <w:sz w:val="24"/>
          <w:szCs w:val="24"/>
          <w:lang w:eastAsia="en-US"/>
        </w:rPr>
        <w:t xml:space="preserve"> be a </w:t>
      </w:r>
      <w:r w:rsidR="35852CB1" w:rsidRPr="46AD4601">
        <w:rPr>
          <w:rFonts w:ascii="Arial" w:eastAsia="Courier New" w:hAnsi="Arial" w:cs="Arial"/>
          <w:sz w:val="24"/>
          <w:szCs w:val="24"/>
          <w:lang w:eastAsia="en-US"/>
        </w:rPr>
        <w:t xml:space="preserve">relatively </w:t>
      </w:r>
      <w:r w:rsidRPr="46AD4601">
        <w:rPr>
          <w:rFonts w:ascii="Arial" w:eastAsia="Courier New" w:hAnsi="Arial" w:cs="Arial"/>
          <w:sz w:val="24"/>
          <w:szCs w:val="24"/>
          <w:lang w:eastAsia="en-US"/>
        </w:rPr>
        <w:t>low-cost intervention for the promoting authority (Transport Scotland).</w:t>
      </w:r>
    </w:p>
    <w:p w14:paraId="51B05533" w14:textId="22B8A904" w:rsidR="00494EA6" w:rsidRDefault="00494EA6">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46AD4601">
        <w:rPr>
          <w:rFonts w:ascii="Arial" w:eastAsia="Courier New" w:hAnsi="Arial" w:cs="Arial"/>
          <w:sz w:val="24"/>
          <w:szCs w:val="24"/>
          <w:lang w:eastAsia="en-US"/>
        </w:rPr>
        <w:t xml:space="preserve">The implementation of the actions within the strategy has an unknown cost until the baseline study of provision and need is completed. The use of public sector funds for new rest stops is only likely to be used where there is a market failure to provide adequate facilities. However, private sector partnerships </w:t>
      </w:r>
      <w:r w:rsidR="00A75CE6">
        <w:rPr>
          <w:rFonts w:ascii="Arial" w:eastAsia="Courier New" w:hAnsi="Arial" w:cs="Arial"/>
          <w:sz w:val="24"/>
          <w:szCs w:val="24"/>
          <w:lang w:eastAsia="en-US"/>
        </w:rPr>
        <w:t>would</w:t>
      </w:r>
      <w:r w:rsidRPr="46AD4601">
        <w:rPr>
          <w:rFonts w:ascii="Arial" w:eastAsia="Courier New" w:hAnsi="Arial" w:cs="Arial"/>
          <w:sz w:val="24"/>
          <w:szCs w:val="24"/>
          <w:lang w:eastAsia="en-US"/>
        </w:rPr>
        <w:t xml:space="preserve"> be possible for the provision of new truck stops, or at least for the provision of alternative fuelling facilities as part of a wider network construction programme</w:t>
      </w:r>
      <w:r w:rsidR="335F998D" w:rsidRPr="46AD4601">
        <w:rPr>
          <w:rFonts w:ascii="Arial" w:eastAsia="Courier New" w:hAnsi="Arial" w:cs="Arial"/>
          <w:sz w:val="24"/>
          <w:szCs w:val="24"/>
          <w:lang w:eastAsia="en-US"/>
        </w:rPr>
        <w:t xml:space="preserve"> (Recommendation 27 and 28).</w:t>
      </w:r>
    </w:p>
    <w:p w14:paraId="3135F4E7" w14:textId="29A40F1F" w:rsidR="00527D7A" w:rsidRDefault="00527D7A" w:rsidP="00E63B9C">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527D7A">
        <w:rPr>
          <w:rFonts w:ascii="Arial" w:eastAsia="Courier New" w:hAnsi="Arial" w:cs="Arial"/>
          <w:sz w:val="24"/>
          <w:szCs w:val="24"/>
          <w:lang w:eastAsia="en-US"/>
        </w:rPr>
        <w:t>The development of appropriate rest and welfare facilities (alongside alternative fuelling facilities where appropriate) should be viewed as critical infrastructure. As such where there is market failure to provide the appropriate facilities there is a role for Transport Scotland to meet this requirement in order that the critical safe movement of goods can be facilitated within Scotland.</w:t>
      </w:r>
    </w:p>
    <w:p w14:paraId="047BA3CE" w14:textId="31BD8DE3" w:rsidR="0046191C" w:rsidRDefault="0046191C">
      <w:pPr>
        <w:keepNext/>
        <w:keepLines/>
        <w:rPr>
          <w:rFonts w:ascii="Arial" w:eastAsiaTheme="minorHAnsi" w:hAnsi="Arial" w:cs="Arial"/>
          <w:kern w:val="18"/>
          <w:sz w:val="24"/>
          <w:szCs w:val="24"/>
          <w:lang w:eastAsia="en-US"/>
        </w:rPr>
      </w:pPr>
    </w:p>
    <w:p w14:paraId="52ACD5CB" w14:textId="278D4EC5" w:rsidR="00AD516E" w:rsidRDefault="00D378E1" w:rsidP="00237E1E">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16" w:name="_Toc96083534"/>
      <w:r w:rsidR="009475F2" w:rsidRPr="002027BF">
        <w:t>Public Acceptability</w:t>
      </w:r>
      <w:bookmarkEnd w:id="16"/>
    </w:p>
    <w:p w14:paraId="46730CD4" w14:textId="0A64A72E" w:rsidR="00A63EFF" w:rsidRDefault="00494EA6" w:rsidP="00E63B9C">
      <w:pPr>
        <w:pStyle w:val="STPR2BodyText"/>
        <w:keepNext/>
        <w:keepLines/>
        <w:pBdr>
          <w:top w:val="single" w:sz="4" w:space="1" w:color="auto"/>
          <w:left w:val="single" w:sz="4" w:space="4" w:color="auto"/>
          <w:bottom w:val="single" w:sz="4" w:space="1" w:color="auto"/>
          <w:right w:val="single" w:sz="4" w:space="4" w:color="auto"/>
        </w:pBdr>
        <w:rPr>
          <w:lang w:eastAsia="en-US"/>
        </w:rPr>
      </w:pPr>
      <w:r>
        <w:rPr>
          <w:lang w:eastAsia="en-US"/>
        </w:rPr>
        <w:t>The need for additional l</w:t>
      </w:r>
      <w:r w:rsidR="00A63EFF">
        <w:rPr>
          <w:lang w:eastAsia="en-US"/>
        </w:rPr>
        <w:t xml:space="preserve">orry parking was </w:t>
      </w:r>
      <w:r w:rsidR="00670E12">
        <w:rPr>
          <w:lang w:eastAsia="en-US"/>
        </w:rPr>
        <w:t>brought forward</w:t>
      </w:r>
      <w:r w:rsidR="00A63EFF">
        <w:rPr>
          <w:lang w:eastAsia="en-US"/>
        </w:rPr>
        <w:t xml:space="preserve"> in</w:t>
      </w:r>
      <w:r w:rsidR="00670E12">
        <w:rPr>
          <w:lang w:eastAsia="en-US"/>
        </w:rPr>
        <w:t xml:space="preserve"> several</w:t>
      </w:r>
      <w:r w:rsidR="00A63EFF">
        <w:rPr>
          <w:lang w:eastAsia="en-US"/>
        </w:rPr>
        <w:t xml:space="preserve"> responses to the public </w:t>
      </w:r>
      <w:r w:rsidR="00670E12">
        <w:rPr>
          <w:lang w:eastAsia="en-US"/>
        </w:rPr>
        <w:t>consultation for ST</w:t>
      </w:r>
      <w:r w:rsidR="00972E66">
        <w:rPr>
          <w:lang w:eastAsia="en-US"/>
        </w:rPr>
        <w:t>P</w:t>
      </w:r>
      <w:r w:rsidR="00670E12">
        <w:rPr>
          <w:lang w:eastAsia="en-US"/>
        </w:rPr>
        <w:t>R2. T</w:t>
      </w:r>
      <w:r w:rsidR="00A63EFF">
        <w:rPr>
          <w:lang w:eastAsia="en-US"/>
        </w:rPr>
        <w:t xml:space="preserve">hree direct references </w:t>
      </w:r>
      <w:r w:rsidR="00670E12">
        <w:rPr>
          <w:lang w:eastAsia="en-US"/>
        </w:rPr>
        <w:t>were made by respondents</w:t>
      </w:r>
      <w:r w:rsidR="00A63EFF">
        <w:rPr>
          <w:lang w:eastAsia="en-US"/>
        </w:rPr>
        <w:t xml:space="preserve"> </w:t>
      </w:r>
      <w:r w:rsidR="005B2C98">
        <w:rPr>
          <w:lang w:eastAsia="en-US"/>
        </w:rPr>
        <w:t xml:space="preserve">across the country, and more specifically </w:t>
      </w:r>
      <w:r w:rsidR="00A63EFF">
        <w:rPr>
          <w:lang w:eastAsia="en-US"/>
        </w:rPr>
        <w:t>in the Highland and Islands, Edinburgh and South East Regions</w:t>
      </w:r>
      <w:r w:rsidR="007859B8">
        <w:rPr>
          <w:lang w:eastAsia="en-US"/>
        </w:rPr>
        <w:t xml:space="preserve">. </w:t>
      </w:r>
    </w:p>
    <w:p w14:paraId="1D14E545" w14:textId="526E4642" w:rsidR="009475F2" w:rsidRDefault="00A63EFF" w:rsidP="00E63B9C">
      <w:pPr>
        <w:pStyle w:val="STPR2BodyText"/>
        <w:pBdr>
          <w:top w:val="single" w:sz="4" w:space="1" w:color="auto"/>
          <w:left w:val="single" w:sz="4" w:space="4" w:color="auto"/>
          <w:bottom w:val="single" w:sz="4" w:space="1" w:color="auto"/>
          <w:right w:val="single" w:sz="4" w:space="4" w:color="auto"/>
        </w:pBdr>
        <w:rPr>
          <w:lang w:eastAsia="en-US"/>
        </w:rPr>
      </w:pPr>
      <w:r>
        <w:rPr>
          <w:lang w:eastAsia="en-US"/>
        </w:rPr>
        <w:t>The need for rest and welfare facilities</w:t>
      </w:r>
      <w:r w:rsidR="00670E12">
        <w:rPr>
          <w:lang w:eastAsia="en-US"/>
        </w:rPr>
        <w:t>,</w:t>
      </w:r>
      <w:r>
        <w:rPr>
          <w:lang w:eastAsia="en-US"/>
        </w:rPr>
        <w:t xml:space="preserve"> which in many cases are shared with private vehicles</w:t>
      </w:r>
      <w:r w:rsidR="00670E12">
        <w:rPr>
          <w:lang w:eastAsia="en-US"/>
        </w:rPr>
        <w:t>,</w:t>
      </w:r>
      <w:r>
        <w:rPr>
          <w:lang w:eastAsia="en-US"/>
        </w:rPr>
        <w:t xml:space="preserve"> </w:t>
      </w:r>
      <w:r w:rsidR="00A75CE6">
        <w:rPr>
          <w:lang w:eastAsia="en-US"/>
        </w:rPr>
        <w:t>would</w:t>
      </w:r>
      <w:r>
        <w:rPr>
          <w:lang w:eastAsia="en-US"/>
        </w:rPr>
        <w:t xml:space="preserve"> be recognised/welcomed and the public is likely to be supportive of identifying gaps in </w:t>
      </w:r>
      <w:r w:rsidR="00670E12">
        <w:rPr>
          <w:lang w:eastAsia="en-US"/>
        </w:rPr>
        <w:t>geographic</w:t>
      </w:r>
      <w:r>
        <w:rPr>
          <w:lang w:eastAsia="en-US"/>
        </w:rPr>
        <w:t xml:space="preserve"> provision</w:t>
      </w:r>
      <w:r w:rsidR="00670E12">
        <w:rPr>
          <w:lang w:eastAsia="en-US"/>
        </w:rPr>
        <w:t xml:space="preserve"> and improving current facilities.</w:t>
      </w:r>
    </w:p>
    <w:p w14:paraId="59BB4994" w14:textId="46E711D3" w:rsidR="00670E12" w:rsidRDefault="00670E12" w:rsidP="00E63B9C">
      <w:pPr>
        <w:pStyle w:val="STPR2BodyText"/>
        <w:pBdr>
          <w:top w:val="single" w:sz="4" w:space="1" w:color="auto"/>
          <w:left w:val="single" w:sz="4" w:space="4" w:color="auto"/>
          <w:bottom w:val="single" w:sz="4" w:space="1" w:color="auto"/>
          <w:right w:val="single" w:sz="4" w:space="4" w:color="auto"/>
        </w:pBdr>
        <w:rPr>
          <w:lang w:eastAsia="en-US"/>
        </w:rPr>
      </w:pPr>
      <w:r>
        <w:rPr>
          <w:lang w:eastAsia="en-US"/>
        </w:rPr>
        <w:t>On the other hand, the development of several truck stops within the UK have been halted or cancelled due to issues raised by the local community at consultations.</w:t>
      </w:r>
    </w:p>
    <w:p w14:paraId="672D8AC4" w14:textId="77777777" w:rsidR="00F67DB6" w:rsidRDefault="00F67DB6">
      <w:pPr>
        <w:rPr>
          <w:rFonts w:ascii="Arial" w:hAnsi="Arial" w:cs="Arial"/>
          <w:b/>
          <w:bCs/>
          <w:color w:val="626266"/>
          <w:sz w:val="28"/>
          <w:szCs w:val="28"/>
          <w:lang w:val="en-US"/>
        </w:rPr>
      </w:pPr>
      <w:r>
        <w:br w:type="page"/>
      </w:r>
    </w:p>
    <w:p w14:paraId="2A4861E4" w14:textId="3275AAFD" w:rsidR="009475F2" w:rsidRDefault="00A22061">
      <w:pPr>
        <w:pStyle w:val="STPR2Heading2"/>
        <w:ind w:left="567" w:hanging="567"/>
      </w:pPr>
      <w:r>
        <w:lastRenderedPageBreak/>
        <w:t>Statutory Impact Assessment Criteria</w:t>
      </w:r>
    </w:p>
    <w:p w14:paraId="0D97627D" w14:textId="12A7D570" w:rsidR="009475F2" w:rsidRDefault="00D378E1" w:rsidP="00E63B9C">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7" w:name="_Toc96083536"/>
      <w:r>
        <w:t xml:space="preserve">1. </w:t>
      </w:r>
      <w:bookmarkStart w:id="18" w:name="_Toc96083537"/>
      <w:bookmarkStart w:id="19" w:name="_Ref100042714"/>
      <w:bookmarkEnd w:id="17"/>
      <w:r w:rsidR="009475F2">
        <w:t>Strategic Environmental Assessment (SEA</w:t>
      </w:r>
      <w:bookmarkEnd w:id="18"/>
      <w:r w:rsidR="009475F2">
        <w:t>)</w:t>
      </w:r>
      <w:bookmarkEnd w:id="19"/>
    </w:p>
    <w:p w14:paraId="1B5185A2" w14:textId="02690424" w:rsidR="00AD516E" w:rsidRDefault="00A5107F" w:rsidP="00E63B9C">
      <w:pPr>
        <w:pStyle w:val="STPR2BodyText"/>
        <w:pBdr>
          <w:top w:val="single" w:sz="4" w:space="1" w:color="auto"/>
          <w:left w:val="single" w:sz="4" w:space="4" w:color="auto"/>
          <w:bottom w:val="single" w:sz="4" w:space="1" w:color="auto"/>
          <w:right w:val="single" w:sz="4" w:space="4" w:color="auto"/>
        </w:pBdr>
      </w:pPr>
      <w:r w:rsidRPr="00A5107F">
        <w:rPr>
          <w:noProof/>
        </w:rPr>
        <w:drawing>
          <wp:inline distT="0" distB="0" distL="0" distR="0" wp14:anchorId="316BE70D" wp14:editId="5AD70BE1">
            <wp:extent cx="5644800" cy="624269"/>
            <wp:effectExtent l="0" t="0" r="0" b="4445"/>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624269"/>
                    </a:xfrm>
                    <a:prstGeom prst="rect">
                      <a:avLst/>
                    </a:prstGeom>
                    <a:noFill/>
                    <a:ln>
                      <a:noFill/>
                    </a:ln>
                  </pic:spPr>
                </pic:pic>
              </a:graphicData>
            </a:graphic>
          </wp:inline>
        </w:drawing>
      </w:r>
    </w:p>
    <w:p w14:paraId="4B4F3B18" w14:textId="29122812" w:rsidR="00E221C6" w:rsidRDefault="00A63EFF" w:rsidP="00E63B9C">
      <w:pPr>
        <w:pStyle w:val="STPR2BodyText"/>
        <w:pBdr>
          <w:top w:val="single" w:sz="4" w:space="1" w:color="auto"/>
          <w:left w:val="single" w:sz="4" w:space="4" w:color="auto"/>
          <w:bottom w:val="single" w:sz="4" w:space="1" w:color="auto"/>
          <w:right w:val="single" w:sz="4" w:space="4" w:color="auto"/>
        </w:pBdr>
      </w:pPr>
      <w:r>
        <w:t xml:space="preserve">This </w:t>
      </w:r>
      <w:r w:rsidR="0027058F">
        <w:t>recommendation</w:t>
      </w:r>
      <w:r>
        <w:t xml:space="preserve"> is likely to result in positive effects on SEA objectives related to </w:t>
      </w:r>
      <w:r w:rsidR="00724192">
        <w:t>quality of life and safety</w:t>
      </w:r>
      <w:r>
        <w:t xml:space="preserve"> (Objectives 4 and 7), particularly in relation to improving safety on the transport network and access to essential services. The </w:t>
      </w:r>
      <w:r w:rsidR="0027058F">
        <w:t>recommendation</w:t>
      </w:r>
      <w:r>
        <w:t xml:space="preserve"> is related to, but unlikely to have any effect on</w:t>
      </w:r>
      <w:r w:rsidR="00DA729E">
        <w:t>,</w:t>
      </w:r>
      <w:r>
        <w:t xml:space="preserve"> </w:t>
      </w:r>
      <w:r w:rsidR="00C71AB5">
        <w:t>reducing greenhouse gas emissions (</w:t>
      </w:r>
      <w:r>
        <w:t>Objective</w:t>
      </w:r>
      <w:r w:rsidR="00C53B55">
        <w:t xml:space="preserve"> 1</w:t>
      </w:r>
      <w:r>
        <w:t xml:space="preserve">), </w:t>
      </w:r>
      <w:r w:rsidR="00C71AB5">
        <w:t xml:space="preserve">developing high quality places (Objective </w:t>
      </w:r>
      <w:r>
        <w:t>6</w:t>
      </w:r>
      <w:r w:rsidR="00C71AB5">
        <w:t>)</w:t>
      </w:r>
      <w:r>
        <w:t xml:space="preserve"> and </w:t>
      </w:r>
      <w:r w:rsidR="00C71AB5">
        <w:t>the sustainable use of the transport network (Objective 8)</w:t>
      </w:r>
      <w:r w:rsidR="001C1F99">
        <w:t xml:space="preserve"> and </w:t>
      </w:r>
      <w:r w:rsidR="0096796D">
        <w:t>is therefore considered neutral</w:t>
      </w:r>
      <w:r>
        <w:t xml:space="preserve">. </w:t>
      </w:r>
    </w:p>
    <w:p w14:paraId="32DDB4B9" w14:textId="64D1E923" w:rsidR="00A63EFF" w:rsidRDefault="00A63EFF" w:rsidP="00E63B9C">
      <w:pPr>
        <w:pStyle w:val="STPR2BodyText"/>
        <w:pBdr>
          <w:top w:val="single" w:sz="4" w:space="1" w:color="auto"/>
          <w:left w:val="single" w:sz="4" w:space="4" w:color="auto"/>
          <w:bottom w:val="single" w:sz="4" w:space="1" w:color="auto"/>
          <w:right w:val="single" w:sz="4" w:space="4" w:color="auto"/>
        </w:pBdr>
      </w:pPr>
      <w:r>
        <w:t xml:space="preserve">Given the nature of the </w:t>
      </w:r>
      <w:r w:rsidR="0027058F">
        <w:t>recommendation</w:t>
      </w:r>
      <w:r>
        <w:t xml:space="preserve">, auditing to inform decision making for improvements to rest and welfare facilities for freight, the </w:t>
      </w:r>
      <w:r w:rsidR="0027058F">
        <w:t>recommendation</w:t>
      </w:r>
      <w:r>
        <w:t xml:space="preserve"> has no</w:t>
      </w:r>
      <w:r w:rsidR="00DE406F">
        <w:t xml:space="preserve"> </w:t>
      </w:r>
      <w:r w:rsidR="00F47EF1">
        <w:t xml:space="preserve">(or negligible) </w:t>
      </w:r>
      <w:r>
        <w:t xml:space="preserve">clear </w:t>
      </w:r>
      <w:r w:rsidR="00DE406F">
        <w:t xml:space="preserve">link </w:t>
      </w:r>
      <w:r>
        <w:t>to the achievement of many of the SEA Objectives</w:t>
      </w:r>
      <w:r w:rsidR="00DE406F">
        <w:t>. This includes</w:t>
      </w:r>
      <w:r w:rsidR="00636AED">
        <w:t xml:space="preserve"> </w:t>
      </w:r>
      <w:r w:rsidR="00BE3263">
        <w:t>climate adaptation</w:t>
      </w:r>
      <w:r>
        <w:t xml:space="preserve"> (Objective 2), </w:t>
      </w:r>
      <w:r w:rsidR="00BE3263">
        <w:t>a</w:t>
      </w:r>
      <w:r>
        <w:t xml:space="preserve">ir </w:t>
      </w:r>
      <w:r w:rsidR="00BE3263">
        <w:t>q</w:t>
      </w:r>
      <w:r>
        <w:t xml:space="preserve">uality (Objective 3), </w:t>
      </w:r>
      <w:r w:rsidR="00BE3263">
        <w:t>noise and vibration</w:t>
      </w:r>
      <w:r>
        <w:t xml:space="preserve"> (Objective 5), </w:t>
      </w:r>
      <w:r w:rsidR="00580E73">
        <w:t xml:space="preserve">and </w:t>
      </w:r>
      <w:r w:rsidR="00E221C6">
        <w:t>Objectives related to</w:t>
      </w:r>
      <w:r w:rsidR="00B74EB1">
        <w:t xml:space="preserve"> natural resource usage, the</w:t>
      </w:r>
      <w:r w:rsidR="00E221C6">
        <w:t xml:space="preserve"> </w:t>
      </w:r>
      <w:r w:rsidR="00B74EB1" w:rsidRPr="00B74EB1">
        <w:t>water environment, biodiversity, soil, cultural heritage and landscape and visual amenity (Objectives</w:t>
      </w:r>
      <w:r w:rsidR="00B74EB1">
        <w:t xml:space="preserve"> 9</w:t>
      </w:r>
      <w:r w:rsidR="00B74EB1" w:rsidRPr="00B74EB1">
        <w:t xml:space="preserve"> to 14). </w:t>
      </w:r>
    </w:p>
    <w:p w14:paraId="610EE7BA" w14:textId="04C0C413" w:rsidR="002132B4" w:rsidRDefault="00A63EFF" w:rsidP="00E63B9C">
      <w:pPr>
        <w:pStyle w:val="STPR2BodyText"/>
        <w:pBdr>
          <w:top w:val="single" w:sz="4" w:space="1" w:color="auto"/>
          <w:left w:val="single" w:sz="4" w:space="4" w:color="auto"/>
          <w:bottom w:val="single" w:sz="4" w:space="1" w:color="auto"/>
          <w:right w:val="single" w:sz="4" w:space="4" w:color="auto"/>
        </w:pBdr>
      </w:pPr>
      <w:r>
        <w:t xml:space="preserve">Following future decision making, it is recommended that rest stop proposals should be </w:t>
      </w:r>
      <w:r w:rsidR="00292044">
        <w:t xml:space="preserve">further </w:t>
      </w:r>
      <w:r>
        <w:t xml:space="preserve">assessed, </w:t>
      </w:r>
      <w:proofErr w:type="gramStart"/>
      <w:r>
        <w:t>in order to</w:t>
      </w:r>
      <w:proofErr w:type="gramEnd"/>
      <w:r>
        <w:t xml:space="preserve"> identify potentially significant location-specific environmental</w:t>
      </w:r>
      <w:r w:rsidR="00636AED">
        <w:t xml:space="preserve"> effects</w:t>
      </w:r>
      <w:r>
        <w:t xml:space="preserve"> and mitigation where appropriat</w:t>
      </w:r>
      <w:r w:rsidR="002132B4">
        <w:t>e.</w:t>
      </w:r>
    </w:p>
    <w:p w14:paraId="25252DBC" w14:textId="4DF5715B" w:rsidR="00BC623A" w:rsidRPr="00914DFC" w:rsidRDefault="00246C63" w:rsidP="00E63B9C">
      <w:pPr>
        <w:pStyle w:val="STPR2BodyText"/>
        <w:pBdr>
          <w:top w:val="single" w:sz="4" w:space="1" w:color="auto"/>
          <w:left w:val="single" w:sz="4" w:space="4" w:color="auto"/>
          <w:bottom w:val="single" w:sz="4" w:space="1" w:color="auto"/>
          <w:right w:val="single" w:sz="4" w:space="4" w:color="auto"/>
        </w:pBdr>
        <w:rPr>
          <w:color w:val="000000" w:themeColor="dark1"/>
          <w:kern w:val="24"/>
          <w:szCs w:val="24"/>
        </w:rPr>
      </w:pPr>
      <w:r>
        <w:rPr>
          <w:lang w:eastAsia="en-US"/>
        </w:rPr>
        <w:t>Overall, this recommendation</w:t>
      </w:r>
      <w:r w:rsidRPr="002027BF">
        <w:rPr>
          <w:lang w:eastAsia="en-US"/>
        </w:rPr>
        <w:t xml:space="preserve"> </w:t>
      </w:r>
      <w:r w:rsidR="00E818B5">
        <w:rPr>
          <w:lang w:eastAsia="en-US"/>
        </w:rPr>
        <w:t>is expected to have</w:t>
      </w:r>
      <w:r w:rsidR="00E818B5" w:rsidRPr="002027BF">
        <w:rPr>
          <w:lang w:eastAsia="en-US"/>
        </w:rPr>
        <w:t xml:space="preserve"> </w:t>
      </w:r>
      <w:r w:rsidRPr="002027BF">
        <w:rPr>
          <w:lang w:eastAsia="en-US"/>
        </w:rPr>
        <w:t xml:space="preserve">a </w:t>
      </w:r>
      <w:r>
        <w:rPr>
          <w:lang w:eastAsia="en-US"/>
        </w:rPr>
        <w:t>neutral</w:t>
      </w:r>
      <w:r w:rsidRPr="002027BF">
        <w:rPr>
          <w:lang w:eastAsia="en-US"/>
        </w:rPr>
        <w:t xml:space="preserve"> </w:t>
      </w:r>
      <w:r>
        <w:rPr>
          <w:lang w:eastAsia="en-US"/>
        </w:rPr>
        <w:t>effect</w:t>
      </w:r>
      <w:r w:rsidRPr="002027BF">
        <w:rPr>
          <w:lang w:eastAsia="en-US"/>
        </w:rPr>
        <w:t xml:space="preserve"> </w:t>
      </w:r>
      <w:r w:rsidR="00E818B5">
        <w:rPr>
          <w:lang w:eastAsia="en-US"/>
        </w:rPr>
        <w:t>on this criterion in</w:t>
      </w:r>
      <w:r w:rsidRPr="002027BF">
        <w:rPr>
          <w:lang w:eastAsia="en-US"/>
        </w:rPr>
        <w:t xml:space="preserve"> both the </w:t>
      </w:r>
      <w:r>
        <w:rPr>
          <w:lang w:eastAsia="en-US"/>
        </w:rPr>
        <w:t>L</w:t>
      </w:r>
      <w:r w:rsidRPr="002027BF">
        <w:rPr>
          <w:lang w:eastAsia="en-US"/>
        </w:rPr>
        <w:t xml:space="preserve">ow and </w:t>
      </w:r>
      <w:r>
        <w:rPr>
          <w:lang w:eastAsia="en-US"/>
        </w:rPr>
        <w:t>H</w:t>
      </w:r>
      <w:r w:rsidRPr="002027BF">
        <w:rPr>
          <w:lang w:eastAsia="en-US"/>
        </w:rPr>
        <w:t xml:space="preserve">igh </w:t>
      </w:r>
      <w:r>
        <w:rPr>
          <w:lang w:eastAsia="en-US"/>
        </w:rPr>
        <w:t>scenarios</w:t>
      </w:r>
      <w:r w:rsidRPr="002027BF">
        <w:rPr>
          <w:lang w:eastAsia="en-US"/>
        </w:rPr>
        <w:t>.</w:t>
      </w:r>
      <w:r w:rsidRPr="00500591">
        <w:rPr>
          <w:szCs w:val="24"/>
        </w:rPr>
        <w:t xml:space="preserve"> </w:t>
      </w:r>
    </w:p>
    <w:p w14:paraId="59D1D6FA" w14:textId="70C87BEE" w:rsidR="00BF5DF5" w:rsidRPr="00B03547" w:rsidRDefault="00BF5DF5">
      <w:pPr>
        <w:pStyle w:val="STPR2BodyText"/>
      </w:pPr>
    </w:p>
    <w:p w14:paraId="371C0F7E" w14:textId="0E4D4CEC" w:rsidR="009475F2" w:rsidRDefault="00D378E1" w:rsidP="00E63B9C">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20" w:name="_Toc96083538"/>
      <w:r w:rsidR="009475F2">
        <w:t>Equalities Impact Assessment (</w:t>
      </w:r>
      <w:proofErr w:type="spellStart"/>
      <w:r w:rsidR="009475F2">
        <w:t>EqIA</w:t>
      </w:r>
      <w:bookmarkEnd w:id="20"/>
      <w:proofErr w:type="spellEnd"/>
      <w:r w:rsidR="009475F2">
        <w:t>)</w:t>
      </w:r>
    </w:p>
    <w:p w14:paraId="4E0AE0EE" w14:textId="076DE39E" w:rsidR="00AD516E" w:rsidRDefault="00182C94" w:rsidP="00E63B9C">
      <w:pPr>
        <w:pStyle w:val="STPR2BodyText"/>
        <w:pBdr>
          <w:top w:val="single" w:sz="4" w:space="1" w:color="auto"/>
          <w:left w:val="single" w:sz="4" w:space="4" w:color="auto"/>
          <w:bottom w:val="single" w:sz="4" w:space="1" w:color="auto"/>
          <w:right w:val="single" w:sz="4" w:space="4" w:color="auto"/>
        </w:pBdr>
      </w:pPr>
      <w:r w:rsidRPr="00462166">
        <w:rPr>
          <w:noProof/>
        </w:rPr>
        <w:drawing>
          <wp:inline distT="0" distB="0" distL="0" distR="0" wp14:anchorId="387FC298" wp14:editId="5C1319DB">
            <wp:extent cx="5644800" cy="624269"/>
            <wp:effectExtent l="0" t="0" r="0" b="4445"/>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4800" cy="624269"/>
                    </a:xfrm>
                    <a:prstGeom prst="rect">
                      <a:avLst/>
                    </a:prstGeom>
                    <a:noFill/>
                    <a:ln>
                      <a:noFill/>
                    </a:ln>
                  </pic:spPr>
                </pic:pic>
              </a:graphicData>
            </a:graphic>
          </wp:inline>
        </w:drawing>
      </w:r>
    </w:p>
    <w:p w14:paraId="6529BFBB" w14:textId="60B5CFD1" w:rsidR="00670E12" w:rsidRDefault="00A63EFF" w:rsidP="00E63B9C">
      <w:pPr>
        <w:pStyle w:val="STPR2BodyText"/>
        <w:pBdr>
          <w:top w:val="single" w:sz="4" w:space="1" w:color="auto"/>
          <w:left w:val="single" w:sz="4" w:space="4" w:color="auto"/>
          <w:bottom w:val="single" w:sz="4" w:space="1" w:color="auto"/>
          <w:right w:val="single" w:sz="4" w:space="4" w:color="auto"/>
        </w:pBdr>
        <w:rPr>
          <w:lang w:eastAsia="en-US"/>
        </w:rPr>
      </w:pPr>
      <w:r w:rsidRPr="00A63EFF">
        <w:rPr>
          <w:lang w:eastAsia="en-US"/>
        </w:rPr>
        <w:t>Th</w:t>
      </w:r>
      <w:r w:rsidR="0027058F">
        <w:rPr>
          <w:lang w:eastAsia="en-US"/>
        </w:rPr>
        <w:t xml:space="preserve">is </w:t>
      </w:r>
      <w:r w:rsidR="0027058F">
        <w:t>recommendation</w:t>
      </w:r>
      <w:r w:rsidRPr="00A63EFF">
        <w:rPr>
          <w:lang w:eastAsia="en-US"/>
        </w:rPr>
        <w:t xml:space="preserve"> provides a pre-requisite to establish an evidenced action plan for freight stops to be planned, managed, and delivered in the future. Although there is no direct benefit to the wider community, the development of safer and more inclusive facilities at lorry parking and rest stops could have a positive impact for those employed in the freight industry. </w:t>
      </w:r>
      <w:proofErr w:type="gramStart"/>
      <w:r w:rsidRPr="00A63EFF">
        <w:rPr>
          <w:lang w:eastAsia="en-US"/>
        </w:rPr>
        <w:t>In particular, women</w:t>
      </w:r>
      <w:proofErr w:type="gramEnd"/>
      <w:r w:rsidRPr="00A63EFF">
        <w:rPr>
          <w:lang w:eastAsia="en-US"/>
        </w:rPr>
        <w:t xml:space="preserve"> and other drivers with protected characteristics who are significantly underrepresented in the road haulage industry and could have greater security concerns and needs for certain specific welfare facilities.</w:t>
      </w:r>
    </w:p>
    <w:p w14:paraId="55799336" w14:textId="5C0A9AE8" w:rsidR="00BE1C7E" w:rsidRPr="00914DFC" w:rsidRDefault="00BE1C7E" w:rsidP="00E63B9C">
      <w:pPr>
        <w:pStyle w:val="STPR2BodyText"/>
        <w:pBdr>
          <w:top w:val="single" w:sz="4" w:space="1" w:color="auto"/>
          <w:left w:val="single" w:sz="4" w:space="4" w:color="auto"/>
          <w:bottom w:val="single" w:sz="4" w:space="1" w:color="auto"/>
          <w:right w:val="single" w:sz="4" w:space="4" w:color="auto"/>
        </w:pBdr>
        <w:rPr>
          <w:color w:val="000000" w:themeColor="dark1"/>
          <w:kern w:val="24"/>
          <w:szCs w:val="24"/>
        </w:rPr>
      </w:pPr>
      <w:r w:rsidRPr="00166808">
        <w:rPr>
          <w:color w:val="000000" w:themeColor="dark1"/>
          <w:kern w:val="24"/>
          <w:szCs w:val="24"/>
        </w:rPr>
        <w:t>This recommendation is expected to have a minor positive impact on this criterion in both Low and High scenarios.</w:t>
      </w:r>
    </w:p>
    <w:p w14:paraId="0EC17E6F" w14:textId="77777777" w:rsidR="00E21263" w:rsidRPr="00664501" w:rsidRDefault="00E21263">
      <w:pPr>
        <w:pStyle w:val="STPR2BodyText"/>
        <w:rPr>
          <w:lang w:eastAsia="en-US"/>
        </w:rPr>
      </w:pPr>
    </w:p>
    <w:p w14:paraId="581D0256" w14:textId="314592EE" w:rsidR="009475F2" w:rsidRDefault="00D378E1" w:rsidP="00E63B9C">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3. </w:t>
      </w:r>
      <w:bookmarkStart w:id="21" w:name="_Toc96083539"/>
      <w:r w:rsidR="009475F2">
        <w:t>Island Communities Impact Assessment (ICIA</w:t>
      </w:r>
      <w:bookmarkEnd w:id="21"/>
      <w:r w:rsidR="009475F2">
        <w:t>)</w:t>
      </w:r>
    </w:p>
    <w:p w14:paraId="19B16350" w14:textId="33749C2A" w:rsidR="00BF5DF5" w:rsidRDefault="00182C94" w:rsidP="00E63B9C">
      <w:pPr>
        <w:pStyle w:val="STPR2BodyText"/>
        <w:keepNext/>
        <w:keepLines/>
        <w:pBdr>
          <w:top w:val="single" w:sz="4" w:space="1" w:color="auto"/>
          <w:left w:val="single" w:sz="4" w:space="4" w:color="auto"/>
          <w:bottom w:val="single" w:sz="4" w:space="1" w:color="auto"/>
          <w:right w:val="single" w:sz="4" w:space="4" w:color="auto"/>
        </w:pBdr>
      </w:pPr>
      <w:r w:rsidRPr="00462166">
        <w:rPr>
          <w:noProof/>
        </w:rPr>
        <w:drawing>
          <wp:inline distT="0" distB="0" distL="0" distR="0" wp14:anchorId="6D20D6E3" wp14:editId="548AFCEF">
            <wp:extent cx="5644800" cy="624269"/>
            <wp:effectExtent l="0" t="0" r="0" b="4445"/>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4800" cy="624269"/>
                    </a:xfrm>
                    <a:prstGeom prst="rect">
                      <a:avLst/>
                    </a:prstGeom>
                    <a:noFill/>
                    <a:ln>
                      <a:noFill/>
                    </a:ln>
                  </pic:spPr>
                </pic:pic>
              </a:graphicData>
            </a:graphic>
          </wp:inline>
        </w:drawing>
      </w:r>
    </w:p>
    <w:p w14:paraId="64688DA4" w14:textId="722EB1FD" w:rsidR="00E07DDB" w:rsidRDefault="00A63EFF" w:rsidP="00E63B9C">
      <w:pPr>
        <w:pStyle w:val="STPR2BodyText"/>
        <w:keepNext/>
        <w:keepLines/>
        <w:pBdr>
          <w:top w:val="single" w:sz="4" w:space="1" w:color="auto"/>
          <w:left w:val="single" w:sz="4" w:space="4" w:color="auto"/>
          <w:bottom w:val="single" w:sz="4" w:space="1" w:color="auto"/>
          <w:right w:val="single" w:sz="4" w:space="4" w:color="auto"/>
        </w:pBdr>
        <w:rPr>
          <w:lang w:eastAsia="en-US"/>
        </w:rPr>
      </w:pPr>
      <w:r w:rsidRPr="00A63EFF">
        <w:rPr>
          <w:lang w:eastAsia="en-US"/>
        </w:rPr>
        <w:t xml:space="preserve">Although there is no direct benefit of the freight stop audit to the islands, the study </w:t>
      </w:r>
      <w:r w:rsidR="00A75CE6">
        <w:rPr>
          <w:lang w:eastAsia="en-US"/>
        </w:rPr>
        <w:t>would</w:t>
      </w:r>
      <w:r w:rsidRPr="00A63EFF">
        <w:rPr>
          <w:lang w:eastAsia="en-US"/>
        </w:rPr>
        <w:t xml:space="preserve"> provide an evidence base for the planning, management and delivery of freight stop facilities in the future. Adequate provision of quality freight stops could protect freight routes to the islands and ensure access to goods.</w:t>
      </w:r>
    </w:p>
    <w:p w14:paraId="5AAAEE93" w14:textId="4DC44D53" w:rsidR="0076703A" w:rsidRDefault="00BE1C7E" w:rsidP="00E63B9C">
      <w:pPr>
        <w:pStyle w:val="STPR2BodyText"/>
        <w:keepNext/>
        <w:keepLines/>
        <w:pBdr>
          <w:top w:val="single" w:sz="4" w:space="1" w:color="auto"/>
          <w:left w:val="single" w:sz="4" w:space="4" w:color="auto"/>
          <w:bottom w:val="single" w:sz="4" w:space="1" w:color="auto"/>
          <w:right w:val="single" w:sz="4" w:space="4" w:color="auto"/>
        </w:pBdr>
        <w:rPr>
          <w:color w:val="000000" w:themeColor="dark1"/>
          <w:kern w:val="24"/>
          <w:szCs w:val="24"/>
        </w:rPr>
      </w:pPr>
      <w:r w:rsidRPr="00166808">
        <w:rPr>
          <w:color w:val="000000" w:themeColor="dark1"/>
          <w:kern w:val="24"/>
          <w:szCs w:val="24"/>
        </w:rPr>
        <w:t>This recommendation is expected to have a minor positive impact on this criterion in both Low and High scenarios.</w:t>
      </w:r>
    </w:p>
    <w:p w14:paraId="22D02058" w14:textId="77777777" w:rsidR="00AC2AC3" w:rsidRDefault="00AC2AC3" w:rsidP="00AC2AC3">
      <w:pPr>
        <w:pStyle w:val="STPR2Heading3"/>
        <w:keepNext/>
        <w:keepLines/>
        <w:shd w:val="clear" w:color="auto" w:fill="auto"/>
      </w:pPr>
    </w:p>
    <w:p w14:paraId="701AB170" w14:textId="7ED74071" w:rsidR="00F67DB6" w:rsidRDefault="00817A1E" w:rsidP="00AC2AC3">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t>4</w:t>
      </w:r>
      <w:r w:rsidR="00F67DB6">
        <w:t>. Children’s Rights and Wellbeing Impact Assessment (CRWIA)</w:t>
      </w:r>
    </w:p>
    <w:p w14:paraId="4B15FD17" w14:textId="17593AE8" w:rsidR="00F67DB6" w:rsidRDefault="00127BA9" w:rsidP="00AC2AC3">
      <w:pPr>
        <w:pStyle w:val="STPR2BodyText"/>
        <w:keepNext/>
        <w:keepLines/>
        <w:pBdr>
          <w:top w:val="single" w:sz="4" w:space="1" w:color="auto"/>
          <w:left w:val="single" w:sz="4" w:space="4" w:color="auto"/>
          <w:bottom w:val="single" w:sz="4" w:space="1" w:color="auto"/>
          <w:right w:val="single" w:sz="4" w:space="4" w:color="auto"/>
        </w:pBdr>
      </w:pPr>
      <w:r w:rsidRPr="00A5107F">
        <w:rPr>
          <w:noProof/>
        </w:rPr>
        <w:drawing>
          <wp:inline distT="0" distB="0" distL="0" distR="0" wp14:anchorId="578214B6" wp14:editId="0C34AFC1">
            <wp:extent cx="5644800" cy="624269"/>
            <wp:effectExtent l="0" t="0" r="0" b="444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4800" cy="624269"/>
                    </a:xfrm>
                    <a:prstGeom prst="rect">
                      <a:avLst/>
                    </a:prstGeom>
                    <a:noFill/>
                    <a:ln>
                      <a:noFill/>
                    </a:ln>
                  </pic:spPr>
                </pic:pic>
              </a:graphicData>
            </a:graphic>
          </wp:inline>
        </w:drawing>
      </w:r>
    </w:p>
    <w:p w14:paraId="259B284F" w14:textId="0AEE92F6" w:rsidR="00F67DB6" w:rsidRDefault="00E65588" w:rsidP="00AC2AC3">
      <w:pPr>
        <w:pStyle w:val="STPR2BodyText"/>
        <w:keepNext/>
        <w:keepLines/>
        <w:pBdr>
          <w:top w:val="single" w:sz="4" w:space="1" w:color="auto"/>
          <w:left w:val="single" w:sz="4" w:space="4" w:color="auto"/>
          <w:bottom w:val="single" w:sz="4" w:space="1" w:color="auto"/>
          <w:right w:val="single" w:sz="4" w:space="4" w:color="auto"/>
        </w:pBdr>
        <w:rPr>
          <w:lang w:eastAsia="en-US"/>
        </w:rPr>
      </w:pPr>
      <w:r>
        <w:rPr>
          <w:lang w:eastAsia="en-US"/>
        </w:rPr>
        <w:t xml:space="preserve">There </w:t>
      </w:r>
      <w:r w:rsidR="00F67DB6" w:rsidRPr="00A63EFF">
        <w:rPr>
          <w:lang w:eastAsia="en-US"/>
        </w:rPr>
        <w:t xml:space="preserve">is no direct benefit of the </w:t>
      </w:r>
      <w:r>
        <w:rPr>
          <w:lang w:eastAsia="en-US"/>
        </w:rPr>
        <w:t xml:space="preserve">recommendation on </w:t>
      </w:r>
      <w:r w:rsidR="00F67DB6" w:rsidRPr="00A63EFF">
        <w:rPr>
          <w:lang w:eastAsia="en-US"/>
        </w:rPr>
        <w:t>children</w:t>
      </w:r>
      <w:r>
        <w:rPr>
          <w:lang w:eastAsia="en-US"/>
        </w:rPr>
        <w:t xml:space="preserve">. </w:t>
      </w:r>
    </w:p>
    <w:p w14:paraId="197A0708" w14:textId="17699786" w:rsidR="0076703A" w:rsidRDefault="006B0050" w:rsidP="00AC2AC3">
      <w:pPr>
        <w:pStyle w:val="STPR2BodyText"/>
        <w:keepNext/>
        <w:keepLines/>
        <w:pBdr>
          <w:top w:val="single" w:sz="4" w:space="1" w:color="auto"/>
          <w:left w:val="single" w:sz="4" w:space="4" w:color="auto"/>
          <w:bottom w:val="single" w:sz="4" w:space="1" w:color="auto"/>
          <w:right w:val="single" w:sz="4" w:space="4" w:color="auto"/>
        </w:pBdr>
        <w:rPr>
          <w:lang w:eastAsia="en-US"/>
        </w:rPr>
      </w:pPr>
      <w:r>
        <w:rPr>
          <w:color w:val="000000" w:themeColor="dark1"/>
          <w:kern w:val="24"/>
          <w:szCs w:val="24"/>
        </w:rPr>
        <w:t>Therefore, t</w:t>
      </w:r>
      <w:r w:rsidR="00F67DB6" w:rsidRPr="00166808">
        <w:rPr>
          <w:color w:val="000000" w:themeColor="dark1"/>
          <w:kern w:val="24"/>
          <w:szCs w:val="24"/>
        </w:rPr>
        <w:t xml:space="preserve">his recommendation is expected to have a </w:t>
      </w:r>
      <w:r w:rsidR="00B81DE9">
        <w:rPr>
          <w:color w:val="000000" w:themeColor="dark1"/>
          <w:kern w:val="24"/>
          <w:szCs w:val="24"/>
        </w:rPr>
        <w:t>neutral</w:t>
      </w:r>
      <w:r w:rsidR="00F67DB6" w:rsidRPr="00166808">
        <w:rPr>
          <w:color w:val="000000" w:themeColor="dark1"/>
          <w:kern w:val="24"/>
          <w:szCs w:val="24"/>
        </w:rPr>
        <w:t xml:space="preserve"> impact on this criterion in both Low and High scenarios</w:t>
      </w:r>
      <w:r w:rsidR="00F67DB6" w:rsidRPr="00E07DDB">
        <w:rPr>
          <w:lang w:eastAsia="en-US"/>
        </w:rPr>
        <w:t>.</w:t>
      </w:r>
    </w:p>
    <w:p w14:paraId="527B6DCC" w14:textId="77777777" w:rsidR="00AC2AC3" w:rsidRDefault="00AC2AC3" w:rsidP="00AC2AC3">
      <w:pPr>
        <w:pStyle w:val="STPR2Heading3"/>
        <w:shd w:val="clear" w:color="auto" w:fill="auto"/>
      </w:pPr>
    </w:p>
    <w:p w14:paraId="4CB472B3" w14:textId="48E69F55" w:rsidR="00F67DB6" w:rsidRPr="00066B06" w:rsidRDefault="00F67DB6" w:rsidP="00AC2AC3">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Fairer Scotland Duty Assessment (FSDA) </w:t>
      </w:r>
    </w:p>
    <w:p w14:paraId="41A1270D" w14:textId="77777777" w:rsidR="00F67DB6" w:rsidRDefault="00F67DB6" w:rsidP="00AC2AC3">
      <w:pPr>
        <w:pStyle w:val="STPR2BodyText"/>
        <w:pBdr>
          <w:top w:val="single" w:sz="4" w:space="1" w:color="auto"/>
          <w:left w:val="single" w:sz="4" w:space="4" w:color="auto"/>
          <w:bottom w:val="single" w:sz="4" w:space="1" w:color="auto"/>
          <w:right w:val="single" w:sz="4" w:space="4" w:color="auto"/>
        </w:pBdr>
      </w:pPr>
      <w:r w:rsidRPr="00462166">
        <w:rPr>
          <w:noProof/>
        </w:rPr>
        <w:drawing>
          <wp:inline distT="0" distB="0" distL="0" distR="0" wp14:anchorId="6B759C51" wp14:editId="572F5CFE">
            <wp:extent cx="5644800" cy="624269"/>
            <wp:effectExtent l="0" t="0" r="0" b="4445"/>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44800" cy="624269"/>
                    </a:xfrm>
                    <a:prstGeom prst="rect">
                      <a:avLst/>
                    </a:prstGeom>
                    <a:noFill/>
                    <a:ln>
                      <a:noFill/>
                    </a:ln>
                  </pic:spPr>
                </pic:pic>
              </a:graphicData>
            </a:graphic>
          </wp:inline>
        </w:drawing>
      </w:r>
    </w:p>
    <w:p w14:paraId="5E63F862" w14:textId="046F33BF" w:rsidR="00F67DB6" w:rsidRDefault="00F67DB6" w:rsidP="00AC2AC3">
      <w:pPr>
        <w:pStyle w:val="STPR2BodyText"/>
        <w:pBdr>
          <w:top w:val="single" w:sz="4" w:space="1" w:color="auto"/>
          <w:left w:val="single" w:sz="4" w:space="4" w:color="auto"/>
          <w:bottom w:val="single" w:sz="4" w:space="1" w:color="auto"/>
          <w:right w:val="single" w:sz="4" w:space="4" w:color="auto"/>
        </w:pBdr>
      </w:pPr>
      <w:r w:rsidRPr="00A63EFF">
        <w:t>Although there is no direct benefit of the grouping</w:t>
      </w:r>
      <w:r>
        <w:t xml:space="preserve"> with regards to the FSDA</w:t>
      </w:r>
      <w:r w:rsidRPr="00A63EFF">
        <w:t xml:space="preserve">, future provision of freight stop facilities </w:t>
      </w:r>
      <w:r w:rsidR="00A75CE6">
        <w:t>would</w:t>
      </w:r>
      <w:r w:rsidRPr="00A63EFF">
        <w:t xml:space="preserve"> protect freight routes and ensure access to goods, which is particularly important for remote areas such as rural locations. </w:t>
      </w:r>
    </w:p>
    <w:p w14:paraId="6672B4C8" w14:textId="575C343B" w:rsidR="005F5CFC" w:rsidRDefault="00F67DB6" w:rsidP="00BB1015">
      <w:pPr>
        <w:pStyle w:val="STPR2BodyText"/>
        <w:pBdr>
          <w:top w:val="single" w:sz="4" w:space="1" w:color="auto"/>
          <w:left w:val="single" w:sz="4" w:space="4" w:color="auto"/>
          <w:bottom w:val="single" w:sz="4" w:space="1" w:color="auto"/>
          <w:right w:val="single" w:sz="4" w:space="4" w:color="auto"/>
        </w:pBdr>
      </w:pPr>
      <w:r w:rsidRPr="00166808">
        <w:rPr>
          <w:color w:val="000000" w:themeColor="dark1"/>
          <w:kern w:val="24"/>
          <w:szCs w:val="24"/>
        </w:rPr>
        <w:t>This recommendation is expected to have a minor positive impact on this criterion in both Low and High scenarios.</w:t>
      </w:r>
    </w:p>
    <w:sectPr w:rsidR="005F5CFC" w:rsidSect="005750E7">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11C37" w14:textId="77777777" w:rsidR="00E95939" w:rsidRDefault="00E95939" w:rsidP="009475F2">
      <w:pPr>
        <w:spacing w:after="0" w:line="240" w:lineRule="auto"/>
      </w:pPr>
      <w:r>
        <w:separator/>
      </w:r>
    </w:p>
  </w:endnote>
  <w:endnote w:type="continuationSeparator" w:id="0">
    <w:p w14:paraId="7AB3CD81" w14:textId="77777777" w:rsidR="00E95939" w:rsidRDefault="00E95939" w:rsidP="009475F2">
      <w:pPr>
        <w:spacing w:after="0" w:line="240" w:lineRule="auto"/>
      </w:pPr>
      <w:r>
        <w:continuationSeparator/>
      </w:r>
    </w:p>
  </w:endnote>
  <w:endnote w:type="continuationNotice" w:id="1">
    <w:p w14:paraId="478A3B09" w14:textId="77777777" w:rsidR="00E95939" w:rsidRDefault="00E959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14"/>
      <w:gridCol w:w="2781"/>
      <w:gridCol w:w="3531"/>
    </w:tblGrid>
    <w:tr w:rsidR="002B79B3" w14:paraId="423D4C30" w14:textId="77777777" w:rsidTr="00417B9E">
      <w:tc>
        <w:tcPr>
          <w:tcW w:w="4111" w:type="dxa"/>
        </w:tcPr>
        <w:p w14:paraId="2976C920" w14:textId="77777777" w:rsidR="002B79B3" w:rsidRPr="00984B20" w:rsidRDefault="002B79B3" w:rsidP="00417B9E">
          <w:pPr>
            <w:pStyle w:val="Footer"/>
          </w:pPr>
        </w:p>
      </w:tc>
      <w:tc>
        <w:tcPr>
          <w:tcW w:w="5069" w:type="dxa"/>
          <w:vAlign w:val="center"/>
        </w:tcPr>
        <w:p w14:paraId="4D0E9290" w14:textId="77777777" w:rsidR="002B79B3" w:rsidRDefault="002B79B3" w:rsidP="00417B9E">
          <w:pPr>
            <w:pStyle w:val="Footer"/>
            <w:jc w:val="center"/>
          </w:pPr>
        </w:p>
      </w:tc>
      <w:tc>
        <w:tcPr>
          <w:tcW w:w="4241" w:type="dxa"/>
          <w:vAlign w:val="center"/>
        </w:tcPr>
        <w:p w14:paraId="43197228" w14:textId="77777777" w:rsidR="002B79B3" w:rsidRDefault="002B79B3" w:rsidP="00417B9E">
          <w:pPr>
            <w:pStyle w:val="Footer"/>
            <w:jc w:val="right"/>
          </w:pPr>
        </w:p>
      </w:tc>
    </w:tr>
    <w:tr w:rsidR="002B79B3" w14:paraId="21B9EC99" w14:textId="77777777" w:rsidTr="00417B9E">
      <w:tc>
        <w:tcPr>
          <w:tcW w:w="4111" w:type="dxa"/>
        </w:tcPr>
        <w:p w14:paraId="44A0973E" w14:textId="77777777" w:rsidR="002B79B3" w:rsidRPr="00984B20" w:rsidRDefault="002B79B3" w:rsidP="00417B9E">
          <w:pPr>
            <w:pStyle w:val="Footer"/>
          </w:pPr>
          <w:r w:rsidRPr="00984B20">
            <w:t>Strategic Transport Projects Review (STPR2) Consultancy Support Services Contract</w:t>
          </w:r>
        </w:p>
      </w:tc>
      <w:tc>
        <w:tcPr>
          <w:tcW w:w="5069" w:type="dxa"/>
        </w:tcPr>
        <w:p w14:paraId="5FD6FC24" w14:textId="77777777" w:rsidR="002B79B3" w:rsidRDefault="002B79B3" w:rsidP="00417B9E">
          <w:pPr>
            <w:pStyle w:val="Footer"/>
            <w:jc w:val="center"/>
          </w:pPr>
          <w:r>
            <w:fldChar w:fldCharType="begin"/>
          </w:r>
          <w:r>
            <w:instrText xml:space="preserve"> PAGE   \* MERGEFORMAT </w:instrText>
          </w:r>
          <w:r>
            <w:fldChar w:fldCharType="separate"/>
          </w:r>
          <w:r>
            <w:rPr>
              <w:noProof/>
            </w:rPr>
            <w:t>19</w:t>
          </w:r>
          <w:r>
            <w:fldChar w:fldCharType="end"/>
          </w:r>
        </w:p>
      </w:tc>
      <w:tc>
        <w:tcPr>
          <w:tcW w:w="4241" w:type="dxa"/>
        </w:tcPr>
        <w:p w14:paraId="5593CA04" w14:textId="77777777" w:rsidR="002B79B3" w:rsidRDefault="002B79B3" w:rsidP="00417B9E">
          <w:pPr>
            <w:pStyle w:val="Footer"/>
            <w:jc w:val="right"/>
          </w:pPr>
          <w:r>
            <w:rPr>
              <w:noProof/>
            </w:rPr>
            <w:drawing>
              <wp:inline distT="0" distB="0" distL="0" distR="0" wp14:anchorId="073EC77F" wp14:editId="0E77FC5A">
                <wp:extent cx="1620003" cy="180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4B667B2"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4B79A" w14:textId="77777777" w:rsidR="00E95939" w:rsidRDefault="00E95939" w:rsidP="009475F2">
      <w:pPr>
        <w:spacing w:after="0" w:line="240" w:lineRule="auto"/>
      </w:pPr>
      <w:r>
        <w:separator/>
      </w:r>
    </w:p>
  </w:footnote>
  <w:footnote w:type="continuationSeparator" w:id="0">
    <w:p w14:paraId="37D2AC38" w14:textId="77777777" w:rsidR="00E95939" w:rsidRDefault="00E95939" w:rsidP="009475F2">
      <w:pPr>
        <w:spacing w:after="0" w:line="240" w:lineRule="auto"/>
      </w:pPr>
      <w:r>
        <w:continuationSeparator/>
      </w:r>
    </w:p>
  </w:footnote>
  <w:footnote w:type="continuationNotice" w:id="1">
    <w:p w14:paraId="4B9800E8" w14:textId="77777777" w:rsidR="00E95939" w:rsidRDefault="00E959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3144"/>
    </w:tblGrid>
    <w:tr w:rsidR="005563EB" w14:paraId="1D972FA3" w14:textId="77777777" w:rsidTr="00417B9E">
      <w:tc>
        <w:tcPr>
          <w:tcW w:w="6418" w:type="dxa"/>
          <w:vAlign w:val="center"/>
        </w:tcPr>
        <w:p w14:paraId="5D4A8A01" w14:textId="77777777" w:rsidR="005563EB" w:rsidRPr="00AC7FD5" w:rsidRDefault="005563EB" w:rsidP="00417B9E">
          <w:pPr>
            <w:pStyle w:val="Header"/>
            <w:ind w:left="-103"/>
          </w:pPr>
          <w:r>
            <w:t>Appendix I: Appraisal Summary Table – Recommendation 36 Strategy for improving rest and welfare facilities for hauliers</w:t>
          </w:r>
        </w:p>
      </w:tc>
      <w:tc>
        <w:tcPr>
          <w:tcW w:w="3210" w:type="dxa"/>
        </w:tcPr>
        <w:p w14:paraId="0F9D38C2" w14:textId="77777777" w:rsidR="005563EB" w:rsidRDefault="005563EB" w:rsidP="00417B9E">
          <w:pPr>
            <w:pStyle w:val="Header"/>
            <w:jc w:val="right"/>
          </w:pPr>
          <w:r>
            <w:rPr>
              <w:noProof/>
            </w:rPr>
            <w:drawing>
              <wp:inline distT="0" distB="0" distL="0" distR="0" wp14:anchorId="688DD3A5" wp14:editId="23FD6138">
                <wp:extent cx="1519801" cy="685800"/>
                <wp:effectExtent l="0" t="0" r="4445"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4C0B4CCB" w14:textId="77777777" w:rsidR="002B79B3" w:rsidRPr="00AC7FD5" w:rsidRDefault="002B79B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335E"/>
    <w:multiLevelType w:val="hybridMultilevel"/>
    <w:tmpl w:val="9432CF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38F2150"/>
    <w:multiLevelType w:val="hybridMultilevel"/>
    <w:tmpl w:val="493CD9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abstractNum w:abstractNumId="10" w15:restartNumberingAfterBreak="0">
    <w:nsid w:val="75ED5B44"/>
    <w:multiLevelType w:val="hybridMultilevel"/>
    <w:tmpl w:val="FD5C54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C4066E"/>
    <w:multiLevelType w:val="hybridMultilevel"/>
    <w:tmpl w:val="CC5EC7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3"/>
  </w:num>
  <w:num w:numId="5">
    <w:abstractNumId w:val="8"/>
  </w:num>
  <w:num w:numId="6">
    <w:abstractNumId w:val="2"/>
  </w:num>
  <w:num w:numId="7">
    <w:abstractNumId w:val="6"/>
  </w:num>
  <w:num w:numId="8">
    <w:abstractNumId w:val="7"/>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4"/>
  </w:num>
  <w:num w:numId="23">
    <w:abstractNumId w:val="10"/>
  </w:num>
  <w:num w:numId="24">
    <w:abstractNumId w:val="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F2"/>
    <w:rsid w:val="0000245A"/>
    <w:rsid w:val="000030DB"/>
    <w:rsid w:val="00016335"/>
    <w:rsid w:val="000171EC"/>
    <w:rsid w:val="00017B7E"/>
    <w:rsid w:val="00021AF8"/>
    <w:rsid w:val="00026537"/>
    <w:rsid w:val="0003261E"/>
    <w:rsid w:val="00036F3F"/>
    <w:rsid w:val="00037374"/>
    <w:rsid w:val="00045A8D"/>
    <w:rsid w:val="000465DA"/>
    <w:rsid w:val="00047C82"/>
    <w:rsid w:val="00055DAF"/>
    <w:rsid w:val="00057FDC"/>
    <w:rsid w:val="000603D6"/>
    <w:rsid w:val="00062B0A"/>
    <w:rsid w:val="0006664A"/>
    <w:rsid w:val="00066B06"/>
    <w:rsid w:val="00067311"/>
    <w:rsid w:val="00067A3F"/>
    <w:rsid w:val="00072786"/>
    <w:rsid w:val="0007597B"/>
    <w:rsid w:val="00082CAC"/>
    <w:rsid w:val="00083CAD"/>
    <w:rsid w:val="00083DA7"/>
    <w:rsid w:val="000848C9"/>
    <w:rsid w:val="00085AC8"/>
    <w:rsid w:val="000874C3"/>
    <w:rsid w:val="00090762"/>
    <w:rsid w:val="0009219F"/>
    <w:rsid w:val="00092794"/>
    <w:rsid w:val="0009361D"/>
    <w:rsid w:val="000947E5"/>
    <w:rsid w:val="00097E03"/>
    <w:rsid w:val="000A2B94"/>
    <w:rsid w:val="000A2F72"/>
    <w:rsid w:val="000A606A"/>
    <w:rsid w:val="000B2636"/>
    <w:rsid w:val="000B5DE0"/>
    <w:rsid w:val="000B6E05"/>
    <w:rsid w:val="000D484A"/>
    <w:rsid w:val="000D6586"/>
    <w:rsid w:val="000D7DCA"/>
    <w:rsid w:val="000E097C"/>
    <w:rsid w:val="000E0AC9"/>
    <w:rsid w:val="000E26A0"/>
    <w:rsid w:val="000F1E5F"/>
    <w:rsid w:val="000F646E"/>
    <w:rsid w:val="00101519"/>
    <w:rsid w:val="00101D53"/>
    <w:rsid w:val="0010254C"/>
    <w:rsid w:val="001058C4"/>
    <w:rsid w:val="00107AD5"/>
    <w:rsid w:val="00112DE7"/>
    <w:rsid w:val="00113C7C"/>
    <w:rsid w:val="00115B75"/>
    <w:rsid w:val="00120B30"/>
    <w:rsid w:val="00123DFC"/>
    <w:rsid w:val="00127BA9"/>
    <w:rsid w:val="00131372"/>
    <w:rsid w:val="00135F08"/>
    <w:rsid w:val="00135F65"/>
    <w:rsid w:val="00135F88"/>
    <w:rsid w:val="0014125F"/>
    <w:rsid w:val="00143C90"/>
    <w:rsid w:val="001441D6"/>
    <w:rsid w:val="00144666"/>
    <w:rsid w:val="00146242"/>
    <w:rsid w:val="001541C1"/>
    <w:rsid w:val="0015485D"/>
    <w:rsid w:val="001612A9"/>
    <w:rsid w:val="00163C5B"/>
    <w:rsid w:val="001724F6"/>
    <w:rsid w:val="0017265B"/>
    <w:rsid w:val="0017560F"/>
    <w:rsid w:val="00175E18"/>
    <w:rsid w:val="00177831"/>
    <w:rsid w:val="00182C94"/>
    <w:rsid w:val="00193F42"/>
    <w:rsid w:val="00194242"/>
    <w:rsid w:val="001A0476"/>
    <w:rsid w:val="001A5790"/>
    <w:rsid w:val="001A7C68"/>
    <w:rsid w:val="001B2D5B"/>
    <w:rsid w:val="001B3D87"/>
    <w:rsid w:val="001C1F99"/>
    <w:rsid w:val="001C38F7"/>
    <w:rsid w:val="001C59B3"/>
    <w:rsid w:val="001D0F01"/>
    <w:rsid w:val="001D20E5"/>
    <w:rsid w:val="001D3BEF"/>
    <w:rsid w:val="001D3E41"/>
    <w:rsid w:val="001D4AC4"/>
    <w:rsid w:val="001D7845"/>
    <w:rsid w:val="001D7E2F"/>
    <w:rsid w:val="001E1241"/>
    <w:rsid w:val="001E18A9"/>
    <w:rsid w:val="001E283A"/>
    <w:rsid w:val="001E578E"/>
    <w:rsid w:val="001E588E"/>
    <w:rsid w:val="001E5E58"/>
    <w:rsid w:val="001E7E21"/>
    <w:rsid w:val="001F0DD2"/>
    <w:rsid w:val="001F2822"/>
    <w:rsid w:val="0020235E"/>
    <w:rsid w:val="00207C19"/>
    <w:rsid w:val="00211FEB"/>
    <w:rsid w:val="002132B4"/>
    <w:rsid w:val="0021692D"/>
    <w:rsid w:val="00217A29"/>
    <w:rsid w:val="002217CB"/>
    <w:rsid w:val="00231442"/>
    <w:rsid w:val="00235277"/>
    <w:rsid w:val="00236170"/>
    <w:rsid w:val="00237E1E"/>
    <w:rsid w:val="0024112F"/>
    <w:rsid w:val="002437E9"/>
    <w:rsid w:val="002459D2"/>
    <w:rsid w:val="00246C63"/>
    <w:rsid w:val="0024703C"/>
    <w:rsid w:val="00252496"/>
    <w:rsid w:val="00260D45"/>
    <w:rsid w:val="00267F93"/>
    <w:rsid w:val="0027058F"/>
    <w:rsid w:val="00273A7A"/>
    <w:rsid w:val="002745C7"/>
    <w:rsid w:val="00276490"/>
    <w:rsid w:val="002831B3"/>
    <w:rsid w:val="00287B54"/>
    <w:rsid w:val="00292044"/>
    <w:rsid w:val="002920FE"/>
    <w:rsid w:val="002959DB"/>
    <w:rsid w:val="002B2EB9"/>
    <w:rsid w:val="002B375F"/>
    <w:rsid w:val="002B3C27"/>
    <w:rsid w:val="002B3D08"/>
    <w:rsid w:val="002B607A"/>
    <w:rsid w:val="002B705E"/>
    <w:rsid w:val="002B79B3"/>
    <w:rsid w:val="002C1C0C"/>
    <w:rsid w:val="002C2F76"/>
    <w:rsid w:val="002C74D9"/>
    <w:rsid w:val="002D2201"/>
    <w:rsid w:val="002D61B4"/>
    <w:rsid w:val="002E1AA5"/>
    <w:rsid w:val="00301B4B"/>
    <w:rsid w:val="00302193"/>
    <w:rsid w:val="00303C4D"/>
    <w:rsid w:val="00316596"/>
    <w:rsid w:val="00316AA8"/>
    <w:rsid w:val="00322410"/>
    <w:rsid w:val="00324D5E"/>
    <w:rsid w:val="00325680"/>
    <w:rsid w:val="0033680E"/>
    <w:rsid w:val="003368A2"/>
    <w:rsid w:val="00343BA7"/>
    <w:rsid w:val="00344E12"/>
    <w:rsid w:val="00347F69"/>
    <w:rsid w:val="00356BF1"/>
    <w:rsid w:val="003602F2"/>
    <w:rsid w:val="003610F8"/>
    <w:rsid w:val="0036221A"/>
    <w:rsid w:val="00363B2A"/>
    <w:rsid w:val="0036467D"/>
    <w:rsid w:val="00365408"/>
    <w:rsid w:val="00366985"/>
    <w:rsid w:val="00367C06"/>
    <w:rsid w:val="00370A65"/>
    <w:rsid w:val="0037624A"/>
    <w:rsid w:val="0038048D"/>
    <w:rsid w:val="00380E6B"/>
    <w:rsid w:val="00380ED1"/>
    <w:rsid w:val="00381CCA"/>
    <w:rsid w:val="00383062"/>
    <w:rsid w:val="003838DB"/>
    <w:rsid w:val="003853B9"/>
    <w:rsid w:val="00390657"/>
    <w:rsid w:val="00395488"/>
    <w:rsid w:val="003A525F"/>
    <w:rsid w:val="003A5911"/>
    <w:rsid w:val="003B0156"/>
    <w:rsid w:val="003B0FFA"/>
    <w:rsid w:val="003B45C7"/>
    <w:rsid w:val="003C0DDD"/>
    <w:rsid w:val="003C2D88"/>
    <w:rsid w:val="003C34F3"/>
    <w:rsid w:val="003D3C2C"/>
    <w:rsid w:val="003D4135"/>
    <w:rsid w:val="003D6923"/>
    <w:rsid w:val="003D7B5B"/>
    <w:rsid w:val="003E022A"/>
    <w:rsid w:val="003E02AE"/>
    <w:rsid w:val="003E1EE7"/>
    <w:rsid w:val="003E3508"/>
    <w:rsid w:val="003E4007"/>
    <w:rsid w:val="003E4BBE"/>
    <w:rsid w:val="003E5D55"/>
    <w:rsid w:val="003E68F8"/>
    <w:rsid w:val="003F4FE5"/>
    <w:rsid w:val="003F5C87"/>
    <w:rsid w:val="003F75D1"/>
    <w:rsid w:val="00402CE9"/>
    <w:rsid w:val="004040A3"/>
    <w:rsid w:val="0040443F"/>
    <w:rsid w:val="00414178"/>
    <w:rsid w:val="00417B9E"/>
    <w:rsid w:val="00420892"/>
    <w:rsid w:val="00423066"/>
    <w:rsid w:val="00425F31"/>
    <w:rsid w:val="00426A7C"/>
    <w:rsid w:val="00430799"/>
    <w:rsid w:val="0043460F"/>
    <w:rsid w:val="00434C1C"/>
    <w:rsid w:val="00441BD5"/>
    <w:rsid w:val="0044618F"/>
    <w:rsid w:val="00446C2C"/>
    <w:rsid w:val="0045576C"/>
    <w:rsid w:val="00457742"/>
    <w:rsid w:val="00460DE3"/>
    <w:rsid w:val="0046191C"/>
    <w:rsid w:val="00462166"/>
    <w:rsid w:val="004656AC"/>
    <w:rsid w:val="00475503"/>
    <w:rsid w:val="00482B8D"/>
    <w:rsid w:val="00484C9D"/>
    <w:rsid w:val="00492394"/>
    <w:rsid w:val="00493E3C"/>
    <w:rsid w:val="00494EA6"/>
    <w:rsid w:val="004969A1"/>
    <w:rsid w:val="004971A0"/>
    <w:rsid w:val="004A11BD"/>
    <w:rsid w:val="004A642D"/>
    <w:rsid w:val="004B2822"/>
    <w:rsid w:val="004B405D"/>
    <w:rsid w:val="004B778F"/>
    <w:rsid w:val="004C4516"/>
    <w:rsid w:val="004C6860"/>
    <w:rsid w:val="004D3C4B"/>
    <w:rsid w:val="004D53C5"/>
    <w:rsid w:val="004E52BA"/>
    <w:rsid w:val="004E7C4C"/>
    <w:rsid w:val="004F4E79"/>
    <w:rsid w:val="0050252A"/>
    <w:rsid w:val="00502F07"/>
    <w:rsid w:val="00504385"/>
    <w:rsid w:val="00504B36"/>
    <w:rsid w:val="00511638"/>
    <w:rsid w:val="005131D7"/>
    <w:rsid w:val="00520001"/>
    <w:rsid w:val="005248CD"/>
    <w:rsid w:val="0052564C"/>
    <w:rsid w:val="00527D7A"/>
    <w:rsid w:val="00530A0D"/>
    <w:rsid w:val="00533B6C"/>
    <w:rsid w:val="00533DD9"/>
    <w:rsid w:val="00547AB0"/>
    <w:rsid w:val="00550925"/>
    <w:rsid w:val="00550C45"/>
    <w:rsid w:val="005520C9"/>
    <w:rsid w:val="00552E20"/>
    <w:rsid w:val="0055341B"/>
    <w:rsid w:val="0055394E"/>
    <w:rsid w:val="005563EB"/>
    <w:rsid w:val="005624E2"/>
    <w:rsid w:val="005642D2"/>
    <w:rsid w:val="0056686F"/>
    <w:rsid w:val="0057279A"/>
    <w:rsid w:val="005750E7"/>
    <w:rsid w:val="00577974"/>
    <w:rsid w:val="00580E73"/>
    <w:rsid w:val="0058239A"/>
    <w:rsid w:val="00586C7C"/>
    <w:rsid w:val="00586F8F"/>
    <w:rsid w:val="0058714E"/>
    <w:rsid w:val="00591243"/>
    <w:rsid w:val="00592D94"/>
    <w:rsid w:val="00596633"/>
    <w:rsid w:val="005A3291"/>
    <w:rsid w:val="005A37C3"/>
    <w:rsid w:val="005A55BA"/>
    <w:rsid w:val="005A6B8B"/>
    <w:rsid w:val="005A7EFD"/>
    <w:rsid w:val="005B01ED"/>
    <w:rsid w:val="005B2BEB"/>
    <w:rsid w:val="005B2C98"/>
    <w:rsid w:val="005B4943"/>
    <w:rsid w:val="005B62AF"/>
    <w:rsid w:val="005C0BEB"/>
    <w:rsid w:val="005C3824"/>
    <w:rsid w:val="005D303A"/>
    <w:rsid w:val="005D4843"/>
    <w:rsid w:val="005E13B8"/>
    <w:rsid w:val="005E548C"/>
    <w:rsid w:val="005F406D"/>
    <w:rsid w:val="005F4CAE"/>
    <w:rsid w:val="005F5CFC"/>
    <w:rsid w:val="006017AE"/>
    <w:rsid w:val="00602C26"/>
    <w:rsid w:val="006032CA"/>
    <w:rsid w:val="00607240"/>
    <w:rsid w:val="00612E1A"/>
    <w:rsid w:val="00620049"/>
    <w:rsid w:val="00622320"/>
    <w:rsid w:val="00632DAB"/>
    <w:rsid w:val="006341CA"/>
    <w:rsid w:val="00634324"/>
    <w:rsid w:val="00636AED"/>
    <w:rsid w:val="00640122"/>
    <w:rsid w:val="00650CB0"/>
    <w:rsid w:val="00651797"/>
    <w:rsid w:val="0065179B"/>
    <w:rsid w:val="00651E50"/>
    <w:rsid w:val="00653744"/>
    <w:rsid w:val="0065476B"/>
    <w:rsid w:val="00656595"/>
    <w:rsid w:val="0066440A"/>
    <w:rsid w:val="0066463D"/>
    <w:rsid w:val="00667165"/>
    <w:rsid w:val="00667A58"/>
    <w:rsid w:val="00670E12"/>
    <w:rsid w:val="006768AE"/>
    <w:rsid w:val="006769E3"/>
    <w:rsid w:val="00676A4F"/>
    <w:rsid w:val="00677694"/>
    <w:rsid w:val="00682E26"/>
    <w:rsid w:val="006935D3"/>
    <w:rsid w:val="0069384B"/>
    <w:rsid w:val="006A1A27"/>
    <w:rsid w:val="006A2046"/>
    <w:rsid w:val="006A5667"/>
    <w:rsid w:val="006A5AA3"/>
    <w:rsid w:val="006A5C96"/>
    <w:rsid w:val="006B0050"/>
    <w:rsid w:val="006B3DA3"/>
    <w:rsid w:val="006B3E74"/>
    <w:rsid w:val="006B406C"/>
    <w:rsid w:val="006B5AC9"/>
    <w:rsid w:val="006C649A"/>
    <w:rsid w:val="006D1192"/>
    <w:rsid w:val="006D7A37"/>
    <w:rsid w:val="006E24ED"/>
    <w:rsid w:val="006E76E9"/>
    <w:rsid w:val="006E7ABA"/>
    <w:rsid w:val="006F48AD"/>
    <w:rsid w:val="006F790F"/>
    <w:rsid w:val="007002B7"/>
    <w:rsid w:val="00700354"/>
    <w:rsid w:val="00704195"/>
    <w:rsid w:val="0071291C"/>
    <w:rsid w:val="00714E80"/>
    <w:rsid w:val="007231EB"/>
    <w:rsid w:val="00724192"/>
    <w:rsid w:val="00734278"/>
    <w:rsid w:val="0073619F"/>
    <w:rsid w:val="007400B2"/>
    <w:rsid w:val="00741934"/>
    <w:rsid w:val="00741BEF"/>
    <w:rsid w:val="00742A52"/>
    <w:rsid w:val="00742D58"/>
    <w:rsid w:val="00742E42"/>
    <w:rsid w:val="00743800"/>
    <w:rsid w:val="00752891"/>
    <w:rsid w:val="00756297"/>
    <w:rsid w:val="00760474"/>
    <w:rsid w:val="00760B3F"/>
    <w:rsid w:val="007629FF"/>
    <w:rsid w:val="00763C7F"/>
    <w:rsid w:val="00765492"/>
    <w:rsid w:val="0076703A"/>
    <w:rsid w:val="00767842"/>
    <w:rsid w:val="007755DE"/>
    <w:rsid w:val="007765A3"/>
    <w:rsid w:val="007859B8"/>
    <w:rsid w:val="00796DA9"/>
    <w:rsid w:val="007A00F0"/>
    <w:rsid w:val="007A39D0"/>
    <w:rsid w:val="007A7119"/>
    <w:rsid w:val="007A7122"/>
    <w:rsid w:val="007B25D4"/>
    <w:rsid w:val="007B451C"/>
    <w:rsid w:val="007B6607"/>
    <w:rsid w:val="007B6CA7"/>
    <w:rsid w:val="007C2B66"/>
    <w:rsid w:val="007C7650"/>
    <w:rsid w:val="007D064F"/>
    <w:rsid w:val="007D7930"/>
    <w:rsid w:val="007D79AD"/>
    <w:rsid w:val="007E14A7"/>
    <w:rsid w:val="007E54EA"/>
    <w:rsid w:val="007F7150"/>
    <w:rsid w:val="007F777D"/>
    <w:rsid w:val="00807EBB"/>
    <w:rsid w:val="00810C6D"/>
    <w:rsid w:val="00813FC2"/>
    <w:rsid w:val="008159A5"/>
    <w:rsid w:val="008164FF"/>
    <w:rsid w:val="00817A1E"/>
    <w:rsid w:val="00821710"/>
    <w:rsid w:val="00826389"/>
    <w:rsid w:val="00826CF8"/>
    <w:rsid w:val="00830B08"/>
    <w:rsid w:val="008348CA"/>
    <w:rsid w:val="00836287"/>
    <w:rsid w:val="00836BD2"/>
    <w:rsid w:val="00845656"/>
    <w:rsid w:val="008531CB"/>
    <w:rsid w:val="00855940"/>
    <w:rsid w:val="0086203A"/>
    <w:rsid w:val="008633A7"/>
    <w:rsid w:val="00873B6B"/>
    <w:rsid w:val="008767C7"/>
    <w:rsid w:val="00880F74"/>
    <w:rsid w:val="00881643"/>
    <w:rsid w:val="00882802"/>
    <w:rsid w:val="00883506"/>
    <w:rsid w:val="008939C7"/>
    <w:rsid w:val="00897F85"/>
    <w:rsid w:val="008A0A79"/>
    <w:rsid w:val="008A2B57"/>
    <w:rsid w:val="008A5762"/>
    <w:rsid w:val="008A61D0"/>
    <w:rsid w:val="008B0F95"/>
    <w:rsid w:val="008B1297"/>
    <w:rsid w:val="008B3265"/>
    <w:rsid w:val="008B6F36"/>
    <w:rsid w:val="008C3623"/>
    <w:rsid w:val="008C547E"/>
    <w:rsid w:val="008D2B90"/>
    <w:rsid w:val="008D2EE9"/>
    <w:rsid w:val="008D30CC"/>
    <w:rsid w:val="008D4350"/>
    <w:rsid w:val="008D7039"/>
    <w:rsid w:val="008D74C0"/>
    <w:rsid w:val="008E32C9"/>
    <w:rsid w:val="008E3F1D"/>
    <w:rsid w:val="008E43EB"/>
    <w:rsid w:val="008E74F8"/>
    <w:rsid w:val="008E7BDB"/>
    <w:rsid w:val="008F19B8"/>
    <w:rsid w:val="009046A9"/>
    <w:rsid w:val="009225DB"/>
    <w:rsid w:val="009312D2"/>
    <w:rsid w:val="0093352F"/>
    <w:rsid w:val="00933A8A"/>
    <w:rsid w:val="00940767"/>
    <w:rsid w:val="00945C70"/>
    <w:rsid w:val="00945D2E"/>
    <w:rsid w:val="00945EDA"/>
    <w:rsid w:val="009466E0"/>
    <w:rsid w:val="009475F2"/>
    <w:rsid w:val="009478C1"/>
    <w:rsid w:val="009574FA"/>
    <w:rsid w:val="009645AE"/>
    <w:rsid w:val="00966943"/>
    <w:rsid w:val="0096796D"/>
    <w:rsid w:val="00972E66"/>
    <w:rsid w:val="00976623"/>
    <w:rsid w:val="00977F71"/>
    <w:rsid w:val="009841A6"/>
    <w:rsid w:val="0098455B"/>
    <w:rsid w:val="00992B8E"/>
    <w:rsid w:val="009931FD"/>
    <w:rsid w:val="009A11AF"/>
    <w:rsid w:val="009B1F89"/>
    <w:rsid w:val="009B3BEB"/>
    <w:rsid w:val="009B407B"/>
    <w:rsid w:val="009B5FBA"/>
    <w:rsid w:val="009B6B9A"/>
    <w:rsid w:val="009D52C5"/>
    <w:rsid w:val="009D5394"/>
    <w:rsid w:val="009D6697"/>
    <w:rsid w:val="009D7680"/>
    <w:rsid w:val="009E176A"/>
    <w:rsid w:val="009F0DF9"/>
    <w:rsid w:val="009F192A"/>
    <w:rsid w:val="009F5252"/>
    <w:rsid w:val="00A0387A"/>
    <w:rsid w:val="00A06665"/>
    <w:rsid w:val="00A16D43"/>
    <w:rsid w:val="00A21838"/>
    <w:rsid w:val="00A22061"/>
    <w:rsid w:val="00A2217D"/>
    <w:rsid w:val="00A24516"/>
    <w:rsid w:val="00A31191"/>
    <w:rsid w:val="00A330D0"/>
    <w:rsid w:val="00A33B26"/>
    <w:rsid w:val="00A33BEA"/>
    <w:rsid w:val="00A35DD6"/>
    <w:rsid w:val="00A3784C"/>
    <w:rsid w:val="00A43B7A"/>
    <w:rsid w:val="00A4426D"/>
    <w:rsid w:val="00A4692F"/>
    <w:rsid w:val="00A5107F"/>
    <w:rsid w:val="00A52E31"/>
    <w:rsid w:val="00A53364"/>
    <w:rsid w:val="00A533A8"/>
    <w:rsid w:val="00A53AF0"/>
    <w:rsid w:val="00A5662E"/>
    <w:rsid w:val="00A568C5"/>
    <w:rsid w:val="00A60BF1"/>
    <w:rsid w:val="00A63EFF"/>
    <w:rsid w:val="00A641EA"/>
    <w:rsid w:val="00A649AA"/>
    <w:rsid w:val="00A67718"/>
    <w:rsid w:val="00A70477"/>
    <w:rsid w:val="00A721E1"/>
    <w:rsid w:val="00A74E46"/>
    <w:rsid w:val="00A75CE6"/>
    <w:rsid w:val="00A96333"/>
    <w:rsid w:val="00AA2FCB"/>
    <w:rsid w:val="00AB3881"/>
    <w:rsid w:val="00AB5DC6"/>
    <w:rsid w:val="00AB6B89"/>
    <w:rsid w:val="00AC0E76"/>
    <w:rsid w:val="00AC2AC3"/>
    <w:rsid w:val="00AC331C"/>
    <w:rsid w:val="00AD4366"/>
    <w:rsid w:val="00AD516E"/>
    <w:rsid w:val="00AD54E2"/>
    <w:rsid w:val="00AE0F57"/>
    <w:rsid w:val="00AE14E9"/>
    <w:rsid w:val="00AE7896"/>
    <w:rsid w:val="00AF0C29"/>
    <w:rsid w:val="00AF295B"/>
    <w:rsid w:val="00AF2AF4"/>
    <w:rsid w:val="00AF45B2"/>
    <w:rsid w:val="00AF7124"/>
    <w:rsid w:val="00B03547"/>
    <w:rsid w:val="00B11DEF"/>
    <w:rsid w:val="00B12442"/>
    <w:rsid w:val="00B14679"/>
    <w:rsid w:val="00B2209C"/>
    <w:rsid w:val="00B24BFE"/>
    <w:rsid w:val="00B2734C"/>
    <w:rsid w:val="00B3333E"/>
    <w:rsid w:val="00B33F08"/>
    <w:rsid w:val="00B364CB"/>
    <w:rsid w:val="00B413D5"/>
    <w:rsid w:val="00B42BAB"/>
    <w:rsid w:val="00B44DE8"/>
    <w:rsid w:val="00B4762C"/>
    <w:rsid w:val="00B478E3"/>
    <w:rsid w:val="00B505CD"/>
    <w:rsid w:val="00B66725"/>
    <w:rsid w:val="00B70007"/>
    <w:rsid w:val="00B70441"/>
    <w:rsid w:val="00B71A67"/>
    <w:rsid w:val="00B74BFA"/>
    <w:rsid w:val="00B74EB1"/>
    <w:rsid w:val="00B8131D"/>
    <w:rsid w:val="00B81DE9"/>
    <w:rsid w:val="00B8677A"/>
    <w:rsid w:val="00B9412C"/>
    <w:rsid w:val="00B9609E"/>
    <w:rsid w:val="00BA13FB"/>
    <w:rsid w:val="00BA65BC"/>
    <w:rsid w:val="00BA767F"/>
    <w:rsid w:val="00BB0D9D"/>
    <w:rsid w:val="00BB1015"/>
    <w:rsid w:val="00BB6256"/>
    <w:rsid w:val="00BC232C"/>
    <w:rsid w:val="00BC4B4C"/>
    <w:rsid w:val="00BC623A"/>
    <w:rsid w:val="00BD6777"/>
    <w:rsid w:val="00BD67B7"/>
    <w:rsid w:val="00BE1C7E"/>
    <w:rsid w:val="00BE3263"/>
    <w:rsid w:val="00BE5FB0"/>
    <w:rsid w:val="00BE737D"/>
    <w:rsid w:val="00BF00E2"/>
    <w:rsid w:val="00BF1B88"/>
    <w:rsid w:val="00BF1FDB"/>
    <w:rsid w:val="00BF51A7"/>
    <w:rsid w:val="00BF52C1"/>
    <w:rsid w:val="00BF5DF5"/>
    <w:rsid w:val="00BF6225"/>
    <w:rsid w:val="00C02A05"/>
    <w:rsid w:val="00C04BA6"/>
    <w:rsid w:val="00C05092"/>
    <w:rsid w:val="00C11025"/>
    <w:rsid w:val="00C13C90"/>
    <w:rsid w:val="00C26EDD"/>
    <w:rsid w:val="00C277AC"/>
    <w:rsid w:val="00C31E0F"/>
    <w:rsid w:val="00C406CA"/>
    <w:rsid w:val="00C4384F"/>
    <w:rsid w:val="00C447AC"/>
    <w:rsid w:val="00C46A96"/>
    <w:rsid w:val="00C470A0"/>
    <w:rsid w:val="00C4723D"/>
    <w:rsid w:val="00C51827"/>
    <w:rsid w:val="00C532EC"/>
    <w:rsid w:val="00C53B55"/>
    <w:rsid w:val="00C56D85"/>
    <w:rsid w:val="00C56F46"/>
    <w:rsid w:val="00C60FDD"/>
    <w:rsid w:val="00C61E04"/>
    <w:rsid w:val="00C628A4"/>
    <w:rsid w:val="00C668A9"/>
    <w:rsid w:val="00C6790F"/>
    <w:rsid w:val="00C71AB5"/>
    <w:rsid w:val="00C7430A"/>
    <w:rsid w:val="00C85F45"/>
    <w:rsid w:val="00C93FF0"/>
    <w:rsid w:val="00C9486F"/>
    <w:rsid w:val="00C97E3B"/>
    <w:rsid w:val="00CA40C1"/>
    <w:rsid w:val="00CB0C2D"/>
    <w:rsid w:val="00CB397D"/>
    <w:rsid w:val="00CB5923"/>
    <w:rsid w:val="00CB6329"/>
    <w:rsid w:val="00CB7D01"/>
    <w:rsid w:val="00CB7F4F"/>
    <w:rsid w:val="00CC2C70"/>
    <w:rsid w:val="00CC61F1"/>
    <w:rsid w:val="00CC65A6"/>
    <w:rsid w:val="00CC6FDD"/>
    <w:rsid w:val="00CD4411"/>
    <w:rsid w:val="00CF1788"/>
    <w:rsid w:val="00CF1986"/>
    <w:rsid w:val="00CF1C18"/>
    <w:rsid w:val="00D0571B"/>
    <w:rsid w:val="00D12BFC"/>
    <w:rsid w:val="00D16051"/>
    <w:rsid w:val="00D169BE"/>
    <w:rsid w:val="00D25DF4"/>
    <w:rsid w:val="00D27521"/>
    <w:rsid w:val="00D31BAE"/>
    <w:rsid w:val="00D36725"/>
    <w:rsid w:val="00D375E5"/>
    <w:rsid w:val="00D378E1"/>
    <w:rsid w:val="00D4237B"/>
    <w:rsid w:val="00D454A4"/>
    <w:rsid w:val="00D516EB"/>
    <w:rsid w:val="00D51C91"/>
    <w:rsid w:val="00D535BD"/>
    <w:rsid w:val="00D55AEE"/>
    <w:rsid w:val="00D55D83"/>
    <w:rsid w:val="00D61202"/>
    <w:rsid w:val="00D62550"/>
    <w:rsid w:val="00D62F5D"/>
    <w:rsid w:val="00D63F32"/>
    <w:rsid w:val="00D64319"/>
    <w:rsid w:val="00D6510A"/>
    <w:rsid w:val="00D72A9D"/>
    <w:rsid w:val="00D74364"/>
    <w:rsid w:val="00D76543"/>
    <w:rsid w:val="00D7717F"/>
    <w:rsid w:val="00D83B20"/>
    <w:rsid w:val="00D86C70"/>
    <w:rsid w:val="00D901BA"/>
    <w:rsid w:val="00D90499"/>
    <w:rsid w:val="00D96F2C"/>
    <w:rsid w:val="00D97374"/>
    <w:rsid w:val="00DA4856"/>
    <w:rsid w:val="00DA52FC"/>
    <w:rsid w:val="00DA5B81"/>
    <w:rsid w:val="00DA729E"/>
    <w:rsid w:val="00DB187E"/>
    <w:rsid w:val="00DB54AB"/>
    <w:rsid w:val="00DB6D85"/>
    <w:rsid w:val="00DC29A4"/>
    <w:rsid w:val="00DC3DE9"/>
    <w:rsid w:val="00DC5BD6"/>
    <w:rsid w:val="00DC64BC"/>
    <w:rsid w:val="00DD7B6D"/>
    <w:rsid w:val="00DE05FA"/>
    <w:rsid w:val="00DE406F"/>
    <w:rsid w:val="00DE6ED5"/>
    <w:rsid w:val="00DF164A"/>
    <w:rsid w:val="00DF220F"/>
    <w:rsid w:val="00DF40B3"/>
    <w:rsid w:val="00E05D29"/>
    <w:rsid w:val="00E0607C"/>
    <w:rsid w:val="00E07B7D"/>
    <w:rsid w:val="00E07DDB"/>
    <w:rsid w:val="00E11C54"/>
    <w:rsid w:val="00E11F0A"/>
    <w:rsid w:val="00E17ABE"/>
    <w:rsid w:val="00E21263"/>
    <w:rsid w:val="00E221C6"/>
    <w:rsid w:val="00E35438"/>
    <w:rsid w:val="00E41798"/>
    <w:rsid w:val="00E43AD5"/>
    <w:rsid w:val="00E4595D"/>
    <w:rsid w:val="00E541B9"/>
    <w:rsid w:val="00E573C9"/>
    <w:rsid w:val="00E60F8E"/>
    <w:rsid w:val="00E61CD0"/>
    <w:rsid w:val="00E61F4A"/>
    <w:rsid w:val="00E6320C"/>
    <w:rsid w:val="00E63B9C"/>
    <w:rsid w:val="00E63B9F"/>
    <w:rsid w:val="00E65588"/>
    <w:rsid w:val="00E776D1"/>
    <w:rsid w:val="00E80BF4"/>
    <w:rsid w:val="00E818B5"/>
    <w:rsid w:val="00E81FFE"/>
    <w:rsid w:val="00E8288C"/>
    <w:rsid w:val="00E8296D"/>
    <w:rsid w:val="00E9074A"/>
    <w:rsid w:val="00E90D59"/>
    <w:rsid w:val="00E92073"/>
    <w:rsid w:val="00E95939"/>
    <w:rsid w:val="00EA0E6F"/>
    <w:rsid w:val="00EA4944"/>
    <w:rsid w:val="00EA79CE"/>
    <w:rsid w:val="00EB41FF"/>
    <w:rsid w:val="00EB7109"/>
    <w:rsid w:val="00EB735A"/>
    <w:rsid w:val="00EC24F2"/>
    <w:rsid w:val="00EC3EAE"/>
    <w:rsid w:val="00EC7835"/>
    <w:rsid w:val="00ED5F61"/>
    <w:rsid w:val="00ED7559"/>
    <w:rsid w:val="00EE1484"/>
    <w:rsid w:val="00EF61F2"/>
    <w:rsid w:val="00F02AA8"/>
    <w:rsid w:val="00F07EB7"/>
    <w:rsid w:val="00F10C24"/>
    <w:rsid w:val="00F16CB1"/>
    <w:rsid w:val="00F17139"/>
    <w:rsid w:val="00F23D8C"/>
    <w:rsid w:val="00F24646"/>
    <w:rsid w:val="00F26FA4"/>
    <w:rsid w:val="00F27579"/>
    <w:rsid w:val="00F32709"/>
    <w:rsid w:val="00F33AD8"/>
    <w:rsid w:val="00F376A1"/>
    <w:rsid w:val="00F401E0"/>
    <w:rsid w:val="00F41A42"/>
    <w:rsid w:val="00F45C3B"/>
    <w:rsid w:val="00F474BA"/>
    <w:rsid w:val="00F47EF1"/>
    <w:rsid w:val="00F52B64"/>
    <w:rsid w:val="00F55D1A"/>
    <w:rsid w:val="00F611DB"/>
    <w:rsid w:val="00F61A39"/>
    <w:rsid w:val="00F62F5B"/>
    <w:rsid w:val="00F631DB"/>
    <w:rsid w:val="00F67DB6"/>
    <w:rsid w:val="00F71A2B"/>
    <w:rsid w:val="00F73B56"/>
    <w:rsid w:val="00F77243"/>
    <w:rsid w:val="00F80753"/>
    <w:rsid w:val="00F90DF2"/>
    <w:rsid w:val="00F97AD2"/>
    <w:rsid w:val="00FA173C"/>
    <w:rsid w:val="00FA4360"/>
    <w:rsid w:val="00FB11AD"/>
    <w:rsid w:val="00FB2692"/>
    <w:rsid w:val="00FB3EC9"/>
    <w:rsid w:val="00FB483F"/>
    <w:rsid w:val="00FC081F"/>
    <w:rsid w:val="00FC657C"/>
    <w:rsid w:val="00FC7A8E"/>
    <w:rsid w:val="00FC7E2A"/>
    <w:rsid w:val="00FD5325"/>
    <w:rsid w:val="00FD5684"/>
    <w:rsid w:val="00FE0B21"/>
    <w:rsid w:val="00FE1A61"/>
    <w:rsid w:val="00FE2FA5"/>
    <w:rsid w:val="00FE3523"/>
    <w:rsid w:val="00FE3F60"/>
    <w:rsid w:val="00FE5DA4"/>
    <w:rsid w:val="00FF09DC"/>
    <w:rsid w:val="00FF3205"/>
    <w:rsid w:val="00FF5241"/>
    <w:rsid w:val="00FF7719"/>
    <w:rsid w:val="012985F9"/>
    <w:rsid w:val="025ECF33"/>
    <w:rsid w:val="073E0F36"/>
    <w:rsid w:val="080761EF"/>
    <w:rsid w:val="09819F70"/>
    <w:rsid w:val="0AB215DE"/>
    <w:rsid w:val="0B3F02B1"/>
    <w:rsid w:val="13D022D1"/>
    <w:rsid w:val="182A632B"/>
    <w:rsid w:val="19605735"/>
    <w:rsid w:val="1AFC2796"/>
    <w:rsid w:val="22EC7632"/>
    <w:rsid w:val="23538536"/>
    <w:rsid w:val="284CBB9D"/>
    <w:rsid w:val="28815746"/>
    <w:rsid w:val="2B68E510"/>
    <w:rsid w:val="2F9E9B80"/>
    <w:rsid w:val="335F998D"/>
    <w:rsid w:val="35852CB1"/>
    <w:rsid w:val="374D2847"/>
    <w:rsid w:val="37EF6DA2"/>
    <w:rsid w:val="3B0DE607"/>
    <w:rsid w:val="40C97929"/>
    <w:rsid w:val="46AD4601"/>
    <w:rsid w:val="4CF2D298"/>
    <w:rsid w:val="508C554D"/>
    <w:rsid w:val="55A84934"/>
    <w:rsid w:val="5E609386"/>
    <w:rsid w:val="5ECC3BC2"/>
    <w:rsid w:val="5FC57F21"/>
    <w:rsid w:val="63F9A1C1"/>
    <w:rsid w:val="6510A05C"/>
    <w:rsid w:val="65A7E363"/>
    <w:rsid w:val="6A974CD9"/>
    <w:rsid w:val="6DCEA9E2"/>
    <w:rsid w:val="6E7EA4D6"/>
    <w:rsid w:val="7A1A4F8C"/>
    <w:rsid w:val="7CB67651"/>
    <w:rsid w:val="7D3BC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103"/>
  <w15:chartTrackingRefBased/>
  <w15:docId w15:val="{AC01EA78-A83A-44F9-B8F9-57C41C00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ind w:left="357" w:hanging="357"/>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semiHidden/>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E8288C"/>
    <w:rPr>
      <w:color w:val="605E5C"/>
      <w:shd w:val="clear" w:color="auto" w:fill="E1DFDD"/>
    </w:rPr>
  </w:style>
  <w:style w:type="character" w:styleId="FollowedHyperlink">
    <w:name w:val="FollowedHyperlink"/>
    <w:basedOn w:val="DefaultParagraphFont"/>
    <w:uiPriority w:val="99"/>
    <w:semiHidden/>
    <w:unhideWhenUsed/>
    <w:rsid w:val="00C447AC"/>
    <w:rPr>
      <w:color w:val="954F72" w:themeColor="followedHyperlink"/>
      <w:u w:val="single"/>
    </w:rPr>
  </w:style>
  <w:style w:type="character" w:customStyle="1" w:styleId="normaltextrun">
    <w:name w:val="normaltextrun"/>
    <w:basedOn w:val="DefaultParagraphFont"/>
    <w:rsid w:val="00A3784C"/>
  </w:style>
  <w:style w:type="character" w:customStyle="1" w:styleId="eop">
    <w:name w:val="eop"/>
    <w:basedOn w:val="DefaultParagraphFont"/>
    <w:rsid w:val="00A3784C"/>
  </w:style>
  <w:style w:type="paragraph" w:styleId="NoSpacing">
    <w:name w:val="No Spacing"/>
    <w:uiPriority w:val="1"/>
    <w:qFormat/>
    <w:rsid w:val="00E818B5"/>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6910">
      <w:bodyDiv w:val="1"/>
      <w:marLeft w:val="0"/>
      <w:marRight w:val="0"/>
      <w:marTop w:val="0"/>
      <w:marBottom w:val="0"/>
      <w:divBdr>
        <w:top w:val="none" w:sz="0" w:space="0" w:color="auto"/>
        <w:left w:val="none" w:sz="0" w:space="0" w:color="auto"/>
        <w:bottom w:val="none" w:sz="0" w:space="0" w:color="auto"/>
        <w:right w:val="none" w:sz="0" w:space="0" w:color="auto"/>
      </w:divBdr>
      <w:divsChild>
        <w:div w:id="514618159">
          <w:marLeft w:val="0"/>
          <w:marRight w:val="0"/>
          <w:marTop w:val="0"/>
          <w:marBottom w:val="0"/>
          <w:divBdr>
            <w:top w:val="none" w:sz="0" w:space="0" w:color="auto"/>
            <w:left w:val="none" w:sz="0" w:space="0" w:color="auto"/>
            <w:bottom w:val="none" w:sz="0" w:space="0" w:color="auto"/>
            <w:right w:val="none" w:sz="0" w:space="0" w:color="auto"/>
          </w:divBdr>
        </w:div>
        <w:div w:id="582955976">
          <w:marLeft w:val="0"/>
          <w:marRight w:val="0"/>
          <w:marTop w:val="0"/>
          <w:marBottom w:val="0"/>
          <w:divBdr>
            <w:top w:val="none" w:sz="0" w:space="0" w:color="auto"/>
            <w:left w:val="none" w:sz="0" w:space="0" w:color="auto"/>
            <w:bottom w:val="none" w:sz="0" w:space="0" w:color="auto"/>
            <w:right w:val="none" w:sz="0" w:space="0" w:color="auto"/>
          </w:divBdr>
        </w:div>
        <w:div w:id="1839687797">
          <w:marLeft w:val="0"/>
          <w:marRight w:val="0"/>
          <w:marTop w:val="0"/>
          <w:marBottom w:val="0"/>
          <w:divBdr>
            <w:top w:val="none" w:sz="0" w:space="0" w:color="auto"/>
            <w:left w:val="none" w:sz="0" w:space="0" w:color="auto"/>
            <w:bottom w:val="none" w:sz="0" w:space="0" w:color="auto"/>
            <w:right w:val="none" w:sz="0" w:space="0" w:color="auto"/>
          </w:divBdr>
        </w:div>
      </w:divsChild>
    </w:div>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639461345">
      <w:bodyDiv w:val="1"/>
      <w:marLeft w:val="0"/>
      <w:marRight w:val="0"/>
      <w:marTop w:val="0"/>
      <w:marBottom w:val="0"/>
      <w:divBdr>
        <w:top w:val="none" w:sz="0" w:space="0" w:color="auto"/>
        <w:left w:val="none" w:sz="0" w:space="0" w:color="auto"/>
        <w:bottom w:val="none" w:sz="0" w:space="0" w:color="auto"/>
        <w:right w:val="none" w:sz="0" w:space="0" w:color="auto"/>
      </w:divBdr>
      <w:divsChild>
        <w:div w:id="1025404124">
          <w:marLeft w:val="0"/>
          <w:marRight w:val="0"/>
          <w:marTop w:val="0"/>
          <w:marBottom w:val="0"/>
          <w:divBdr>
            <w:top w:val="none" w:sz="0" w:space="0" w:color="auto"/>
            <w:left w:val="none" w:sz="0" w:space="0" w:color="auto"/>
            <w:bottom w:val="none" w:sz="0" w:space="0" w:color="auto"/>
            <w:right w:val="none" w:sz="0" w:space="0" w:color="auto"/>
          </w:divBdr>
        </w:div>
        <w:div w:id="1408839731">
          <w:marLeft w:val="0"/>
          <w:marRight w:val="0"/>
          <w:marTop w:val="0"/>
          <w:marBottom w:val="0"/>
          <w:divBdr>
            <w:top w:val="none" w:sz="0" w:space="0" w:color="auto"/>
            <w:left w:val="none" w:sz="0" w:space="0" w:color="auto"/>
            <w:bottom w:val="none" w:sz="0" w:space="0" w:color="auto"/>
            <w:right w:val="none" w:sz="0" w:space="0" w:color="auto"/>
          </w:divBdr>
        </w:div>
      </w:divsChild>
    </w:div>
    <w:div w:id="659575661">
      <w:bodyDiv w:val="1"/>
      <w:marLeft w:val="0"/>
      <w:marRight w:val="0"/>
      <w:marTop w:val="0"/>
      <w:marBottom w:val="0"/>
      <w:divBdr>
        <w:top w:val="none" w:sz="0" w:space="0" w:color="auto"/>
        <w:left w:val="none" w:sz="0" w:space="0" w:color="auto"/>
        <w:bottom w:val="none" w:sz="0" w:space="0" w:color="auto"/>
        <w:right w:val="none" w:sz="0" w:space="0" w:color="auto"/>
      </w:divBdr>
      <w:divsChild>
        <w:div w:id="160394462">
          <w:marLeft w:val="0"/>
          <w:marRight w:val="0"/>
          <w:marTop w:val="0"/>
          <w:marBottom w:val="0"/>
          <w:divBdr>
            <w:top w:val="none" w:sz="0" w:space="0" w:color="auto"/>
            <w:left w:val="none" w:sz="0" w:space="0" w:color="auto"/>
            <w:bottom w:val="none" w:sz="0" w:space="0" w:color="auto"/>
            <w:right w:val="none" w:sz="0" w:space="0" w:color="auto"/>
          </w:divBdr>
        </w:div>
        <w:div w:id="529611327">
          <w:marLeft w:val="0"/>
          <w:marRight w:val="0"/>
          <w:marTop w:val="0"/>
          <w:marBottom w:val="0"/>
          <w:divBdr>
            <w:top w:val="none" w:sz="0" w:space="0" w:color="auto"/>
            <w:left w:val="none" w:sz="0" w:space="0" w:color="auto"/>
            <w:bottom w:val="none" w:sz="0" w:space="0" w:color="auto"/>
            <w:right w:val="none" w:sz="0" w:space="0" w:color="auto"/>
          </w:divBdr>
        </w:div>
      </w:divsChild>
    </w:div>
    <w:div w:id="965619055">
      <w:bodyDiv w:val="1"/>
      <w:marLeft w:val="0"/>
      <w:marRight w:val="0"/>
      <w:marTop w:val="0"/>
      <w:marBottom w:val="0"/>
      <w:divBdr>
        <w:top w:val="none" w:sz="0" w:space="0" w:color="auto"/>
        <w:left w:val="none" w:sz="0" w:space="0" w:color="auto"/>
        <w:bottom w:val="none" w:sz="0" w:space="0" w:color="auto"/>
        <w:right w:val="none" w:sz="0" w:space="0" w:color="auto"/>
      </w:divBdr>
      <w:divsChild>
        <w:div w:id="32073684">
          <w:marLeft w:val="0"/>
          <w:marRight w:val="0"/>
          <w:marTop w:val="0"/>
          <w:marBottom w:val="0"/>
          <w:divBdr>
            <w:top w:val="none" w:sz="0" w:space="0" w:color="auto"/>
            <w:left w:val="none" w:sz="0" w:space="0" w:color="auto"/>
            <w:bottom w:val="none" w:sz="0" w:space="0" w:color="auto"/>
            <w:right w:val="none" w:sz="0" w:space="0" w:color="auto"/>
          </w:divBdr>
        </w:div>
        <w:div w:id="591813853">
          <w:marLeft w:val="0"/>
          <w:marRight w:val="0"/>
          <w:marTop w:val="0"/>
          <w:marBottom w:val="0"/>
          <w:divBdr>
            <w:top w:val="none" w:sz="0" w:space="0" w:color="auto"/>
            <w:left w:val="none" w:sz="0" w:space="0" w:color="auto"/>
            <w:bottom w:val="none" w:sz="0" w:space="0" w:color="auto"/>
            <w:right w:val="none" w:sz="0" w:space="0" w:color="auto"/>
          </w:divBdr>
        </w:div>
        <w:div w:id="1533223766">
          <w:marLeft w:val="0"/>
          <w:marRight w:val="0"/>
          <w:marTop w:val="0"/>
          <w:marBottom w:val="0"/>
          <w:divBdr>
            <w:top w:val="none" w:sz="0" w:space="0" w:color="auto"/>
            <w:left w:val="none" w:sz="0" w:space="0" w:color="auto"/>
            <w:bottom w:val="none" w:sz="0" w:space="0" w:color="auto"/>
            <w:right w:val="none" w:sz="0" w:space="0" w:color="auto"/>
          </w:divBdr>
        </w:div>
      </w:divsChild>
    </w:div>
    <w:div w:id="1421482052">
      <w:bodyDiv w:val="1"/>
      <w:marLeft w:val="0"/>
      <w:marRight w:val="0"/>
      <w:marTop w:val="0"/>
      <w:marBottom w:val="0"/>
      <w:divBdr>
        <w:top w:val="none" w:sz="0" w:space="0" w:color="auto"/>
        <w:left w:val="none" w:sz="0" w:space="0" w:color="auto"/>
        <w:bottom w:val="none" w:sz="0" w:space="0" w:color="auto"/>
        <w:right w:val="none" w:sz="0" w:space="0" w:color="auto"/>
      </w:divBdr>
      <w:divsChild>
        <w:div w:id="124395744">
          <w:marLeft w:val="0"/>
          <w:marRight w:val="0"/>
          <w:marTop w:val="0"/>
          <w:marBottom w:val="0"/>
          <w:divBdr>
            <w:top w:val="none" w:sz="0" w:space="0" w:color="auto"/>
            <w:left w:val="none" w:sz="0" w:space="0" w:color="auto"/>
            <w:bottom w:val="none" w:sz="0" w:space="0" w:color="auto"/>
            <w:right w:val="none" w:sz="0" w:space="0" w:color="auto"/>
          </w:divBdr>
        </w:div>
        <w:div w:id="1036807032">
          <w:marLeft w:val="0"/>
          <w:marRight w:val="0"/>
          <w:marTop w:val="0"/>
          <w:marBottom w:val="0"/>
          <w:divBdr>
            <w:top w:val="none" w:sz="0" w:space="0" w:color="auto"/>
            <w:left w:val="none" w:sz="0" w:space="0" w:color="auto"/>
            <w:bottom w:val="none" w:sz="0" w:space="0" w:color="auto"/>
            <w:right w:val="none" w:sz="0" w:space="0" w:color="auto"/>
          </w:divBdr>
        </w:div>
        <w:div w:id="1942758828">
          <w:marLeft w:val="0"/>
          <w:marRight w:val="0"/>
          <w:marTop w:val="0"/>
          <w:marBottom w:val="0"/>
          <w:divBdr>
            <w:top w:val="none" w:sz="0" w:space="0" w:color="auto"/>
            <w:left w:val="none" w:sz="0" w:space="0" w:color="auto"/>
            <w:bottom w:val="none" w:sz="0" w:space="0" w:color="auto"/>
            <w:right w:val="none" w:sz="0" w:space="0" w:color="auto"/>
          </w:divBdr>
        </w:div>
      </w:divsChild>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564439606">
      <w:bodyDiv w:val="1"/>
      <w:marLeft w:val="0"/>
      <w:marRight w:val="0"/>
      <w:marTop w:val="0"/>
      <w:marBottom w:val="0"/>
      <w:divBdr>
        <w:top w:val="none" w:sz="0" w:space="0" w:color="auto"/>
        <w:left w:val="none" w:sz="0" w:space="0" w:color="auto"/>
        <w:bottom w:val="none" w:sz="0" w:space="0" w:color="auto"/>
        <w:right w:val="none" w:sz="0" w:space="0" w:color="auto"/>
      </w:divBdr>
    </w:div>
    <w:div w:id="1607690543">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1738238701">
      <w:bodyDiv w:val="1"/>
      <w:marLeft w:val="0"/>
      <w:marRight w:val="0"/>
      <w:marTop w:val="0"/>
      <w:marBottom w:val="0"/>
      <w:divBdr>
        <w:top w:val="none" w:sz="0" w:space="0" w:color="auto"/>
        <w:left w:val="none" w:sz="0" w:space="0" w:color="auto"/>
        <w:bottom w:val="none" w:sz="0" w:space="0" w:color="auto"/>
        <w:right w:val="none" w:sz="0" w:space="0" w:color="auto"/>
      </w:divBdr>
    </w:div>
    <w:div w:id="1986280055">
      <w:bodyDiv w:val="1"/>
      <w:marLeft w:val="0"/>
      <w:marRight w:val="0"/>
      <w:marTop w:val="0"/>
      <w:marBottom w:val="0"/>
      <w:divBdr>
        <w:top w:val="none" w:sz="0" w:space="0" w:color="auto"/>
        <w:left w:val="none" w:sz="0" w:space="0" w:color="auto"/>
        <w:bottom w:val="none" w:sz="0" w:space="0" w:color="auto"/>
        <w:right w:val="none" w:sz="0" w:space="0" w:color="auto"/>
      </w:divBdr>
    </w:div>
    <w:div w:id="1997755725">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 w:id="2099667520">
      <w:bodyDiv w:val="1"/>
      <w:marLeft w:val="0"/>
      <w:marRight w:val="0"/>
      <w:marTop w:val="0"/>
      <w:marBottom w:val="0"/>
      <w:divBdr>
        <w:top w:val="none" w:sz="0" w:space="0" w:color="auto"/>
        <w:left w:val="none" w:sz="0" w:space="0" w:color="auto"/>
        <w:bottom w:val="none" w:sz="0" w:space="0" w:color="auto"/>
        <w:right w:val="none" w:sz="0" w:space="0" w:color="auto"/>
      </w:divBdr>
      <w:divsChild>
        <w:div w:id="33888759">
          <w:marLeft w:val="0"/>
          <w:marRight w:val="0"/>
          <w:marTop w:val="0"/>
          <w:marBottom w:val="0"/>
          <w:divBdr>
            <w:top w:val="none" w:sz="0" w:space="0" w:color="auto"/>
            <w:left w:val="none" w:sz="0" w:space="0" w:color="auto"/>
            <w:bottom w:val="none" w:sz="0" w:space="0" w:color="auto"/>
            <w:right w:val="none" w:sz="0" w:space="0" w:color="auto"/>
          </w:divBdr>
        </w:div>
        <w:div w:id="720641062">
          <w:marLeft w:val="0"/>
          <w:marRight w:val="0"/>
          <w:marTop w:val="0"/>
          <w:marBottom w:val="0"/>
          <w:divBdr>
            <w:top w:val="none" w:sz="0" w:space="0" w:color="auto"/>
            <w:left w:val="none" w:sz="0" w:space="0" w:color="auto"/>
            <w:bottom w:val="none" w:sz="0" w:space="0" w:color="auto"/>
            <w:right w:val="none" w:sz="0" w:space="0" w:color="auto"/>
          </w:divBdr>
        </w:div>
        <w:div w:id="8052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bc.co.uk/news/57810729" TargetMode="External"/><Relationship Id="rId18" Type="http://schemas.openxmlformats.org/officeDocument/2006/relationships/hyperlink" Target="https://www.gov.scot/publications/place-principle-introduction/" TargetMode="Externa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s://www.rha.uk.net/News/News-Blogs-and-Press-Releases/News-Updates/detail/a-report-on-the-driver-shortage" TargetMode="External"/><Relationship Id="rId17" Type="http://schemas.openxmlformats.org/officeDocument/2006/relationships/hyperlink" Target="https://www.transformingplanning.scot/national-planning-framework/" TargetMode="External"/><Relationship Id="rId25" Type="http://schemas.openxmlformats.org/officeDocument/2006/relationships/hyperlink" Target="https://trid.trb.org/view/1759504"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3.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gvc.co.uk/government-urged-to-fulfill-its-hgv-parking-spaces-promise/" TargetMode="External"/><Relationship Id="rId5" Type="http://schemas.openxmlformats.org/officeDocument/2006/relationships/numbering" Target="numbering.xml"/><Relationship Id="rId15" Type="http://schemas.openxmlformats.org/officeDocument/2006/relationships/hyperlink" Target="https://www.transport.gov.scot/media/6728/a9-dualling-programme-case-for-investment-public-version-final-draft-22-august-2016-final.pdf" TargetMode="External"/><Relationship Id="rId23" Type="http://schemas.openxmlformats.org/officeDocument/2006/relationships/hyperlink" Target="https://www.theguardian.com/business/live/2021/aug/26/uk-shortages-supply-chains-jobs-cars-ftse-100-sterling-dow-business-live"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airworkconvention.sco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topical-events/hgv-driver-shortage-uk-government-response/about" TargetMode="External"/><Relationship Id="rId22" Type="http://schemas.openxmlformats.org/officeDocument/2006/relationships/hyperlink" Target="https://placestandard.scot/guide/full" TargetMode="External"/><Relationship Id="rId27" Type="http://schemas.openxmlformats.org/officeDocument/2006/relationships/hyperlink" Target="https://trid.trb.org/view/1759504"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8E2148-1FE6-44F1-A81B-2D91DB6BB4B9}">
  <ds:schemaRefs>
    <ds:schemaRef ds:uri="http://schemas.microsoft.com/sharepoint/v3/contenttype/forms"/>
  </ds:schemaRefs>
</ds:datastoreItem>
</file>

<file path=customXml/itemProps2.xml><?xml version="1.0" encoding="utf-8"?>
<ds:datastoreItem xmlns:ds="http://schemas.openxmlformats.org/officeDocument/2006/customXml" ds:itemID="{FC623CEF-9CA6-4F95-9EE3-31D65C91B41F}">
  <ds:schemaRefs>
    <ds:schemaRef ds:uri="http://schemas.openxmlformats.org/officeDocument/2006/bibliography"/>
  </ds:schemaRefs>
</ds:datastoreItem>
</file>

<file path=customXml/itemProps3.xml><?xml version="1.0" encoding="utf-8"?>
<ds:datastoreItem xmlns:ds="http://schemas.openxmlformats.org/officeDocument/2006/customXml" ds:itemID="{AEA521DE-3286-4E4D-85AE-8B1FFBAA1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12</Pages>
  <Words>2999</Words>
  <Characters>17070</Characters>
  <Application>Microsoft Office Word</Application>
  <DocSecurity>0</DocSecurity>
  <Lines>371</Lines>
  <Paragraphs>133</Paragraphs>
  <ScaleCrop>false</ScaleCrop>
  <Company/>
  <LinksUpToDate>false</LinksUpToDate>
  <CharactersWithSpaces>19961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Stirling, Sam</cp:lastModifiedBy>
  <cp:revision>325</cp:revision>
  <cp:lastPrinted>2022-12-05T15:47:00Z</cp:lastPrinted>
  <dcterms:created xsi:type="dcterms:W3CDTF">2022-05-16T05:33:00Z</dcterms:created>
  <dcterms:modified xsi:type="dcterms:W3CDTF">2022-12-05T15:47:00Z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MediaServiceImageTags">
    <vt:lpwstr/>
  </property>
</Properties>
</file>