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F39B" w14:textId="62CC7B63" w:rsidR="00402CD7" w:rsidRPr="002546BC" w:rsidRDefault="00402CD7" w:rsidP="008F68F4">
      <w:pPr>
        <w:pStyle w:val="STPR2Title1"/>
        <w:spacing w:after="0" w:line="240" w:lineRule="auto"/>
        <w:rPr>
          <w:rFonts w:cs="Times New Roman"/>
          <w:color w:val="363636"/>
          <w:szCs w:val="36"/>
          <w:lang w:val="en-GB"/>
        </w:rPr>
      </w:pPr>
      <w:r w:rsidRPr="002546BC">
        <w:rPr>
          <w:rFonts w:cs="Times New Roman"/>
          <w:noProof/>
          <w:color w:val="363636"/>
        </w:rPr>
        <w:drawing>
          <wp:anchor distT="0" distB="0" distL="114300" distR="114300" simplePos="0" relativeHeight="251658241" behindDoc="1" locked="1" layoutInCell="1" allowOverlap="1" wp14:anchorId="003B3766" wp14:editId="1960625C">
            <wp:simplePos x="0" y="0"/>
            <wp:positionH relativeFrom="page">
              <wp:align>left</wp:align>
            </wp:positionH>
            <wp:positionV relativeFrom="page">
              <wp:align>top</wp:align>
            </wp:positionV>
            <wp:extent cx="7552944" cy="1068933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2546BC">
        <w:rPr>
          <w:rFonts w:cs="Times New Roman"/>
          <w:noProof/>
          <w:color w:val="363636"/>
        </w:rPr>
        <w:drawing>
          <wp:anchor distT="0" distB="0" distL="114300" distR="114300" simplePos="0" relativeHeight="251658240" behindDoc="1" locked="1" layoutInCell="1" allowOverlap="1" wp14:anchorId="215D076D" wp14:editId="21AA352C">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2546BC">
        <w:rPr>
          <w:rFonts w:cs="Times New Roman"/>
          <w:color w:val="363636"/>
          <w:szCs w:val="36"/>
          <w:lang w:val="en-GB"/>
        </w:rPr>
        <w:t>Strategic Transport Projects Review (STPR2)</w:t>
      </w:r>
    </w:p>
    <w:p w14:paraId="0F1F73E1" w14:textId="77777777" w:rsidR="00402CD7" w:rsidRPr="002546BC" w:rsidRDefault="00402CD7" w:rsidP="00402CD7">
      <w:pPr>
        <w:pStyle w:val="STPR2Title1"/>
        <w:spacing w:after="11000" w:line="240" w:lineRule="auto"/>
        <w:rPr>
          <w:rFonts w:cs="Times New Roman"/>
          <w:color w:val="363636"/>
          <w:szCs w:val="36"/>
          <w:lang w:val="en-GB"/>
        </w:rPr>
      </w:pPr>
      <w:r w:rsidRPr="002546BC">
        <w:rPr>
          <w:rFonts w:cs="Times New Roman"/>
          <w:color w:val="363636"/>
          <w:szCs w:val="36"/>
          <w:lang w:val="en-GB"/>
        </w:rPr>
        <w:t>Consultancy Support Services Contract</w:t>
      </w:r>
      <w:r w:rsidRPr="002546BC">
        <w:rPr>
          <w:rFonts w:cs="Times New Roman"/>
          <w:noProof/>
          <w:color w:val="363636"/>
        </w:rPr>
        <w:drawing>
          <wp:anchor distT="0" distB="0" distL="114300" distR="114300" simplePos="0" relativeHeight="251658242" behindDoc="1" locked="1" layoutInCell="1" allowOverlap="1" wp14:anchorId="49B11641" wp14:editId="19C692FB">
            <wp:simplePos x="0" y="0"/>
            <wp:positionH relativeFrom="page">
              <wp:align>left</wp:align>
            </wp:positionH>
            <wp:positionV relativeFrom="page">
              <wp:align>top</wp:align>
            </wp:positionV>
            <wp:extent cx="7552944" cy="1068933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4AD27CD" w14:textId="4EB1FD30" w:rsidR="00402CD7" w:rsidRPr="00E645D5" w:rsidRDefault="00402CD7" w:rsidP="00402CD7">
      <w:pPr>
        <w:pStyle w:val="STPR2Title2"/>
        <w:rPr>
          <w:lang w:val="en-GB"/>
        </w:rPr>
      </w:pPr>
      <w:r>
        <w:rPr>
          <w:lang w:val="en-GB"/>
        </w:rPr>
        <w:t>Strategic Environmental Assessment (SEA)</w:t>
      </w:r>
      <w:r w:rsidR="00C30D3B">
        <w:rPr>
          <w:lang w:val="en-GB"/>
        </w:rPr>
        <w:t xml:space="preserve"> Final</w:t>
      </w:r>
      <w:r>
        <w:rPr>
          <w:lang w:val="en-GB"/>
        </w:rPr>
        <w:t xml:space="preserve"> Environmental Report</w:t>
      </w:r>
    </w:p>
    <w:p w14:paraId="41DCABA1" w14:textId="69034C61" w:rsidR="00402CD7" w:rsidRDefault="002D581D" w:rsidP="00402CD7">
      <w:pPr>
        <w:pStyle w:val="STPR2Title3"/>
        <w:spacing w:after="100" w:afterAutospacing="1"/>
        <w:rPr>
          <w:lang w:val="en-GB"/>
        </w:rPr>
      </w:pPr>
      <w:r>
        <w:rPr>
          <w:lang w:val="en-GB"/>
        </w:rPr>
        <w:t>Decem</w:t>
      </w:r>
      <w:r w:rsidR="00866280">
        <w:rPr>
          <w:lang w:val="en-GB"/>
        </w:rPr>
        <w:t>ber</w:t>
      </w:r>
      <w:r w:rsidR="00EE593E" w:rsidRPr="00E645D5">
        <w:rPr>
          <w:lang w:val="en-GB"/>
        </w:rPr>
        <w:t xml:space="preserve"> </w:t>
      </w:r>
      <w:r w:rsidR="00402CD7" w:rsidRPr="00E645D5">
        <w:rPr>
          <w:lang w:val="en-GB"/>
        </w:rPr>
        <w:t>20</w:t>
      </w:r>
      <w:r w:rsidR="00402CD7">
        <w:rPr>
          <w:lang w:val="en-GB"/>
        </w:rPr>
        <w:t>2</w:t>
      </w:r>
      <w:r w:rsidR="00B8313D">
        <w:rPr>
          <w:lang w:val="en-GB"/>
        </w:rPr>
        <w:t>2</w:t>
      </w:r>
    </w:p>
    <w:p w14:paraId="1D940664" w14:textId="77777777" w:rsidR="00402CD7" w:rsidRDefault="00402CD7" w:rsidP="00402CD7">
      <w:pPr>
        <w:pStyle w:val="STPR2Title3"/>
        <w:spacing w:after="100" w:afterAutospacing="1"/>
        <w:rPr>
          <w:lang w:val="en-GB"/>
        </w:rPr>
      </w:pPr>
    </w:p>
    <w:p w14:paraId="1732BA81" w14:textId="48AFB154" w:rsidR="00D85E61" w:rsidRPr="00E645D5" w:rsidRDefault="00D85E61" w:rsidP="006F53DF">
      <w:pPr>
        <w:pStyle w:val="STPR2Title3"/>
        <w:rPr>
          <w:lang w:val="en-GB"/>
        </w:rPr>
        <w:sectPr w:rsidR="00D85E61" w:rsidRPr="00E645D5" w:rsidSect="00D64848">
          <w:headerReference w:type="default" r:id="rId12"/>
          <w:footerReference w:type="even" r:id="rId13"/>
          <w:footerReference w:type="default" r:id="rId14"/>
          <w:headerReference w:type="first" r:id="rId15"/>
          <w:type w:val="continuous"/>
          <w:pgSz w:w="11906" w:h="16838" w:code="9"/>
          <w:pgMar w:top="1134" w:right="1134" w:bottom="1134" w:left="1134" w:header="454" w:footer="567" w:gutter="0"/>
          <w:cols w:space="720"/>
          <w:noEndnote/>
          <w:docGrid w:linePitch="299"/>
        </w:sectPr>
      </w:pPr>
    </w:p>
    <w:bookmarkStart w:id="0" w:name="_Hlk85013139" w:displacedByCustomXml="next"/>
    <w:sdt>
      <w:sdtPr>
        <w:rPr>
          <w:rFonts w:asciiTheme="minorHAnsi" w:hAnsiTheme="minorHAnsi" w:cstheme="minorBidi"/>
          <w:bCs w:val="0"/>
          <w:color w:val="auto"/>
          <w:sz w:val="22"/>
          <w:szCs w:val="22"/>
          <w:lang w:val="en-GB" w:eastAsia="en-GB"/>
        </w:rPr>
        <w:id w:val="-503209858"/>
        <w:docPartObj>
          <w:docPartGallery w:val="Table of Contents"/>
          <w:docPartUnique/>
        </w:docPartObj>
      </w:sdtPr>
      <w:sdtEndPr>
        <w:rPr>
          <w:b/>
          <w:noProof/>
        </w:rPr>
      </w:sdtEndPr>
      <w:sdtContent>
        <w:p w14:paraId="759AE7D6" w14:textId="15D03EAC" w:rsidR="00CF520A" w:rsidRPr="00FB75EE" w:rsidRDefault="00CF520A" w:rsidP="00CF520A">
          <w:pPr>
            <w:pStyle w:val="TOCHeading"/>
            <w:numPr>
              <w:ilvl w:val="0"/>
              <w:numId w:val="0"/>
            </w:numPr>
            <w:ind w:left="567" w:hanging="567"/>
            <w:rPr>
              <w:b/>
              <w:color w:val="B06900"/>
              <w:lang w:val="en-GB" w:eastAsia="en-GB"/>
            </w:rPr>
          </w:pPr>
          <w:r w:rsidRPr="00FB75EE">
            <w:rPr>
              <w:b/>
              <w:color w:val="B06900"/>
              <w:lang w:val="en-GB" w:eastAsia="en-GB"/>
            </w:rPr>
            <w:t>Contents</w:t>
          </w:r>
        </w:p>
        <w:p w14:paraId="3A409FBD" w14:textId="5958EAAC" w:rsidR="0061256A" w:rsidRDefault="00CF520A">
          <w:pPr>
            <w:pStyle w:val="TOC1"/>
            <w:rPr>
              <w:rFonts w:asciiTheme="minorHAnsi" w:hAnsiTheme="minorHAnsi" w:cstheme="minorBidi"/>
              <w:b w:val="0"/>
              <w:color w:val="auto"/>
              <w:sz w:val="22"/>
              <w:szCs w:val="22"/>
            </w:rPr>
          </w:pPr>
          <w:r>
            <w:rPr>
              <w:b w:val="0"/>
            </w:rPr>
            <w:fldChar w:fldCharType="begin"/>
          </w:r>
          <w:r>
            <w:instrText xml:space="preserve"> TOC \o "1-3" \h \z \u </w:instrText>
          </w:r>
          <w:r>
            <w:rPr>
              <w:b w:val="0"/>
            </w:rPr>
            <w:fldChar w:fldCharType="separate"/>
          </w:r>
          <w:hyperlink w:anchor="_Toc121339080" w:history="1">
            <w:r w:rsidR="0061256A" w:rsidRPr="00120F1A">
              <w:rPr>
                <w:rStyle w:val="Hyperlink"/>
              </w:rPr>
              <w:t>1.</w:t>
            </w:r>
            <w:r w:rsidR="0061256A">
              <w:rPr>
                <w:rFonts w:asciiTheme="minorHAnsi" w:hAnsiTheme="minorHAnsi" w:cstheme="minorBidi"/>
                <w:b w:val="0"/>
                <w:color w:val="auto"/>
                <w:sz w:val="22"/>
                <w:szCs w:val="22"/>
              </w:rPr>
              <w:tab/>
            </w:r>
            <w:r w:rsidR="0061256A" w:rsidRPr="00120F1A">
              <w:rPr>
                <w:rStyle w:val="Hyperlink"/>
              </w:rPr>
              <w:t>Introduction</w:t>
            </w:r>
            <w:r w:rsidR="0061256A">
              <w:rPr>
                <w:webHidden/>
              </w:rPr>
              <w:tab/>
            </w:r>
            <w:r w:rsidR="0061256A">
              <w:rPr>
                <w:webHidden/>
              </w:rPr>
              <w:fldChar w:fldCharType="begin"/>
            </w:r>
            <w:r w:rsidR="0061256A">
              <w:rPr>
                <w:webHidden/>
              </w:rPr>
              <w:instrText xml:space="preserve"> PAGEREF _Toc121339080 \h </w:instrText>
            </w:r>
            <w:r w:rsidR="0061256A">
              <w:rPr>
                <w:webHidden/>
              </w:rPr>
            </w:r>
            <w:r w:rsidR="0061256A">
              <w:rPr>
                <w:webHidden/>
              </w:rPr>
              <w:fldChar w:fldCharType="separate"/>
            </w:r>
            <w:r w:rsidR="00C22A9E">
              <w:rPr>
                <w:webHidden/>
              </w:rPr>
              <w:t>1</w:t>
            </w:r>
            <w:r w:rsidR="0061256A">
              <w:rPr>
                <w:webHidden/>
              </w:rPr>
              <w:fldChar w:fldCharType="end"/>
            </w:r>
          </w:hyperlink>
        </w:p>
        <w:p w14:paraId="5C3CE7EE" w14:textId="3619E928" w:rsidR="0061256A" w:rsidRDefault="00CD44C3">
          <w:pPr>
            <w:pStyle w:val="TOC2"/>
            <w:rPr>
              <w:rFonts w:asciiTheme="minorHAnsi" w:hAnsiTheme="minorHAnsi" w:cstheme="minorBidi"/>
              <w:color w:val="auto"/>
              <w:sz w:val="22"/>
              <w:szCs w:val="22"/>
            </w:rPr>
          </w:pPr>
          <w:hyperlink w:anchor="_Toc121339081" w:history="1">
            <w:r w:rsidR="0061256A" w:rsidRPr="00120F1A">
              <w:rPr>
                <w:rStyle w:val="Hyperlink"/>
              </w:rPr>
              <w:t>1.1.</w:t>
            </w:r>
            <w:r w:rsidR="0061256A">
              <w:rPr>
                <w:rFonts w:asciiTheme="minorHAnsi" w:hAnsiTheme="minorHAnsi" w:cstheme="minorBidi"/>
                <w:color w:val="auto"/>
                <w:sz w:val="22"/>
                <w:szCs w:val="22"/>
              </w:rPr>
              <w:tab/>
            </w:r>
            <w:r w:rsidR="0061256A" w:rsidRPr="00120F1A">
              <w:rPr>
                <w:rStyle w:val="Hyperlink"/>
              </w:rPr>
              <w:t>Background</w:t>
            </w:r>
            <w:r w:rsidR="0061256A">
              <w:rPr>
                <w:webHidden/>
              </w:rPr>
              <w:tab/>
            </w:r>
            <w:r w:rsidR="0061256A">
              <w:rPr>
                <w:webHidden/>
              </w:rPr>
              <w:fldChar w:fldCharType="begin"/>
            </w:r>
            <w:r w:rsidR="0061256A">
              <w:rPr>
                <w:webHidden/>
              </w:rPr>
              <w:instrText xml:space="preserve"> PAGEREF _Toc121339081 \h </w:instrText>
            </w:r>
            <w:r w:rsidR="0061256A">
              <w:rPr>
                <w:webHidden/>
              </w:rPr>
            </w:r>
            <w:r w:rsidR="0061256A">
              <w:rPr>
                <w:webHidden/>
              </w:rPr>
              <w:fldChar w:fldCharType="separate"/>
            </w:r>
            <w:r w:rsidR="00C22A9E">
              <w:rPr>
                <w:webHidden/>
              </w:rPr>
              <w:t>1</w:t>
            </w:r>
            <w:r w:rsidR="0061256A">
              <w:rPr>
                <w:webHidden/>
              </w:rPr>
              <w:fldChar w:fldCharType="end"/>
            </w:r>
          </w:hyperlink>
        </w:p>
        <w:p w14:paraId="279A803C" w14:textId="3085A9FE" w:rsidR="0061256A" w:rsidRDefault="00CD44C3">
          <w:pPr>
            <w:pStyle w:val="TOC2"/>
            <w:rPr>
              <w:rFonts w:asciiTheme="minorHAnsi" w:hAnsiTheme="minorHAnsi" w:cstheme="minorBidi"/>
              <w:color w:val="auto"/>
              <w:sz w:val="22"/>
              <w:szCs w:val="22"/>
            </w:rPr>
          </w:pPr>
          <w:hyperlink w:anchor="_Toc121339082" w:history="1">
            <w:r w:rsidR="0061256A" w:rsidRPr="00120F1A">
              <w:rPr>
                <w:rStyle w:val="Hyperlink"/>
              </w:rPr>
              <w:t>1.2.</w:t>
            </w:r>
            <w:r w:rsidR="0061256A">
              <w:rPr>
                <w:rFonts w:asciiTheme="minorHAnsi" w:hAnsiTheme="minorHAnsi" w:cstheme="minorBidi"/>
                <w:color w:val="auto"/>
                <w:sz w:val="22"/>
                <w:szCs w:val="22"/>
              </w:rPr>
              <w:tab/>
            </w:r>
            <w:r w:rsidR="0061256A" w:rsidRPr="00120F1A">
              <w:rPr>
                <w:rStyle w:val="Hyperlink"/>
              </w:rPr>
              <w:t>SEA Requirements</w:t>
            </w:r>
            <w:r w:rsidR="0061256A">
              <w:rPr>
                <w:webHidden/>
              </w:rPr>
              <w:tab/>
            </w:r>
            <w:r w:rsidR="0061256A">
              <w:rPr>
                <w:webHidden/>
              </w:rPr>
              <w:fldChar w:fldCharType="begin"/>
            </w:r>
            <w:r w:rsidR="0061256A">
              <w:rPr>
                <w:webHidden/>
              </w:rPr>
              <w:instrText xml:space="preserve"> PAGEREF _Toc121339082 \h </w:instrText>
            </w:r>
            <w:r w:rsidR="0061256A">
              <w:rPr>
                <w:webHidden/>
              </w:rPr>
            </w:r>
            <w:r w:rsidR="0061256A">
              <w:rPr>
                <w:webHidden/>
              </w:rPr>
              <w:fldChar w:fldCharType="separate"/>
            </w:r>
            <w:r w:rsidR="00C22A9E">
              <w:rPr>
                <w:webHidden/>
              </w:rPr>
              <w:t>1</w:t>
            </w:r>
            <w:r w:rsidR="0061256A">
              <w:rPr>
                <w:webHidden/>
              </w:rPr>
              <w:fldChar w:fldCharType="end"/>
            </w:r>
          </w:hyperlink>
        </w:p>
        <w:p w14:paraId="6D36516A" w14:textId="6930DB23" w:rsidR="0061256A" w:rsidRDefault="00CD44C3">
          <w:pPr>
            <w:pStyle w:val="TOC2"/>
            <w:rPr>
              <w:rFonts w:asciiTheme="minorHAnsi" w:hAnsiTheme="minorHAnsi" w:cstheme="minorBidi"/>
              <w:color w:val="auto"/>
              <w:sz w:val="22"/>
              <w:szCs w:val="22"/>
            </w:rPr>
          </w:pPr>
          <w:hyperlink w:anchor="_Toc121339083" w:history="1">
            <w:r w:rsidR="0061256A" w:rsidRPr="00120F1A">
              <w:rPr>
                <w:rStyle w:val="Hyperlink"/>
              </w:rPr>
              <w:t>1.3.</w:t>
            </w:r>
            <w:r w:rsidR="0061256A">
              <w:rPr>
                <w:rFonts w:asciiTheme="minorHAnsi" w:hAnsiTheme="minorHAnsi" w:cstheme="minorBidi"/>
                <w:color w:val="auto"/>
                <w:sz w:val="22"/>
                <w:szCs w:val="22"/>
              </w:rPr>
              <w:tab/>
            </w:r>
            <w:r w:rsidR="0061256A" w:rsidRPr="00120F1A">
              <w:rPr>
                <w:rStyle w:val="Hyperlink"/>
              </w:rPr>
              <w:t>Integrated Assessments</w:t>
            </w:r>
            <w:r w:rsidR="0061256A">
              <w:rPr>
                <w:webHidden/>
              </w:rPr>
              <w:tab/>
            </w:r>
            <w:r w:rsidR="0061256A">
              <w:rPr>
                <w:webHidden/>
              </w:rPr>
              <w:fldChar w:fldCharType="begin"/>
            </w:r>
            <w:r w:rsidR="0061256A">
              <w:rPr>
                <w:webHidden/>
              </w:rPr>
              <w:instrText xml:space="preserve"> PAGEREF _Toc121339083 \h </w:instrText>
            </w:r>
            <w:r w:rsidR="0061256A">
              <w:rPr>
                <w:webHidden/>
              </w:rPr>
            </w:r>
            <w:r w:rsidR="0061256A">
              <w:rPr>
                <w:webHidden/>
              </w:rPr>
              <w:fldChar w:fldCharType="separate"/>
            </w:r>
            <w:r w:rsidR="00C22A9E">
              <w:rPr>
                <w:webHidden/>
              </w:rPr>
              <w:t>3</w:t>
            </w:r>
            <w:r w:rsidR="0061256A">
              <w:rPr>
                <w:webHidden/>
              </w:rPr>
              <w:fldChar w:fldCharType="end"/>
            </w:r>
          </w:hyperlink>
        </w:p>
        <w:p w14:paraId="57DE449F" w14:textId="2FDC726A" w:rsidR="0061256A" w:rsidRDefault="00CD44C3">
          <w:pPr>
            <w:pStyle w:val="TOC3"/>
            <w:tabs>
              <w:tab w:val="left" w:pos="1540"/>
            </w:tabs>
            <w:rPr>
              <w:rFonts w:asciiTheme="minorHAnsi" w:hAnsiTheme="minorHAnsi" w:cstheme="minorBidi"/>
              <w:i w:val="0"/>
              <w:color w:val="auto"/>
              <w:sz w:val="22"/>
              <w:szCs w:val="22"/>
            </w:rPr>
          </w:pPr>
          <w:hyperlink w:anchor="_Toc121339084" w:history="1">
            <w:r w:rsidR="0061256A" w:rsidRPr="00120F1A">
              <w:rPr>
                <w:rStyle w:val="Hyperlink"/>
              </w:rPr>
              <w:t>1.3.1.</w:t>
            </w:r>
            <w:r w:rsidR="0061256A">
              <w:rPr>
                <w:rFonts w:asciiTheme="minorHAnsi" w:hAnsiTheme="minorHAnsi" w:cstheme="minorBidi"/>
                <w:i w:val="0"/>
                <w:color w:val="auto"/>
                <w:sz w:val="22"/>
                <w:szCs w:val="22"/>
              </w:rPr>
              <w:tab/>
            </w:r>
            <w:r w:rsidR="0061256A" w:rsidRPr="00120F1A">
              <w:rPr>
                <w:rStyle w:val="Hyperlink"/>
              </w:rPr>
              <w:t>Equality Impact Assessment</w:t>
            </w:r>
            <w:r w:rsidR="0061256A">
              <w:rPr>
                <w:webHidden/>
              </w:rPr>
              <w:tab/>
            </w:r>
            <w:r w:rsidR="0061256A">
              <w:rPr>
                <w:webHidden/>
              </w:rPr>
              <w:fldChar w:fldCharType="begin"/>
            </w:r>
            <w:r w:rsidR="0061256A">
              <w:rPr>
                <w:webHidden/>
              </w:rPr>
              <w:instrText xml:space="preserve"> PAGEREF _Toc121339084 \h </w:instrText>
            </w:r>
            <w:r w:rsidR="0061256A">
              <w:rPr>
                <w:webHidden/>
              </w:rPr>
            </w:r>
            <w:r w:rsidR="0061256A">
              <w:rPr>
                <w:webHidden/>
              </w:rPr>
              <w:fldChar w:fldCharType="separate"/>
            </w:r>
            <w:r w:rsidR="00C22A9E">
              <w:rPr>
                <w:webHidden/>
              </w:rPr>
              <w:t>3</w:t>
            </w:r>
            <w:r w:rsidR="0061256A">
              <w:rPr>
                <w:webHidden/>
              </w:rPr>
              <w:fldChar w:fldCharType="end"/>
            </w:r>
          </w:hyperlink>
        </w:p>
        <w:p w14:paraId="04FB5E02" w14:textId="15E3AD5C" w:rsidR="0061256A" w:rsidRDefault="00CD44C3">
          <w:pPr>
            <w:pStyle w:val="TOC3"/>
            <w:tabs>
              <w:tab w:val="left" w:pos="1540"/>
            </w:tabs>
            <w:rPr>
              <w:rFonts w:asciiTheme="minorHAnsi" w:hAnsiTheme="minorHAnsi" w:cstheme="minorBidi"/>
              <w:i w:val="0"/>
              <w:color w:val="auto"/>
              <w:sz w:val="22"/>
              <w:szCs w:val="22"/>
            </w:rPr>
          </w:pPr>
          <w:hyperlink w:anchor="_Toc121339085" w:history="1">
            <w:r w:rsidR="0061256A" w:rsidRPr="00120F1A">
              <w:rPr>
                <w:rStyle w:val="Hyperlink"/>
              </w:rPr>
              <w:t>1.3.2.</w:t>
            </w:r>
            <w:r w:rsidR="0061256A">
              <w:rPr>
                <w:rFonts w:asciiTheme="minorHAnsi" w:hAnsiTheme="minorHAnsi" w:cstheme="minorBidi"/>
                <w:i w:val="0"/>
                <w:color w:val="auto"/>
                <w:sz w:val="22"/>
                <w:szCs w:val="22"/>
              </w:rPr>
              <w:tab/>
            </w:r>
            <w:r w:rsidR="0061256A" w:rsidRPr="00120F1A">
              <w:rPr>
                <w:rStyle w:val="Hyperlink"/>
              </w:rPr>
              <w:t>Habitats Regulations Appraisal</w:t>
            </w:r>
            <w:r w:rsidR="0061256A">
              <w:rPr>
                <w:webHidden/>
              </w:rPr>
              <w:tab/>
            </w:r>
            <w:r w:rsidR="0061256A">
              <w:rPr>
                <w:webHidden/>
              </w:rPr>
              <w:fldChar w:fldCharType="begin"/>
            </w:r>
            <w:r w:rsidR="0061256A">
              <w:rPr>
                <w:webHidden/>
              </w:rPr>
              <w:instrText xml:space="preserve"> PAGEREF _Toc121339085 \h </w:instrText>
            </w:r>
            <w:r w:rsidR="0061256A">
              <w:rPr>
                <w:webHidden/>
              </w:rPr>
            </w:r>
            <w:r w:rsidR="0061256A">
              <w:rPr>
                <w:webHidden/>
              </w:rPr>
              <w:fldChar w:fldCharType="separate"/>
            </w:r>
            <w:r w:rsidR="00C22A9E">
              <w:rPr>
                <w:webHidden/>
              </w:rPr>
              <w:t>4</w:t>
            </w:r>
            <w:r w:rsidR="0061256A">
              <w:rPr>
                <w:webHidden/>
              </w:rPr>
              <w:fldChar w:fldCharType="end"/>
            </w:r>
          </w:hyperlink>
        </w:p>
        <w:p w14:paraId="3A5228D3" w14:textId="3B7E6C8E" w:rsidR="0061256A" w:rsidRDefault="00CD44C3">
          <w:pPr>
            <w:pStyle w:val="TOC2"/>
            <w:rPr>
              <w:rFonts w:asciiTheme="minorHAnsi" w:hAnsiTheme="minorHAnsi" w:cstheme="minorBidi"/>
              <w:color w:val="auto"/>
              <w:sz w:val="22"/>
              <w:szCs w:val="22"/>
            </w:rPr>
          </w:pPr>
          <w:hyperlink w:anchor="_Toc121339086" w:history="1">
            <w:r w:rsidR="0061256A" w:rsidRPr="00120F1A">
              <w:rPr>
                <w:rStyle w:val="Hyperlink"/>
              </w:rPr>
              <w:t>1.4.</w:t>
            </w:r>
            <w:r w:rsidR="0061256A">
              <w:rPr>
                <w:rFonts w:asciiTheme="minorHAnsi" w:hAnsiTheme="minorHAnsi" w:cstheme="minorBidi"/>
                <w:color w:val="auto"/>
                <w:sz w:val="22"/>
                <w:szCs w:val="22"/>
              </w:rPr>
              <w:tab/>
            </w:r>
            <w:r w:rsidR="0061256A" w:rsidRPr="00120F1A">
              <w:rPr>
                <w:rStyle w:val="Hyperlink"/>
              </w:rPr>
              <w:t>Purpose and Structure of Environmental Report</w:t>
            </w:r>
            <w:r w:rsidR="0061256A">
              <w:rPr>
                <w:webHidden/>
              </w:rPr>
              <w:tab/>
            </w:r>
            <w:r w:rsidR="0061256A">
              <w:rPr>
                <w:webHidden/>
              </w:rPr>
              <w:fldChar w:fldCharType="begin"/>
            </w:r>
            <w:r w:rsidR="0061256A">
              <w:rPr>
                <w:webHidden/>
              </w:rPr>
              <w:instrText xml:space="preserve"> PAGEREF _Toc121339086 \h </w:instrText>
            </w:r>
            <w:r w:rsidR="0061256A">
              <w:rPr>
                <w:webHidden/>
              </w:rPr>
            </w:r>
            <w:r w:rsidR="0061256A">
              <w:rPr>
                <w:webHidden/>
              </w:rPr>
              <w:fldChar w:fldCharType="separate"/>
            </w:r>
            <w:r w:rsidR="00C22A9E">
              <w:rPr>
                <w:webHidden/>
              </w:rPr>
              <w:t>4</w:t>
            </w:r>
            <w:r w:rsidR="0061256A">
              <w:rPr>
                <w:webHidden/>
              </w:rPr>
              <w:fldChar w:fldCharType="end"/>
            </w:r>
          </w:hyperlink>
        </w:p>
        <w:p w14:paraId="7CF50608" w14:textId="26F4F572" w:rsidR="0061256A" w:rsidRDefault="00CD44C3">
          <w:pPr>
            <w:pStyle w:val="TOC1"/>
            <w:rPr>
              <w:rFonts w:asciiTheme="minorHAnsi" w:hAnsiTheme="minorHAnsi" w:cstheme="minorBidi"/>
              <w:b w:val="0"/>
              <w:color w:val="auto"/>
              <w:sz w:val="22"/>
              <w:szCs w:val="22"/>
            </w:rPr>
          </w:pPr>
          <w:hyperlink w:anchor="_Toc121339087" w:history="1">
            <w:r w:rsidR="0061256A" w:rsidRPr="00120F1A">
              <w:rPr>
                <w:rStyle w:val="Hyperlink"/>
              </w:rPr>
              <w:t>2.</w:t>
            </w:r>
            <w:r w:rsidR="0061256A">
              <w:rPr>
                <w:rFonts w:asciiTheme="minorHAnsi" w:hAnsiTheme="minorHAnsi" w:cstheme="minorBidi"/>
                <w:b w:val="0"/>
                <w:color w:val="auto"/>
                <w:sz w:val="22"/>
                <w:szCs w:val="22"/>
              </w:rPr>
              <w:tab/>
            </w:r>
            <w:r w:rsidR="0061256A" w:rsidRPr="00120F1A">
              <w:rPr>
                <w:rStyle w:val="Hyperlink"/>
              </w:rPr>
              <w:t>STPR2 Overview</w:t>
            </w:r>
            <w:r w:rsidR="0061256A">
              <w:rPr>
                <w:webHidden/>
              </w:rPr>
              <w:tab/>
            </w:r>
            <w:r w:rsidR="0061256A">
              <w:rPr>
                <w:webHidden/>
              </w:rPr>
              <w:fldChar w:fldCharType="begin"/>
            </w:r>
            <w:r w:rsidR="0061256A">
              <w:rPr>
                <w:webHidden/>
              </w:rPr>
              <w:instrText xml:space="preserve"> PAGEREF _Toc121339087 \h </w:instrText>
            </w:r>
            <w:r w:rsidR="0061256A">
              <w:rPr>
                <w:webHidden/>
              </w:rPr>
            </w:r>
            <w:r w:rsidR="0061256A">
              <w:rPr>
                <w:webHidden/>
              </w:rPr>
              <w:fldChar w:fldCharType="separate"/>
            </w:r>
            <w:r w:rsidR="00C22A9E">
              <w:rPr>
                <w:webHidden/>
              </w:rPr>
              <w:t>6</w:t>
            </w:r>
            <w:r w:rsidR="0061256A">
              <w:rPr>
                <w:webHidden/>
              </w:rPr>
              <w:fldChar w:fldCharType="end"/>
            </w:r>
          </w:hyperlink>
        </w:p>
        <w:p w14:paraId="5EF569E0" w14:textId="1C8F6E5D" w:rsidR="0061256A" w:rsidRDefault="00CD44C3">
          <w:pPr>
            <w:pStyle w:val="TOC2"/>
            <w:rPr>
              <w:rFonts w:asciiTheme="minorHAnsi" w:hAnsiTheme="minorHAnsi" w:cstheme="minorBidi"/>
              <w:color w:val="auto"/>
              <w:sz w:val="22"/>
              <w:szCs w:val="22"/>
            </w:rPr>
          </w:pPr>
          <w:hyperlink w:anchor="_Toc121339088" w:history="1">
            <w:r w:rsidR="0061256A" w:rsidRPr="00120F1A">
              <w:rPr>
                <w:rStyle w:val="Hyperlink"/>
              </w:rPr>
              <w:t>2.1.</w:t>
            </w:r>
            <w:r w:rsidR="0061256A">
              <w:rPr>
                <w:rFonts w:asciiTheme="minorHAnsi" w:hAnsiTheme="minorHAnsi" w:cstheme="minorBidi"/>
                <w:color w:val="auto"/>
                <w:sz w:val="22"/>
                <w:szCs w:val="22"/>
              </w:rPr>
              <w:tab/>
            </w:r>
            <w:r w:rsidR="0061256A" w:rsidRPr="00120F1A">
              <w:rPr>
                <w:rStyle w:val="Hyperlink"/>
              </w:rPr>
              <w:t>Purpose of STPR2</w:t>
            </w:r>
            <w:r w:rsidR="0061256A">
              <w:rPr>
                <w:webHidden/>
              </w:rPr>
              <w:tab/>
            </w:r>
            <w:r w:rsidR="0061256A">
              <w:rPr>
                <w:webHidden/>
              </w:rPr>
              <w:fldChar w:fldCharType="begin"/>
            </w:r>
            <w:r w:rsidR="0061256A">
              <w:rPr>
                <w:webHidden/>
              </w:rPr>
              <w:instrText xml:space="preserve"> PAGEREF _Toc121339088 \h </w:instrText>
            </w:r>
            <w:r w:rsidR="0061256A">
              <w:rPr>
                <w:webHidden/>
              </w:rPr>
            </w:r>
            <w:r w:rsidR="0061256A">
              <w:rPr>
                <w:webHidden/>
              </w:rPr>
              <w:fldChar w:fldCharType="separate"/>
            </w:r>
            <w:r w:rsidR="00C22A9E">
              <w:rPr>
                <w:webHidden/>
              </w:rPr>
              <w:t>6</w:t>
            </w:r>
            <w:r w:rsidR="0061256A">
              <w:rPr>
                <w:webHidden/>
              </w:rPr>
              <w:fldChar w:fldCharType="end"/>
            </w:r>
          </w:hyperlink>
        </w:p>
        <w:p w14:paraId="07EB91B7" w14:textId="4B4DAB10" w:rsidR="0061256A" w:rsidRDefault="00CD44C3">
          <w:pPr>
            <w:pStyle w:val="TOC2"/>
            <w:rPr>
              <w:rFonts w:asciiTheme="minorHAnsi" w:hAnsiTheme="minorHAnsi" w:cstheme="minorBidi"/>
              <w:color w:val="auto"/>
              <w:sz w:val="22"/>
              <w:szCs w:val="22"/>
            </w:rPr>
          </w:pPr>
          <w:hyperlink w:anchor="_Toc121339089" w:history="1">
            <w:r w:rsidR="0061256A" w:rsidRPr="00120F1A">
              <w:rPr>
                <w:rStyle w:val="Hyperlink"/>
              </w:rPr>
              <w:t>2.2.</w:t>
            </w:r>
            <w:r w:rsidR="0061256A">
              <w:rPr>
                <w:rFonts w:asciiTheme="minorHAnsi" w:hAnsiTheme="minorHAnsi" w:cstheme="minorBidi"/>
                <w:color w:val="auto"/>
                <w:sz w:val="22"/>
                <w:szCs w:val="22"/>
              </w:rPr>
              <w:tab/>
            </w:r>
            <w:r w:rsidR="0061256A" w:rsidRPr="00120F1A">
              <w:rPr>
                <w:rStyle w:val="Hyperlink"/>
              </w:rPr>
              <w:t>Content and Scope of STPR2</w:t>
            </w:r>
            <w:r w:rsidR="0061256A">
              <w:rPr>
                <w:webHidden/>
              </w:rPr>
              <w:tab/>
            </w:r>
            <w:r w:rsidR="0061256A">
              <w:rPr>
                <w:webHidden/>
              </w:rPr>
              <w:fldChar w:fldCharType="begin"/>
            </w:r>
            <w:r w:rsidR="0061256A">
              <w:rPr>
                <w:webHidden/>
              </w:rPr>
              <w:instrText xml:space="preserve"> PAGEREF _Toc121339089 \h </w:instrText>
            </w:r>
            <w:r w:rsidR="0061256A">
              <w:rPr>
                <w:webHidden/>
              </w:rPr>
            </w:r>
            <w:r w:rsidR="0061256A">
              <w:rPr>
                <w:webHidden/>
              </w:rPr>
              <w:fldChar w:fldCharType="separate"/>
            </w:r>
            <w:r w:rsidR="00C22A9E">
              <w:rPr>
                <w:webHidden/>
              </w:rPr>
              <w:t>6</w:t>
            </w:r>
            <w:r w:rsidR="0061256A">
              <w:rPr>
                <w:webHidden/>
              </w:rPr>
              <w:fldChar w:fldCharType="end"/>
            </w:r>
          </w:hyperlink>
        </w:p>
        <w:p w14:paraId="7341DD10" w14:textId="3F88FB3D" w:rsidR="0061256A" w:rsidRDefault="00CD44C3">
          <w:pPr>
            <w:pStyle w:val="TOC2"/>
            <w:rPr>
              <w:rFonts w:asciiTheme="minorHAnsi" w:hAnsiTheme="minorHAnsi" w:cstheme="minorBidi"/>
              <w:color w:val="auto"/>
              <w:sz w:val="22"/>
              <w:szCs w:val="22"/>
            </w:rPr>
          </w:pPr>
          <w:hyperlink w:anchor="_Toc121339090" w:history="1">
            <w:r w:rsidR="0061256A" w:rsidRPr="00120F1A">
              <w:rPr>
                <w:rStyle w:val="Hyperlink"/>
              </w:rPr>
              <w:t>2.3.</w:t>
            </w:r>
            <w:r w:rsidR="0061256A">
              <w:rPr>
                <w:rFonts w:asciiTheme="minorHAnsi" w:hAnsiTheme="minorHAnsi" w:cstheme="minorBidi"/>
                <w:color w:val="auto"/>
                <w:sz w:val="22"/>
                <w:szCs w:val="22"/>
              </w:rPr>
              <w:tab/>
            </w:r>
            <w:r w:rsidR="0061256A" w:rsidRPr="00120F1A">
              <w:rPr>
                <w:rStyle w:val="Hyperlink"/>
              </w:rPr>
              <w:t>STPR2 Development Approach</w:t>
            </w:r>
            <w:r w:rsidR="0061256A">
              <w:rPr>
                <w:webHidden/>
              </w:rPr>
              <w:tab/>
            </w:r>
            <w:r w:rsidR="0061256A">
              <w:rPr>
                <w:webHidden/>
              </w:rPr>
              <w:fldChar w:fldCharType="begin"/>
            </w:r>
            <w:r w:rsidR="0061256A">
              <w:rPr>
                <w:webHidden/>
              </w:rPr>
              <w:instrText xml:space="preserve"> PAGEREF _Toc121339090 \h </w:instrText>
            </w:r>
            <w:r w:rsidR="0061256A">
              <w:rPr>
                <w:webHidden/>
              </w:rPr>
            </w:r>
            <w:r w:rsidR="0061256A">
              <w:rPr>
                <w:webHidden/>
              </w:rPr>
              <w:fldChar w:fldCharType="separate"/>
            </w:r>
            <w:r w:rsidR="00C22A9E">
              <w:rPr>
                <w:webHidden/>
              </w:rPr>
              <w:t>8</w:t>
            </w:r>
            <w:r w:rsidR="0061256A">
              <w:rPr>
                <w:webHidden/>
              </w:rPr>
              <w:fldChar w:fldCharType="end"/>
            </w:r>
          </w:hyperlink>
        </w:p>
        <w:p w14:paraId="40CAA8DF" w14:textId="7B3BD177" w:rsidR="0061256A" w:rsidRDefault="00CD44C3">
          <w:pPr>
            <w:pStyle w:val="TOC2"/>
            <w:rPr>
              <w:rFonts w:asciiTheme="minorHAnsi" w:hAnsiTheme="minorHAnsi" w:cstheme="minorBidi"/>
              <w:color w:val="auto"/>
              <w:sz w:val="22"/>
              <w:szCs w:val="22"/>
            </w:rPr>
          </w:pPr>
          <w:hyperlink w:anchor="_Toc121339091" w:history="1">
            <w:r w:rsidR="0061256A" w:rsidRPr="00120F1A">
              <w:rPr>
                <w:rStyle w:val="Hyperlink"/>
              </w:rPr>
              <w:t>2.4.</w:t>
            </w:r>
            <w:r w:rsidR="0061256A">
              <w:rPr>
                <w:rFonts w:asciiTheme="minorHAnsi" w:hAnsiTheme="minorHAnsi" w:cstheme="minorBidi"/>
                <w:color w:val="auto"/>
                <w:sz w:val="22"/>
                <w:szCs w:val="22"/>
              </w:rPr>
              <w:tab/>
            </w:r>
            <w:r w:rsidR="0061256A" w:rsidRPr="00120F1A">
              <w:rPr>
                <w:rStyle w:val="Hyperlink"/>
              </w:rPr>
              <w:t>Initial Appraisal: Case for Change</w:t>
            </w:r>
            <w:r w:rsidR="0061256A">
              <w:rPr>
                <w:webHidden/>
              </w:rPr>
              <w:tab/>
            </w:r>
            <w:r w:rsidR="0061256A">
              <w:rPr>
                <w:webHidden/>
              </w:rPr>
              <w:fldChar w:fldCharType="begin"/>
            </w:r>
            <w:r w:rsidR="0061256A">
              <w:rPr>
                <w:webHidden/>
              </w:rPr>
              <w:instrText xml:space="preserve"> PAGEREF _Toc121339091 \h </w:instrText>
            </w:r>
            <w:r w:rsidR="0061256A">
              <w:rPr>
                <w:webHidden/>
              </w:rPr>
            </w:r>
            <w:r w:rsidR="0061256A">
              <w:rPr>
                <w:webHidden/>
              </w:rPr>
              <w:fldChar w:fldCharType="separate"/>
            </w:r>
            <w:r w:rsidR="00C22A9E">
              <w:rPr>
                <w:webHidden/>
              </w:rPr>
              <w:t>8</w:t>
            </w:r>
            <w:r w:rsidR="0061256A">
              <w:rPr>
                <w:webHidden/>
              </w:rPr>
              <w:fldChar w:fldCharType="end"/>
            </w:r>
          </w:hyperlink>
        </w:p>
        <w:p w14:paraId="39BD48CE" w14:textId="646F1FD8" w:rsidR="0061256A" w:rsidRDefault="00CD44C3">
          <w:pPr>
            <w:pStyle w:val="TOC2"/>
            <w:rPr>
              <w:rFonts w:asciiTheme="minorHAnsi" w:hAnsiTheme="minorHAnsi" w:cstheme="minorBidi"/>
              <w:color w:val="auto"/>
              <w:sz w:val="22"/>
              <w:szCs w:val="22"/>
            </w:rPr>
          </w:pPr>
          <w:hyperlink w:anchor="_Toc121339092" w:history="1">
            <w:r w:rsidR="0061256A" w:rsidRPr="00120F1A">
              <w:rPr>
                <w:rStyle w:val="Hyperlink"/>
              </w:rPr>
              <w:t>2.5.</w:t>
            </w:r>
            <w:r w:rsidR="0061256A">
              <w:rPr>
                <w:rFonts w:asciiTheme="minorHAnsi" w:hAnsiTheme="minorHAnsi" w:cstheme="minorBidi"/>
                <w:color w:val="auto"/>
                <w:sz w:val="22"/>
                <w:szCs w:val="22"/>
              </w:rPr>
              <w:tab/>
            </w:r>
            <w:r w:rsidR="0061256A" w:rsidRPr="00120F1A">
              <w:rPr>
                <w:rStyle w:val="Hyperlink"/>
              </w:rPr>
              <w:t>STPR2 Transport Planning Objectives</w:t>
            </w:r>
            <w:r w:rsidR="0061256A">
              <w:rPr>
                <w:webHidden/>
              </w:rPr>
              <w:tab/>
            </w:r>
            <w:r w:rsidR="0061256A">
              <w:rPr>
                <w:webHidden/>
              </w:rPr>
              <w:fldChar w:fldCharType="begin"/>
            </w:r>
            <w:r w:rsidR="0061256A">
              <w:rPr>
                <w:webHidden/>
              </w:rPr>
              <w:instrText xml:space="preserve"> PAGEREF _Toc121339092 \h </w:instrText>
            </w:r>
            <w:r w:rsidR="0061256A">
              <w:rPr>
                <w:webHidden/>
              </w:rPr>
            </w:r>
            <w:r w:rsidR="0061256A">
              <w:rPr>
                <w:webHidden/>
              </w:rPr>
              <w:fldChar w:fldCharType="separate"/>
            </w:r>
            <w:r w:rsidR="00C22A9E">
              <w:rPr>
                <w:webHidden/>
              </w:rPr>
              <w:t>9</w:t>
            </w:r>
            <w:r w:rsidR="0061256A">
              <w:rPr>
                <w:webHidden/>
              </w:rPr>
              <w:fldChar w:fldCharType="end"/>
            </w:r>
          </w:hyperlink>
        </w:p>
        <w:p w14:paraId="2D9EDFDA" w14:textId="39009FF7" w:rsidR="0061256A" w:rsidRDefault="00CD44C3">
          <w:pPr>
            <w:pStyle w:val="TOC2"/>
            <w:rPr>
              <w:rFonts w:asciiTheme="minorHAnsi" w:hAnsiTheme="minorHAnsi" w:cstheme="minorBidi"/>
              <w:color w:val="auto"/>
              <w:sz w:val="22"/>
              <w:szCs w:val="22"/>
            </w:rPr>
          </w:pPr>
          <w:hyperlink w:anchor="_Toc121339093" w:history="1">
            <w:r w:rsidR="0061256A" w:rsidRPr="00120F1A">
              <w:rPr>
                <w:rStyle w:val="Hyperlink"/>
              </w:rPr>
              <w:t>2.6.</w:t>
            </w:r>
            <w:r w:rsidR="0061256A">
              <w:rPr>
                <w:rFonts w:asciiTheme="minorHAnsi" w:hAnsiTheme="minorHAnsi" w:cstheme="minorBidi"/>
                <w:color w:val="auto"/>
                <w:sz w:val="22"/>
                <w:szCs w:val="22"/>
              </w:rPr>
              <w:tab/>
            </w:r>
            <w:r w:rsidR="0061256A" w:rsidRPr="00120F1A">
              <w:rPr>
                <w:rStyle w:val="Hyperlink"/>
              </w:rPr>
              <w:t>Preliminary Appraisal</w:t>
            </w:r>
            <w:r w:rsidR="0061256A">
              <w:rPr>
                <w:webHidden/>
              </w:rPr>
              <w:tab/>
            </w:r>
            <w:r w:rsidR="0061256A">
              <w:rPr>
                <w:webHidden/>
              </w:rPr>
              <w:fldChar w:fldCharType="begin"/>
            </w:r>
            <w:r w:rsidR="0061256A">
              <w:rPr>
                <w:webHidden/>
              </w:rPr>
              <w:instrText xml:space="preserve"> PAGEREF _Toc121339093 \h </w:instrText>
            </w:r>
            <w:r w:rsidR="0061256A">
              <w:rPr>
                <w:webHidden/>
              </w:rPr>
            </w:r>
            <w:r w:rsidR="0061256A">
              <w:rPr>
                <w:webHidden/>
              </w:rPr>
              <w:fldChar w:fldCharType="separate"/>
            </w:r>
            <w:r w:rsidR="00C22A9E">
              <w:rPr>
                <w:webHidden/>
              </w:rPr>
              <w:t>11</w:t>
            </w:r>
            <w:r w:rsidR="0061256A">
              <w:rPr>
                <w:webHidden/>
              </w:rPr>
              <w:fldChar w:fldCharType="end"/>
            </w:r>
          </w:hyperlink>
        </w:p>
        <w:p w14:paraId="42FE7FF1" w14:textId="385010D8" w:rsidR="0061256A" w:rsidRDefault="00CD44C3">
          <w:pPr>
            <w:pStyle w:val="TOC2"/>
            <w:rPr>
              <w:rFonts w:asciiTheme="minorHAnsi" w:hAnsiTheme="minorHAnsi" w:cstheme="minorBidi"/>
              <w:color w:val="auto"/>
              <w:sz w:val="22"/>
              <w:szCs w:val="22"/>
            </w:rPr>
          </w:pPr>
          <w:hyperlink w:anchor="_Toc121339094" w:history="1">
            <w:r w:rsidR="0061256A" w:rsidRPr="00120F1A">
              <w:rPr>
                <w:rStyle w:val="Hyperlink"/>
              </w:rPr>
              <w:t>2.7.</w:t>
            </w:r>
            <w:r w:rsidR="0061256A">
              <w:rPr>
                <w:rFonts w:asciiTheme="minorHAnsi" w:hAnsiTheme="minorHAnsi" w:cstheme="minorBidi"/>
                <w:color w:val="auto"/>
                <w:sz w:val="22"/>
                <w:szCs w:val="22"/>
              </w:rPr>
              <w:tab/>
            </w:r>
            <w:r w:rsidR="0061256A" w:rsidRPr="00120F1A">
              <w:rPr>
                <w:rStyle w:val="Hyperlink"/>
              </w:rPr>
              <w:t>Detailed Appraisal</w:t>
            </w:r>
            <w:r w:rsidR="0061256A">
              <w:rPr>
                <w:webHidden/>
              </w:rPr>
              <w:tab/>
            </w:r>
            <w:r w:rsidR="0061256A">
              <w:rPr>
                <w:webHidden/>
              </w:rPr>
              <w:fldChar w:fldCharType="begin"/>
            </w:r>
            <w:r w:rsidR="0061256A">
              <w:rPr>
                <w:webHidden/>
              </w:rPr>
              <w:instrText xml:space="preserve"> PAGEREF _Toc121339094 \h </w:instrText>
            </w:r>
            <w:r w:rsidR="0061256A">
              <w:rPr>
                <w:webHidden/>
              </w:rPr>
            </w:r>
            <w:r w:rsidR="0061256A">
              <w:rPr>
                <w:webHidden/>
              </w:rPr>
              <w:fldChar w:fldCharType="separate"/>
            </w:r>
            <w:r w:rsidR="00C22A9E">
              <w:rPr>
                <w:webHidden/>
              </w:rPr>
              <w:t>12</w:t>
            </w:r>
            <w:r w:rsidR="0061256A">
              <w:rPr>
                <w:webHidden/>
              </w:rPr>
              <w:fldChar w:fldCharType="end"/>
            </w:r>
          </w:hyperlink>
        </w:p>
        <w:p w14:paraId="387F20E9" w14:textId="739C6F34" w:rsidR="0061256A" w:rsidRDefault="00CD44C3">
          <w:pPr>
            <w:pStyle w:val="TOC2"/>
            <w:rPr>
              <w:rFonts w:asciiTheme="minorHAnsi" w:hAnsiTheme="minorHAnsi" w:cstheme="minorBidi"/>
              <w:color w:val="auto"/>
              <w:sz w:val="22"/>
              <w:szCs w:val="22"/>
            </w:rPr>
          </w:pPr>
          <w:hyperlink w:anchor="_Toc121339095" w:history="1">
            <w:r w:rsidR="0061256A" w:rsidRPr="00120F1A">
              <w:rPr>
                <w:rStyle w:val="Hyperlink"/>
              </w:rPr>
              <w:t>2.8.</w:t>
            </w:r>
            <w:r w:rsidR="0061256A">
              <w:rPr>
                <w:rFonts w:asciiTheme="minorHAnsi" w:hAnsiTheme="minorHAnsi" w:cstheme="minorBidi"/>
                <w:color w:val="auto"/>
                <w:sz w:val="22"/>
                <w:szCs w:val="22"/>
              </w:rPr>
              <w:tab/>
            </w:r>
            <w:r w:rsidR="0061256A" w:rsidRPr="00120F1A">
              <w:rPr>
                <w:rStyle w:val="Hyperlink"/>
              </w:rPr>
              <w:t>STPR2 Recommendations</w:t>
            </w:r>
            <w:r w:rsidR="0061256A">
              <w:rPr>
                <w:webHidden/>
              </w:rPr>
              <w:tab/>
            </w:r>
            <w:r w:rsidR="0061256A">
              <w:rPr>
                <w:webHidden/>
              </w:rPr>
              <w:fldChar w:fldCharType="begin"/>
            </w:r>
            <w:r w:rsidR="0061256A">
              <w:rPr>
                <w:webHidden/>
              </w:rPr>
              <w:instrText xml:space="preserve"> PAGEREF _Toc121339095 \h </w:instrText>
            </w:r>
            <w:r w:rsidR="0061256A">
              <w:rPr>
                <w:webHidden/>
              </w:rPr>
            </w:r>
            <w:r w:rsidR="0061256A">
              <w:rPr>
                <w:webHidden/>
              </w:rPr>
              <w:fldChar w:fldCharType="separate"/>
            </w:r>
            <w:r w:rsidR="00C22A9E">
              <w:rPr>
                <w:webHidden/>
              </w:rPr>
              <w:t>12</w:t>
            </w:r>
            <w:r w:rsidR="0061256A">
              <w:rPr>
                <w:webHidden/>
              </w:rPr>
              <w:fldChar w:fldCharType="end"/>
            </w:r>
          </w:hyperlink>
        </w:p>
        <w:p w14:paraId="001E54C1" w14:textId="1CA8CEEB" w:rsidR="0061256A" w:rsidRDefault="00CD44C3">
          <w:pPr>
            <w:pStyle w:val="TOC1"/>
            <w:rPr>
              <w:rFonts w:asciiTheme="minorHAnsi" w:hAnsiTheme="minorHAnsi" w:cstheme="minorBidi"/>
              <w:b w:val="0"/>
              <w:color w:val="auto"/>
              <w:sz w:val="22"/>
              <w:szCs w:val="22"/>
            </w:rPr>
          </w:pPr>
          <w:hyperlink w:anchor="_Toc121339096" w:history="1">
            <w:r w:rsidR="0061256A" w:rsidRPr="00120F1A">
              <w:rPr>
                <w:rStyle w:val="Hyperlink"/>
              </w:rPr>
              <w:t>3.</w:t>
            </w:r>
            <w:r w:rsidR="0061256A">
              <w:rPr>
                <w:rFonts w:asciiTheme="minorHAnsi" w:hAnsiTheme="minorHAnsi" w:cstheme="minorBidi"/>
                <w:b w:val="0"/>
                <w:color w:val="auto"/>
                <w:sz w:val="22"/>
                <w:szCs w:val="22"/>
              </w:rPr>
              <w:tab/>
            </w:r>
            <w:r w:rsidR="0061256A" w:rsidRPr="00120F1A">
              <w:rPr>
                <w:rStyle w:val="Hyperlink"/>
              </w:rPr>
              <w:t>Policy Context</w:t>
            </w:r>
            <w:r w:rsidR="0061256A">
              <w:rPr>
                <w:webHidden/>
              </w:rPr>
              <w:tab/>
            </w:r>
            <w:r w:rsidR="0061256A">
              <w:rPr>
                <w:webHidden/>
              </w:rPr>
              <w:fldChar w:fldCharType="begin"/>
            </w:r>
            <w:r w:rsidR="0061256A">
              <w:rPr>
                <w:webHidden/>
              </w:rPr>
              <w:instrText xml:space="preserve"> PAGEREF _Toc121339096 \h </w:instrText>
            </w:r>
            <w:r w:rsidR="0061256A">
              <w:rPr>
                <w:webHidden/>
              </w:rPr>
            </w:r>
            <w:r w:rsidR="0061256A">
              <w:rPr>
                <w:webHidden/>
              </w:rPr>
              <w:fldChar w:fldCharType="separate"/>
            </w:r>
            <w:r w:rsidR="00C22A9E">
              <w:rPr>
                <w:webHidden/>
              </w:rPr>
              <w:t>15</w:t>
            </w:r>
            <w:r w:rsidR="0061256A">
              <w:rPr>
                <w:webHidden/>
              </w:rPr>
              <w:fldChar w:fldCharType="end"/>
            </w:r>
          </w:hyperlink>
        </w:p>
        <w:p w14:paraId="26A615E1" w14:textId="6A41BE64" w:rsidR="0061256A" w:rsidRDefault="00CD44C3">
          <w:pPr>
            <w:pStyle w:val="TOC2"/>
            <w:rPr>
              <w:rFonts w:asciiTheme="minorHAnsi" w:hAnsiTheme="minorHAnsi" w:cstheme="minorBidi"/>
              <w:color w:val="auto"/>
              <w:sz w:val="22"/>
              <w:szCs w:val="22"/>
            </w:rPr>
          </w:pPr>
          <w:hyperlink w:anchor="_Toc121339097" w:history="1">
            <w:r w:rsidR="0061256A" w:rsidRPr="00120F1A">
              <w:rPr>
                <w:rStyle w:val="Hyperlink"/>
              </w:rPr>
              <w:t>3.1.</w:t>
            </w:r>
            <w:r w:rsidR="0061256A">
              <w:rPr>
                <w:rFonts w:asciiTheme="minorHAnsi" w:hAnsiTheme="minorHAnsi" w:cstheme="minorBidi"/>
                <w:color w:val="auto"/>
                <w:sz w:val="22"/>
                <w:szCs w:val="22"/>
              </w:rPr>
              <w:tab/>
            </w:r>
            <w:r w:rsidR="0061256A" w:rsidRPr="00120F1A">
              <w:rPr>
                <w:rStyle w:val="Hyperlink"/>
              </w:rPr>
              <w:t>Overview</w:t>
            </w:r>
            <w:r w:rsidR="0061256A">
              <w:rPr>
                <w:webHidden/>
              </w:rPr>
              <w:tab/>
            </w:r>
            <w:r w:rsidR="0061256A">
              <w:rPr>
                <w:webHidden/>
              </w:rPr>
              <w:fldChar w:fldCharType="begin"/>
            </w:r>
            <w:r w:rsidR="0061256A">
              <w:rPr>
                <w:webHidden/>
              </w:rPr>
              <w:instrText xml:space="preserve"> PAGEREF _Toc121339097 \h </w:instrText>
            </w:r>
            <w:r w:rsidR="0061256A">
              <w:rPr>
                <w:webHidden/>
              </w:rPr>
            </w:r>
            <w:r w:rsidR="0061256A">
              <w:rPr>
                <w:webHidden/>
              </w:rPr>
              <w:fldChar w:fldCharType="separate"/>
            </w:r>
            <w:r w:rsidR="00C22A9E">
              <w:rPr>
                <w:webHidden/>
              </w:rPr>
              <w:t>15</w:t>
            </w:r>
            <w:r w:rsidR="0061256A">
              <w:rPr>
                <w:webHidden/>
              </w:rPr>
              <w:fldChar w:fldCharType="end"/>
            </w:r>
          </w:hyperlink>
        </w:p>
        <w:p w14:paraId="4CA22132" w14:textId="51F46B78" w:rsidR="0061256A" w:rsidRDefault="00CD44C3">
          <w:pPr>
            <w:pStyle w:val="TOC2"/>
            <w:rPr>
              <w:rFonts w:asciiTheme="minorHAnsi" w:hAnsiTheme="minorHAnsi" w:cstheme="minorBidi"/>
              <w:color w:val="auto"/>
              <w:sz w:val="22"/>
              <w:szCs w:val="22"/>
            </w:rPr>
          </w:pPr>
          <w:hyperlink w:anchor="_Toc121339098" w:history="1">
            <w:r w:rsidR="0061256A" w:rsidRPr="00120F1A">
              <w:rPr>
                <w:rStyle w:val="Hyperlink"/>
              </w:rPr>
              <w:t>3.2.</w:t>
            </w:r>
            <w:r w:rsidR="0061256A">
              <w:rPr>
                <w:rFonts w:asciiTheme="minorHAnsi" w:hAnsiTheme="minorHAnsi" w:cstheme="minorBidi"/>
                <w:color w:val="auto"/>
                <w:sz w:val="22"/>
                <w:szCs w:val="22"/>
              </w:rPr>
              <w:tab/>
            </w:r>
            <w:r w:rsidR="0061256A" w:rsidRPr="00120F1A">
              <w:rPr>
                <w:rStyle w:val="Hyperlink"/>
              </w:rPr>
              <w:t>NTS2 and Delivery Plans</w:t>
            </w:r>
            <w:r w:rsidR="0061256A">
              <w:rPr>
                <w:webHidden/>
              </w:rPr>
              <w:tab/>
            </w:r>
            <w:r w:rsidR="0061256A">
              <w:rPr>
                <w:webHidden/>
              </w:rPr>
              <w:fldChar w:fldCharType="begin"/>
            </w:r>
            <w:r w:rsidR="0061256A">
              <w:rPr>
                <w:webHidden/>
              </w:rPr>
              <w:instrText xml:space="preserve"> PAGEREF _Toc121339098 \h </w:instrText>
            </w:r>
            <w:r w:rsidR="0061256A">
              <w:rPr>
                <w:webHidden/>
              </w:rPr>
            </w:r>
            <w:r w:rsidR="0061256A">
              <w:rPr>
                <w:webHidden/>
              </w:rPr>
              <w:fldChar w:fldCharType="separate"/>
            </w:r>
            <w:r w:rsidR="00C22A9E">
              <w:rPr>
                <w:webHidden/>
              </w:rPr>
              <w:t>15</w:t>
            </w:r>
            <w:r w:rsidR="0061256A">
              <w:rPr>
                <w:webHidden/>
              </w:rPr>
              <w:fldChar w:fldCharType="end"/>
            </w:r>
          </w:hyperlink>
        </w:p>
        <w:p w14:paraId="02E055D5" w14:textId="2B2EC87B" w:rsidR="0061256A" w:rsidRDefault="00CD44C3">
          <w:pPr>
            <w:pStyle w:val="TOC3"/>
            <w:tabs>
              <w:tab w:val="left" w:pos="1540"/>
            </w:tabs>
            <w:rPr>
              <w:rFonts w:asciiTheme="minorHAnsi" w:hAnsiTheme="minorHAnsi" w:cstheme="minorBidi"/>
              <w:i w:val="0"/>
              <w:color w:val="auto"/>
              <w:sz w:val="22"/>
              <w:szCs w:val="22"/>
            </w:rPr>
          </w:pPr>
          <w:hyperlink w:anchor="_Toc121339099" w:history="1">
            <w:r w:rsidR="0061256A" w:rsidRPr="00120F1A">
              <w:rPr>
                <w:rStyle w:val="Hyperlink"/>
              </w:rPr>
              <w:t>3.2.1.</w:t>
            </w:r>
            <w:r w:rsidR="0061256A">
              <w:rPr>
                <w:rFonts w:asciiTheme="minorHAnsi" w:hAnsiTheme="minorHAnsi" w:cstheme="minorBidi"/>
                <w:i w:val="0"/>
                <w:color w:val="auto"/>
                <w:sz w:val="22"/>
                <w:szCs w:val="22"/>
              </w:rPr>
              <w:tab/>
            </w:r>
            <w:r w:rsidR="0061256A" w:rsidRPr="00120F1A">
              <w:rPr>
                <w:rStyle w:val="Hyperlink"/>
              </w:rPr>
              <w:t>NTS2 Overview</w:t>
            </w:r>
            <w:r w:rsidR="0061256A">
              <w:rPr>
                <w:webHidden/>
              </w:rPr>
              <w:tab/>
            </w:r>
            <w:r w:rsidR="0061256A">
              <w:rPr>
                <w:webHidden/>
              </w:rPr>
              <w:fldChar w:fldCharType="begin"/>
            </w:r>
            <w:r w:rsidR="0061256A">
              <w:rPr>
                <w:webHidden/>
              </w:rPr>
              <w:instrText xml:space="preserve"> PAGEREF _Toc121339099 \h </w:instrText>
            </w:r>
            <w:r w:rsidR="0061256A">
              <w:rPr>
                <w:webHidden/>
              </w:rPr>
            </w:r>
            <w:r w:rsidR="0061256A">
              <w:rPr>
                <w:webHidden/>
              </w:rPr>
              <w:fldChar w:fldCharType="separate"/>
            </w:r>
            <w:r w:rsidR="00C22A9E">
              <w:rPr>
                <w:webHidden/>
              </w:rPr>
              <w:t>15</w:t>
            </w:r>
            <w:r w:rsidR="0061256A">
              <w:rPr>
                <w:webHidden/>
              </w:rPr>
              <w:fldChar w:fldCharType="end"/>
            </w:r>
          </w:hyperlink>
        </w:p>
        <w:p w14:paraId="7349779C" w14:textId="3E61121A" w:rsidR="0061256A" w:rsidRDefault="00CD44C3">
          <w:pPr>
            <w:pStyle w:val="TOC3"/>
            <w:tabs>
              <w:tab w:val="left" w:pos="1540"/>
            </w:tabs>
            <w:rPr>
              <w:rFonts w:asciiTheme="minorHAnsi" w:hAnsiTheme="minorHAnsi" w:cstheme="minorBidi"/>
              <w:i w:val="0"/>
              <w:color w:val="auto"/>
              <w:sz w:val="22"/>
              <w:szCs w:val="22"/>
            </w:rPr>
          </w:pPr>
          <w:hyperlink w:anchor="_Toc121339100" w:history="1">
            <w:r w:rsidR="0061256A" w:rsidRPr="00120F1A">
              <w:rPr>
                <w:rStyle w:val="Hyperlink"/>
              </w:rPr>
              <w:t>3.2.2.</w:t>
            </w:r>
            <w:r w:rsidR="0061256A">
              <w:rPr>
                <w:rFonts w:asciiTheme="minorHAnsi" w:hAnsiTheme="minorHAnsi" w:cstheme="minorBidi"/>
                <w:i w:val="0"/>
                <w:color w:val="auto"/>
                <w:sz w:val="22"/>
                <w:szCs w:val="22"/>
              </w:rPr>
              <w:tab/>
            </w:r>
            <w:r w:rsidR="0061256A" w:rsidRPr="00120F1A">
              <w:rPr>
                <w:rStyle w:val="Hyperlink"/>
              </w:rPr>
              <w:t>Embedding NTS2</w:t>
            </w:r>
            <w:r w:rsidR="0061256A">
              <w:rPr>
                <w:webHidden/>
              </w:rPr>
              <w:tab/>
            </w:r>
            <w:r w:rsidR="0061256A">
              <w:rPr>
                <w:webHidden/>
              </w:rPr>
              <w:fldChar w:fldCharType="begin"/>
            </w:r>
            <w:r w:rsidR="0061256A">
              <w:rPr>
                <w:webHidden/>
              </w:rPr>
              <w:instrText xml:space="preserve"> PAGEREF _Toc121339100 \h </w:instrText>
            </w:r>
            <w:r w:rsidR="0061256A">
              <w:rPr>
                <w:webHidden/>
              </w:rPr>
            </w:r>
            <w:r w:rsidR="0061256A">
              <w:rPr>
                <w:webHidden/>
              </w:rPr>
              <w:fldChar w:fldCharType="separate"/>
            </w:r>
            <w:r w:rsidR="00C22A9E">
              <w:rPr>
                <w:webHidden/>
              </w:rPr>
              <w:t>15</w:t>
            </w:r>
            <w:r w:rsidR="0061256A">
              <w:rPr>
                <w:webHidden/>
              </w:rPr>
              <w:fldChar w:fldCharType="end"/>
            </w:r>
          </w:hyperlink>
        </w:p>
        <w:p w14:paraId="647E9475" w14:textId="7CD4E089" w:rsidR="0061256A" w:rsidRDefault="00CD44C3">
          <w:pPr>
            <w:pStyle w:val="TOC3"/>
            <w:tabs>
              <w:tab w:val="left" w:pos="1540"/>
            </w:tabs>
            <w:rPr>
              <w:rFonts w:asciiTheme="minorHAnsi" w:hAnsiTheme="minorHAnsi" w:cstheme="minorBidi"/>
              <w:i w:val="0"/>
              <w:color w:val="auto"/>
              <w:sz w:val="22"/>
              <w:szCs w:val="22"/>
            </w:rPr>
          </w:pPr>
          <w:hyperlink w:anchor="_Toc121339101" w:history="1">
            <w:r w:rsidR="0061256A" w:rsidRPr="00120F1A">
              <w:rPr>
                <w:rStyle w:val="Hyperlink"/>
              </w:rPr>
              <w:t>3.2.3.</w:t>
            </w:r>
            <w:r w:rsidR="0061256A">
              <w:rPr>
                <w:rFonts w:asciiTheme="minorHAnsi" w:hAnsiTheme="minorHAnsi" w:cstheme="minorBidi"/>
                <w:i w:val="0"/>
                <w:color w:val="auto"/>
                <w:sz w:val="22"/>
                <w:szCs w:val="22"/>
              </w:rPr>
              <w:tab/>
            </w:r>
            <w:r w:rsidR="0061256A" w:rsidRPr="00120F1A">
              <w:rPr>
                <w:rStyle w:val="Hyperlink"/>
              </w:rPr>
              <w:t>NTS2 Delivery Plans</w:t>
            </w:r>
            <w:r w:rsidR="0061256A">
              <w:rPr>
                <w:webHidden/>
              </w:rPr>
              <w:tab/>
            </w:r>
            <w:r w:rsidR="0061256A">
              <w:rPr>
                <w:webHidden/>
              </w:rPr>
              <w:fldChar w:fldCharType="begin"/>
            </w:r>
            <w:r w:rsidR="0061256A">
              <w:rPr>
                <w:webHidden/>
              </w:rPr>
              <w:instrText xml:space="preserve"> PAGEREF _Toc121339101 \h </w:instrText>
            </w:r>
            <w:r w:rsidR="0061256A">
              <w:rPr>
                <w:webHidden/>
              </w:rPr>
            </w:r>
            <w:r w:rsidR="0061256A">
              <w:rPr>
                <w:webHidden/>
              </w:rPr>
              <w:fldChar w:fldCharType="separate"/>
            </w:r>
            <w:r w:rsidR="00C22A9E">
              <w:rPr>
                <w:webHidden/>
              </w:rPr>
              <w:t>16</w:t>
            </w:r>
            <w:r w:rsidR="0061256A">
              <w:rPr>
                <w:webHidden/>
              </w:rPr>
              <w:fldChar w:fldCharType="end"/>
            </w:r>
          </w:hyperlink>
        </w:p>
        <w:p w14:paraId="671235ED" w14:textId="3D2D4A5C" w:rsidR="0061256A" w:rsidRDefault="00CD44C3">
          <w:pPr>
            <w:pStyle w:val="TOC2"/>
            <w:rPr>
              <w:rFonts w:asciiTheme="minorHAnsi" w:hAnsiTheme="minorHAnsi" w:cstheme="minorBidi"/>
              <w:color w:val="auto"/>
              <w:sz w:val="22"/>
              <w:szCs w:val="22"/>
            </w:rPr>
          </w:pPr>
          <w:hyperlink w:anchor="_Toc121339102" w:history="1">
            <w:r w:rsidR="0061256A" w:rsidRPr="00120F1A">
              <w:rPr>
                <w:rStyle w:val="Hyperlink"/>
              </w:rPr>
              <w:t>3.3.</w:t>
            </w:r>
            <w:r w:rsidR="0061256A">
              <w:rPr>
                <w:rFonts w:asciiTheme="minorHAnsi" w:hAnsiTheme="minorHAnsi" w:cstheme="minorBidi"/>
                <w:color w:val="auto"/>
                <w:sz w:val="22"/>
                <w:szCs w:val="22"/>
              </w:rPr>
              <w:tab/>
            </w:r>
            <w:r w:rsidR="0061256A" w:rsidRPr="00120F1A">
              <w:rPr>
                <w:rStyle w:val="Hyperlink"/>
              </w:rPr>
              <w:t>Climate Change Considerations</w:t>
            </w:r>
            <w:r w:rsidR="0061256A">
              <w:rPr>
                <w:webHidden/>
              </w:rPr>
              <w:tab/>
            </w:r>
            <w:r w:rsidR="0061256A">
              <w:rPr>
                <w:webHidden/>
              </w:rPr>
              <w:fldChar w:fldCharType="begin"/>
            </w:r>
            <w:r w:rsidR="0061256A">
              <w:rPr>
                <w:webHidden/>
              </w:rPr>
              <w:instrText xml:space="preserve"> PAGEREF _Toc121339102 \h </w:instrText>
            </w:r>
            <w:r w:rsidR="0061256A">
              <w:rPr>
                <w:webHidden/>
              </w:rPr>
            </w:r>
            <w:r w:rsidR="0061256A">
              <w:rPr>
                <w:webHidden/>
              </w:rPr>
              <w:fldChar w:fldCharType="separate"/>
            </w:r>
            <w:r w:rsidR="00C22A9E">
              <w:rPr>
                <w:webHidden/>
              </w:rPr>
              <w:t>17</w:t>
            </w:r>
            <w:r w:rsidR="0061256A">
              <w:rPr>
                <w:webHidden/>
              </w:rPr>
              <w:fldChar w:fldCharType="end"/>
            </w:r>
          </w:hyperlink>
        </w:p>
        <w:p w14:paraId="40ABB4BE" w14:textId="150A99D1" w:rsidR="0061256A" w:rsidRDefault="00CD44C3">
          <w:pPr>
            <w:pStyle w:val="TOC3"/>
            <w:tabs>
              <w:tab w:val="left" w:pos="1540"/>
            </w:tabs>
            <w:rPr>
              <w:rFonts w:asciiTheme="minorHAnsi" w:hAnsiTheme="minorHAnsi" w:cstheme="minorBidi"/>
              <w:i w:val="0"/>
              <w:color w:val="auto"/>
              <w:sz w:val="22"/>
              <w:szCs w:val="22"/>
            </w:rPr>
          </w:pPr>
          <w:hyperlink w:anchor="_Toc121339103" w:history="1">
            <w:r w:rsidR="0061256A" w:rsidRPr="00120F1A">
              <w:rPr>
                <w:rStyle w:val="Hyperlink"/>
              </w:rPr>
              <w:t>3.3.1.</w:t>
            </w:r>
            <w:r w:rsidR="0061256A">
              <w:rPr>
                <w:rFonts w:asciiTheme="minorHAnsi" w:hAnsiTheme="minorHAnsi" w:cstheme="minorBidi"/>
                <w:i w:val="0"/>
                <w:color w:val="auto"/>
                <w:sz w:val="22"/>
                <w:szCs w:val="22"/>
              </w:rPr>
              <w:tab/>
            </w:r>
            <w:r w:rsidR="0061256A" w:rsidRPr="00120F1A">
              <w:rPr>
                <w:rStyle w:val="Hyperlink"/>
              </w:rPr>
              <w:t>Climate Change and Transport in Scotland</w:t>
            </w:r>
            <w:r w:rsidR="0061256A">
              <w:rPr>
                <w:webHidden/>
              </w:rPr>
              <w:tab/>
            </w:r>
            <w:r w:rsidR="0061256A">
              <w:rPr>
                <w:webHidden/>
              </w:rPr>
              <w:fldChar w:fldCharType="begin"/>
            </w:r>
            <w:r w:rsidR="0061256A">
              <w:rPr>
                <w:webHidden/>
              </w:rPr>
              <w:instrText xml:space="preserve"> PAGEREF _Toc121339103 \h </w:instrText>
            </w:r>
            <w:r w:rsidR="0061256A">
              <w:rPr>
                <w:webHidden/>
              </w:rPr>
            </w:r>
            <w:r w:rsidR="0061256A">
              <w:rPr>
                <w:webHidden/>
              </w:rPr>
              <w:fldChar w:fldCharType="separate"/>
            </w:r>
            <w:r w:rsidR="00C22A9E">
              <w:rPr>
                <w:webHidden/>
              </w:rPr>
              <w:t>17</w:t>
            </w:r>
            <w:r w:rsidR="0061256A">
              <w:rPr>
                <w:webHidden/>
              </w:rPr>
              <w:fldChar w:fldCharType="end"/>
            </w:r>
          </w:hyperlink>
        </w:p>
        <w:p w14:paraId="1641A93A" w14:textId="05B429D7" w:rsidR="0061256A" w:rsidRDefault="00CD44C3">
          <w:pPr>
            <w:pStyle w:val="TOC3"/>
            <w:tabs>
              <w:tab w:val="left" w:pos="1540"/>
            </w:tabs>
            <w:rPr>
              <w:rFonts w:asciiTheme="minorHAnsi" w:hAnsiTheme="minorHAnsi" w:cstheme="minorBidi"/>
              <w:i w:val="0"/>
              <w:color w:val="auto"/>
              <w:sz w:val="22"/>
              <w:szCs w:val="22"/>
            </w:rPr>
          </w:pPr>
          <w:hyperlink w:anchor="_Toc121339104" w:history="1">
            <w:r w:rsidR="0061256A" w:rsidRPr="00120F1A">
              <w:rPr>
                <w:rStyle w:val="Hyperlink"/>
              </w:rPr>
              <w:t>3.3.2.</w:t>
            </w:r>
            <w:r w:rsidR="0061256A">
              <w:rPr>
                <w:rFonts w:asciiTheme="minorHAnsi" w:hAnsiTheme="minorHAnsi" w:cstheme="minorBidi"/>
                <w:i w:val="0"/>
                <w:color w:val="auto"/>
                <w:sz w:val="22"/>
                <w:szCs w:val="22"/>
              </w:rPr>
              <w:tab/>
            </w:r>
            <w:r w:rsidR="0061256A" w:rsidRPr="00120F1A">
              <w:rPr>
                <w:rStyle w:val="Hyperlink"/>
              </w:rPr>
              <w:t>Climate Change Plan Update</w:t>
            </w:r>
            <w:r w:rsidR="0061256A">
              <w:rPr>
                <w:webHidden/>
              </w:rPr>
              <w:tab/>
            </w:r>
            <w:r w:rsidR="0061256A">
              <w:rPr>
                <w:webHidden/>
              </w:rPr>
              <w:fldChar w:fldCharType="begin"/>
            </w:r>
            <w:r w:rsidR="0061256A">
              <w:rPr>
                <w:webHidden/>
              </w:rPr>
              <w:instrText xml:space="preserve"> PAGEREF _Toc121339104 \h </w:instrText>
            </w:r>
            <w:r w:rsidR="0061256A">
              <w:rPr>
                <w:webHidden/>
              </w:rPr>
            </w:r>
            <w:r w:rsidR="0061256A">
              <w:rPr>
                <w:webHidden/>
              </w:rPr>
              <w:fldChar w:fldCharType="separate"/>
            </w:r>
            <w:r w:rsidR="00C22A9E">
              <w:rPr>
                <w:webHidden/>
              </w:rPr>
              <w:t>19</w:t>
            </w:r>
            <w:r w:rsidR="0061256A">
              <w:rPr>
                <w:webHidden/>
              </w:rPr>
              <w:fldChar w:fldCharType="end"/>
            </w:r>
          </w:hyperlink>
        </w:p>
        <w:p w14:paraId="7005E57E" w14:textId="3774A84C" w:rsidR="0061256A" w:rsidRDefault="00CD44C3">
          <w:pPr>
            <w:pStyle w:val="TOC3"/>
            <w:tabs>
              <w:tab w:val="left" w:pos="1540"/>
            </w:tabs>
            <w:rPr>
              <w:rFonts w:asciiTheme="minorHAnsi" w:hAnsiTheme="minorHAnsi" w:cstheme="minorBidi"/>
              <w:i w:val="0"/>
              <w:color w:val="auto"/>
              <w:sz w:val="22"/>
              <w:szCs w:val="22"/>
            </w:rPr>
          </w:pPr>
          <w:hyperlink w:anchor="_Toc121339105" w:history="1">
            <w:r w:rsidR="0061256A" w:rsidRPr="00120F1A">
              <w:rPr>
                <w:rStyle w:val="Hyperlink"/>
              </w:rPr>
              <w:t>3.3.3.</w:t>
            </w:r>
            <w:r w:rsidR="0061256A">
              <w:rPr>
                <w:rFonts w:asciiTheme="minorHAnsi" w:hAnsiTheme="minorHAnsi" w:cstheme="minorBidi"/>
                <w:i w:val="0"/>
                <w:color w:val="auto"/>
                <w:sz w:val="22"/>
                <w:szCs w:val="22"/>
              </w:rPr>
              <w:tab/>
            </w:r>
            <w:r w:rsidR="0061256A" w:rsidRPr="00120F1A">
              <w:rPr>
                <w:rStyle w:val="Hyperlink"/>
              </w:rPr>
              <w:t>Route Map to Reduce Car Use</w:t>
            </w:r>
            <w:r w:rsidR="0061256A">
              <w:rPr>
                <w:webHidden/>
              </w:rPr>
              <w:tab/>
            </w:r>
            <w:r w:rsidR="0061256A">
              <w:rPr>
                <w:webHidden/>
              </w:rPr>
              <w:fldChar w:fldCharType="begin"/>
            </w:r>
            <w:r w:rsidR="0061256A">
              <w:rPr>
                <w:webHidden/>
              </w:rPr>
              <w:instrText xml:space="preserve"> PAGEREF _Toc121339105 \h </w:instrText>
            </w:r>
            <w:r w:rsidR="0061256A">
              <w:rPr>
                <w:webHidden/>
              </w:rPr>
            </w:r>
            <w:r w:rsidR="0061256A">
              <w:rPr>
                <w:webHidden/>
              </w:rPr>
              <w:fldChar w:fldCharType="separate"/>
            </w:r>
            <w:r w:rsidR="00C22A9E">
              <w:rPr>
                <w:webHidden/>
              </w:rPr>
              <w:t>20</w:t>
            </w:r>
            <w:r w:rsidR="0061256A">
              <w:rPr>
                <w:webHidden/>
              </w:rPr>
              <w:fldChar w:fldCharType="end"/>
            </w:r>
          </w:hyperlink>
        </w:p>
        <w:p w14:paraId="2D42014B" w14:textId="0ADFC964" w:rsidR="0061256A" w:rsidRDefault="00CD44C3">
          <w:pPr>
            <w:pStyle w:val="TOC3"/>
            <w:tabs>
              <w:tab w:val="left" w:pos="1540"/>
            </w:tabs>
            <w:rPr>
              <w:rFonts w:asciiTheme="minorHAnsi" w:hAnsiTheme="minorHAnsi" w:cstheme="minorBidi"/>
              <w:i w:val="0"/>
              <w:color w:val="auto"/>
              <w:sz w:val="22"/>
              <w:szCs w:val="22"/>
            </w:rPr>
          </w:pPr>
          <w:hyperlink w:anchor="_Toc121339106" w:history="1">
            <w:r w:rsidR="0061256A" w:rsidRPr="00120F1A">
              <w:rPr>
                <w:rStyle w:val="Hyperlink"/>
              </w:rPr>
              <w:t>3.3.4.</w:t>
            </w:r>
            <w:r w:rsidR="0061256A">
              <w:rPr>
                <w:rFonts w:asciiTheme="minorHAnsi" w:hAnsiTheme="minorHAnsi" w:cstheme="minorBidi"/>
                <w:i w:val="0"/>
                <w:color w:val="auto"/>
                <w:sz w:val="22"/>
                <w:szCs w:val="22"/>
              </w:rPr>
              <w:tab/>
            </w:r>
            <w:r w:rsidR="0061256A" w:rsidRPr="00120F1A">
              <w:rPr>
                <w:rStyle w:val="Hyperlink"/>
              </w:rPr>
              <w:t>Cleaner Air for Scotland 2: Towards A Better Place for Everyone</w:t>
            </w:r>
            <w:r w:rsidR="0061256A">
              <w:rPr>
                <w:webHidden/>
              </w:rPr>
              <w:tab/>
            </w:r>
            <w:r w:rsidR="0061256A">
              <w:rPr>
                <w:webHidden/>
              </w:rPr>
              <w:fldChar w:fldCharType="begin"/>
            </w:r>
            <w:r w:rsidR="0061256A">
              <w:rPr>
                <w:webHidden/>
              </w:rPr>
              <w:instrText xml:space="preserve"> PAGEREF _Toc121339106 \h </w:instrText>
            </w:r>
            <w:r w:rsidR="0061256A">
              <w:rPr>
                <w:webHidden/>
              </w:rPr>
            </w:r>
            <w:r w:rsidR="0061256A">
              <w:rPr>
                <w:webHidden/>
              </w:rPr>
              <w:fldChar w:fldCharType="separate"/>
            </w:r>
            <w:r w:rsidR="00C22A9E">
              <w:rPr>
                <w:webHidden/>
              </w:rPr>
              <w:t>20</w:t>
            </w:r>
            <w:r w:rsidR="0061256A">
              <w:rPr>
                <w:webHidden/>
              </w:rPr>
              <w:fldChar w:fldCharType="end"/>
            </w:r>
          </w:hyperlink>
        </w:p>
        <w:p w14:paraId="58387116" w14:textId="464E6B87" w:rsidR="0061256A" w:rsidRDefault="00CD44C3">
          <w:pPr>
            <w:pStyle w:val="TOC2"/>
            <w:rPr>
              <w:rFonts w:asciiTheme="minorHAnsi" w:hAnsiTheme="minorHAnsi" w:cstheme="minorBidi"/>
              <w:color w:val="auto"/>
              <w:sz w:val="22"/>
              <w:szCs w:val="22"/>
            </w:rPr>
          </w:pPr>
          <w:hyperlink w:anchor="_Toc121339107" w:history="1">
            <w:r w:rsidR="0061256A" w:rsidRPr="00120F1A">
              <w:rPr>
                <w:rStyle w:val="Hyperlink"/>
              </w:rPr>
              <w:t>3.4.</w:t>
            </w:r>
            <w:r w:rsidR="0061256A">
              <w:rPr>
                <w:rFonts w:asciiTheme="minorHAnsi" w:hAnsiTheme="minorHAnsi" w:cstheme="minorBidi"/>
                <w:color w:val="auto"/>
                <w:sz w:val="22"/>
                <w:szCs w:val="22"/>
              </w:rPr>
              <w:tab/>
            </w:r>
            <w:r w:rsidR="0061256A" w:rsidRPr="00120F1A">
              <w:rPr>
                <w:rStyle w:val="Hyperlink"/>
              </w:rPr>
              <w:t>National Planning Framework 4</w:t>
            </w:r>
            <w:r w:rsidR="0061256A">
              <w:rPr>
                <w:webHidden/>
              </w:rPr>
              <w:tab/>
            </w:r>
            <w:r w:rsidR="0061256A">
              <w:rPr>
                <w:webHidden/>
              </w:rPr>
              <w:fldChar w:fldCharType="begin"/>
            </w:r>
            <w:r w:rsidR="0061256A">
              <w:rPr>
                <w:webHidden/>
              </w:rPr>
              <w:instrText xml:space="preserve"> PAGEREF _Toc121339107 \h </w:instrText>
            </w:r>
            <w:r w:rsidR="0061256A">
              <w:rPr>
                <w:webHidden/>
              </w:rPr>
            </w:r>
            <w:r w:rsidR="0061256A">
              <w:rPr>
                <w:webHidden/>
              </w:rPr>
              <w:fldChar w:fldCharType="separate"/>
            </w:r>
            <w:r w:rsidR="00C22A9E">
              <w:rPr>
                <w:webHidden/>
              </w:rPr>
              <w:t>21</w:t>
            </w:r>
            <w:r w:rsidR="0061256A">
              <w:rPr>
                <w:webHidden/>
              </w:rPr>
              <w:fldChar w:fldCharType="end"/>
            </w:r>
          </w:hyperlink>
        </w:p>
        <w:p w14:paraId="085746D7" w14:textId="4D5CEF88" w:rsidR="0061256A" w:rsidRDefault="00CD44C3">
          <w:pPr>
            <w:pStyle w:val="TOC2"/>
            <w:rPr>
              <w:rFonts w:asciiTheme="minorHAnsi" w:hAnsiTheme="minorHAnsi" w:cstheme="minorBidi"/>
              <w:color w:val="auto"/>
              <w:sz w:val="22"/>
              <w:szCs w:val="22"/>
            </w:rPr>
          </w:pPr>
          <w:hyperlink w:anchor="_Toc121339108" w:history="1">
            <w:r w:rsidR="0061256A" w:rsidRPr="00120F1A">
              <w:rPr>
                <w:rStyle w:val="Hyperlink"/>
              </w:rPr>
              <w:t>3.5.</w:t>
            </w:r>
            <w:r w:rsidR="0061256A">
              <w:rPr>
                <w:rFonts w:asciiTheme="minorHAnsi" w:hAnsiTheme="minorHAnsi" w:cstheme="minorBidi"/>
                <w:color w:val="auto"/>
                <w:sz w:val="22"/>
                <w:szCs w:val="22"/>
              </w:rPr>
              <w:tab/>
            </w:r>
            <w:r w:rsidR="0061256A" w:rsidRPr="00120F1A">
              <w:rPr>
                <w:rStyle w:val="Hyperlink"/>
              </w:rPr>
              <w:t>Investment Considerations</w:t>
            </w:r>
            <w:r w:rsidR="0061256A">
              <w:rPr>
                <w:webHidden/>
              </w:rPr>
              <w:tab/>
            </w:r>
            <w:r w:rsidR="0061256A">
              <w:rPr>
                <w:webHidden/>
              </w:rPr>
              <w:fldChar w:fldCharType="begin"/>
            </w:r>
            <w:r w:rsidR="0061256A">
              <w:rPr>
                <w:webHidden/>
              </w:rPr>
              <w:instrText xml:space="preserve"> PAGEREF _Toc121339108 \h </w:instrText>
            </w:r>
            <w:r w:rsidR="0061256A">
              <w:rPr>
                <w:webHidden/>
              </w:rPr>
            </w:r>
            <w:r w:rsidR="0061256A">
              <w:rPr>
                <w:webHidden/>
              </w:rPr>
              <w:fldChar w:fldCharType="separate"/>
            </w:r>
            <w:r w:rsidR="00C22A9E">
              <w:rPr>
                <w:webHidden/>
              </w:rPr>
              <w:t>22</w:t>
            </w:r>
            <w:r w:rsidR="0061256A">
              <w:rPr>
                <w:webHidden/>
              </w:rPr>
              <w:fldChar w:fldCharType="end"/>
            </w:r>
          </w:hyperlink>
        </w:p>
        <w:p w14:paraId="17456486" w14:textId="102D1A5F" w:rsidR="0061256A" w:rsidRDefault="00CD44C3">
          <w:pPr>
            <w:pStyle w:val="TOC3"/>
            <w:tabs>
              <w:tab w:val="left" w:pos="1540"/>
            </w:tabs>
            <w:rPr>
              <w:rFonts w:asciiTheme="minorHAnsi" w:hAnsiTheme="minorHAnsi" w:cstheme="minorBidi"/>
              <w:i w:val="0"/>
              <w:color w:val="auto"/>
              <w:sz w:val="22"/>
              <w:szCs w:val="22"/>
            </w:rPr>
          </w:pPr>
          <w:hyperlink w:anchor="_Toc121339109" w:history="1">
            <w:r w:rsidR="0061256A" w:rsidRPr="00120F1A">
              <w:rPr>
                <w:rStyle w:val="Hyperlink"/>
              </w:rPr>
              <w:t>3.5.1.</w:t>
            </w:r>
            <w:r w:rsidR="0061256A">
              <w:rPr>
                <w:rFonts w:asciiTheme="minorHAnsi" w:hAnsiTheme="minorHAnsi" w:cstheme="minorBidi"/>
                <w:i w:val="0"/>
                <w:color w:val="auto"/>
                <w:sz w:val="22"/>
                <w:szCs w:val="22"/>
              </w:rPr>
              <w:tab/>
            </w:r>
            <w:r w:rsidR="0061256A" w:rsidRPr="00120F1A">
              <w:rPr>
                <w:rStyle w:val="Hyperlink"/>
              </w:rPr>
              <w:t>Programme for Government</w:t>
            </w:r>
            <w:r w:rsidR="0061256A">
              <w:rPr>
                <w:webHidden/>
              </w:rPr>
              <w:tab/>
            </w:r>
            <w:r w:rsidR="0061256A">
              <w:rPr>
                <w:webHidden/>
              </w:rPr>
              <w:fldChar w:fldCharType="begin"/>
            </w:r>
            <w:r w:rsidR="0061256A">
              <w:rPr>
                <w:webHidden/>
              </w:rPr>
              <w:instrText xml:space="preserve"> PAGEREF _Toc121339109 \h </w:instrText>
            </w:r>
            <w:r w:rsidR="0061256A">
              <w:rPr>
                <w:webHidden/>
              </w:rPr>
            </w:r>
            <w:r w:rsidR="0061256A">
              <w:rPr>
                <w:webHidden/>
              </w:rPr>
              <w:fldChar w:fldCharType="separate"/>
            </w:r>
            <w:r w:rsidR="00C22A9E">
              <w:rPr>
                <w:webHidden/>
              </w:rPr>
              <w:t>22</w:t>
            </w:r>
            <w:r w:rsidR="0061256A">
              <w:rPr>
                <w:webHidden/>
              </w:rPr>
              <w:fldChar w:fldCharType="end"/>
            </w:r>
          </w:hyperlink>
        </w:p>
        <w:p w14:paraId="5C2E27EB" w14:textId="5BE5637E" w:rsidR="0061256A" w:rsidRDefault="00CD44C3">
          <w:pPr>
            <w:pStyle w:val="TOC3"/>
            <w:tabs>
              <w:tab w:val="left" w:pos="1540"/>
            </w:tabs>
            <w:rPr>
              <w:rFonts w:asciiTheme="minorHAnsi" w:hAnsiTheme="minorHAnsi" w:cstheme="minorBidi"/>
              <w:i w:val="0"/>
              <w:color w:val="auto"/>
              <w:sz w:val="22"/>
              <w:szCs w:val="22"/>
            </w:rPr>
          </w:pPr>
          <w:hyperlink w:anchor="_Toc121339110" w:history="1">
            <w:r w:rsidR="0061256A" w:rsidRPr="00120F1A">
              <w:rPr>
                <w:rStyle w:val="Hyperlink"/>
              </w:rPr>
              <w:t>3.5.2.</w:t>
            </w:r>
            <w:r w:rsidR="0061256A">
              <w:rPr>
                <w:rFonts w:asciiTheme="minorHAnsi" w:hAnsiTheme="minorHAnsi" w:cstheme="minorBidi"/>
                <w:i w:val="0"/>
                <w:color w:val="auto"/>
                <w:sz w:val="22"/>
                <w:szCs w:val="22"/>
              </w:rPr>
              <w:tab/>
            </w:r>
            <w:r w:rsidR="0061256A" w:rsidRPr="00120F1A">
              <w:rPr>
                <w:rStyle w:val="Hyperlink"/>
              </w:rPr>
              <w:t>Bute House Agreement</w:t>
            </w:r>
            <w:r w:rsidR="0061256A">
              <w:rPr>
                <w:webHidden/>
              </w:rPr>
              <w:tab/>
            </w:r>
            <w:r w:rsidR="0061256A">
              <w:rPr>
                <w:webHidden/>
              </w:rPr>
              <w:fldChar w:fldCharType="begin"/>
            </w:r>
            <w:r w:rsidR="0061256A">
              <w:rPr>
                <w:webHidden/>
              </w:rPr>
              <w:instrText xml:space="preserve"> PAGEREF _Toc121339110 \h </w:instrText>
            </w:r>
            <w:r w:rsidR="0061256A">
              <w:rPr>
                <w:webHidden/>
              </w:rPr>
            </w:r>
            <w:r w:rsidR="0061256A">
              <w:rPr>
                <w:webHidden/>
              </w:rPr>
              <w:fldChar w:fldCharType="separate"/>
            </w:r>
            <w:r w:rsidR="00C22A9E">
              <w:rPr>
                <w:webHidden/>
              </w:rPr>
              <w:t>22</w:t>
            </w:r>
            <w:r w:rsidR="0061256A">
              <w:rPr>
                <w:webHidden/>
              </w:rPr>
              <w:fldChar w:fldCharType="end"/>
            </w:r>
          </w:hyperlink>
        </w:p>
        <w:p w14:paraId="71BE47E5" w14:textId="0B583EE5" w:rsidR="0061256A" w:rsidRDefault="00CD44C3">
          <w:pPr>
            <w:pStyle w:val="TOC3"/>
            <w:tabs>
              <w:tab w:val="left" w:pos="1540"/>
            </w:tabs>
            <w:rPr>
              <w:rFonts w:asciiTheme="minorHAnsi" w:hAnsiTheme="minorHAnsi" w:cstheme="minorBidi"/>
              <w:i w:val="0"/>
              <w:color w:val="auto"/>
              <w:sz w:val="22"/>
              <w:szCs w:val="22"/>
            </w:rPr>
          </w:pPr>
          <w:hyperlink w:anchor="_Toc121339111" w:history="1">
            <w:r w:rsidR="0061256A" w:rsidRPr="00120F1A">
              <w:rPr>
                <w:rStyle w:val="Hyperlink"/>
              </w:rPr>
              <w:t>3.5.3.</w:t>
            </w:r>
            <w:r w:rsidR="0061256A">
              <w:rPr>
                <w:rFonts w:asciiTheme="minorHAnsi" w:hAnsiTheme="minorHAnsi" w:cstheme="minorBidi"/>
                <w:i w:val="0"/>
                <w:color w:val="auto"/>
                <w:sz w:val="22"/>
                <w:szCs w:val="22"/>
              </w:rPr>
              <w:tab/>
            </w:r>
            <w:r w:rsidR="0061256A" w:rsidRPr="00120F1A">
              <w:rPr>
                <w:rStyle w:val="Hyperlink"/>
              </w:rPr>
              <w:t>Infrastructure Investment Plan for Scotland</w:t>
            </w:r>
            <w:r w:rsidR="0061256A">
              <w:rPr>
                <w:webHidden/>
              </w:rPr>
              <w:tab/>
            </w:r>
            <w:r w:rsidR="0061256A">
              <w:rPr>
                <w:webHidden/>
              </w:rPr>
              <w:fldChar w:fldCharType="begin"/>
            </w:r>
            <w:r w:rsidR="0061256A">
              <w:rPr>
                <w:webHidden/>
              </w:rPr>
              <w:instrText xml:space="preserve"> PAGEREF _Toc121339111 \h </w:instrText>
            </w:r>
            <w:r w:rsidR="0061256A">
              <w:rPr>
                <w:webHidden/>
              </w:rPr>
            </w:r>
            <w:r w:rsidR="0061256A">
              <w:rPr>
                <w:webHidden/>
              </w:rPr>
              <w:fldChar w:fldCharType="separate"/>
            </w:r>
            <w:r w:rsidR="00C22A9E">
              <w:rPr>
                <w:webHidden/>
              </w:rPr>
              <w:t>24</w:t>
            </w:r>
            <w:r w:rsidR="0061256A">
              <w:rPr>
                <w:webHidden/>
              </w:rPr>
              <w:fldChar w:fldCharType="end"/>
            </w:r>
          </w:hyperlink>
        </w:p>
        <w:p w14:paraId="2BD9211E" w14:textId="4945ACBC" w:rsidR="0061256A" w:rsidRDefault="00CD44C3">
          <w:pPr>
            <w:pStyle w:val="TOC3"/>
            <w:tabs>
              <w:tab w:val="left" w:pos="1540"/>
            </w:tabs>
            <w:rPr>
              <w:rFonts w:asciiTheme="minorHAnsi" w:hAnsiTheme="minorHAnsi" w:cstheme="minorBidi"/>
              <w:i w:val="0"/>
              <w:color w:val="auto"/>
              <w:sz w:val="22"/>
              <w:szCs w:val="22"/>
            </w:rPr>
          </w:pPr>
          <w:hyperlink w:anchor="_Toc121339112" w:history="1">
            <w:r w:rsidR="0061256A" w:rsidRPr="00120F1A">
              <w:rPr>
                <w:rStyle w:val="Hyperlink"/>
              </w:rPr>
              <w:t>3.5.4.</w:t>
            </w:r>
            <w:r w:rsidR="0061256A">
              <w:rPr>
                <w:rFonts w:asciiTheme="minorHAnsi" w:hAnsiTheme="minorHAnsi" w:cstheme="minorBidi"/>
                <w:i w:val="0"/>
                <w:color w:val="auto"/>
                <w:sz w:val="22"/>
                <w:szCs w:val="22"/>
              </w:rPr>
              <w:tab/>
            </w:r>
            <w:r w:rsidR="0061256A" w:rsidRPr="00120F1A">
              <w:rPr>
                <w:rStyle w:val="Hyperlink"/>
              </w:rPr>
              <w:t>Capital Spending Review</w:t>
            </w:r>
            <w:r w:rsidR="0061256A">
              <w:rPr>
                <w:webHidden/>
              </w:rPr>
              <w:tab/>
            </w:r>
            <w:r w:rsidR="0061256A">
              <w:rPr>
                <w:webHidden/>
              </w:rPr>
              <w:fldChar w:fldCharType="begin"/>
            </w:r>
            <w:r w:rsidR="0061256A">
              <w:rPr>
                <w:webHidden/>
              </w:rPr>
              <w:instrText xml:space="preserve"> PAGEREF _Toc121339112 \h </w:instrText>
            </w:r>
            <w:r w:rsidR="0061256A">
              <w:rPr>
                <w:webHidden/>
              </w:rPr>
            </w:r>
            <w:r w:rsidR="0061256A">
              <w:rPr>
                <w:webHidden/>
              </w:rPr>
              <w:fldChar w:fldCharType="separate"/>
            </w:r>
            <w:r w:rsidR="00C22A9E">
              <w:rPr>
                <w:webHidden/>
              </w:rPr>
              <w:t>24</w:t>
            </w:r>
            <w:r w:rsidR="0061256A">
              <w:rPr>
                <w:webHidden/>
              </w:rPr>
              <w:fldChar w:fldCharType="end"/>
            </w:r>
          </w:hyperlink>
        </w:p>
        <w:p w14:paraId="43D8385E" w14:textId="5EB2262D" w:rsidR="0061256A" w:rsidRDefault="00CD44C3">
          <w:pPr>
            <w:pStyle w:val="TOC3"/>
            <w:tabs>
              <w:tab w:val="left" w:pos="1540"/>
            </w:tabs>
            <w:rPr>
              <w:rFonts w:asciiTheme="minorHAnsi" w:hAnsiTheme="minorHAnsi" w:cstheme="minorBidi"/>
              <w:i w:val="0"/>
              <w:color w:val="auto"/>
              <w:sz w:val="22"/>
              <w:szCs w:val="22"/>
            </w:rPr>
          </w:pPr>
          <w:hyperlink w:anchor="_Toc121339113" w:history="1">
            <w:r w:rsidR="0061256A" w:rsidRPr="00120F1A">
              <w:rPr>
                <w:rStyle w:val="Hyperlink"/>
              </w:rPr>
              <w:t>3.5.5.</w:t>
            </w:r>
            <w:r w:rsidR="0061256A">
              <w:rPr>
                <w:rFonts w:asciiTheme="minorHAnsi" w:hAnsiTheme="minorHAnsi" w:cstheme="minorBidi"/>
                <w:i w:val="0"/>
                <w:color w:val="auto"/>
                <w:sz w:val="22"/>
                <w:szCs w:val="22"/>
              </w:rPr>
              <w:tab/>
            </w:r>
            <w:r w:rsidR="0061256A" w:rsidRPr="00120F1A">
              <w:rPr>
                <w:rStyle w:val="Hyperlink"/>
              </w:rPr>
              <w:t>Scotland’s National Strategy for Economic Transformation</w:t>
            </w:r>
            <w:r w:rsidR="0061256A">
              <w:rPr>
                <w:webHidden/>
              </w:rPr>
              <w:tab/>
            </w:r>
            <w:r w:rsidR="0061256A">
              <w:rPr>
                <w:webHidden/>
              </w:rPr>
              <w:fldChar w:fldCharType="begin"/>
            </w:r>
            <w:r w:rsidR="0061256A">
              <w:rPr>
                <w:webHidden/>
              </w:rPr>
              <w:instrText xml:space="preserve"> PAGEREF _Toc121339113 \h </w:instrText>
            </w:r>
            <w:r w:rsidR="0061256A">
              <w:rPr>
                <w:webHidden/>
              </w:rPr>
            </w:r>
            <w:r w:rsidR="0061256A">
              <w:rPr>
                <w:webHidden/>
              </w:rPr>
              <w:fldChar w:fldCharType="separate"/>
            </w:r>
            <w:r w:rsidR="00C22A9E">
              <w:rPr>
                <w:webHidden/>
              </w:rPr>
              <w:t>25</w:t>
            </w:r>
            <w:r w:rsidR="0061256A">
              <w:rPr>
                <w:webHidden/>
              </w:rPr>
              <w:fldChar w:fldCharType="end"/>
            </w:r>
          </w:hyperlink>
        </w:p>
        <w:p w14:paraId="58F73807" w14:textId="132BD710" w:rsidR="0061256A" w:rsidRDefault="00CD44C3">
          <w:pPr>
            <w:pStyle w:val="TOC3"/>
            <w:tabs>
              <w:tab w:val="left" w:pos="1540"/>
            </w:tabs>
            <w:rPr>
              <w:rFonts w:asciiTheme="minorHAnsi" w:hAnsiTheme="minorHAnsi" w:cstheme="minorBidi"/>
              <w:i w:val="0"/>
              <w:color w:val="auto"/>
              <w:sz w:val="22"/>
              <w:szCs w:val="22"/>
            </w:rPr>
          </w:pPr>
          <w:hyperlink w:anchor="_Toc121339114" w:history="1">
            <w:r w:rsidR="0061256A" w:rsidRPr="00120F1A">
              <w:rPr>
                <w:rStyle w:val="Hyperlink"/>
              </w:rPr>
              <w:t>3.5.6.</w:t>
            </w:r>
            <w:r w:rsidR="0061256A">
              <w:rPr>
                <w:rFonts w:asciiTheme="minorHAnsi" w:hAnsiTheme="minorHAnsi" w:cstheme="minorBidi"/>
                <w:i w:val="0"/>
                <w:color w:val="auto"/>
                <w:sz w:val="22"/>
                <w:szCs w:val="22"/>
              </w:rPr>
              <w:tab/>
            </w:r>
            <w:r w:rsidR="0061256A" w:rsidRPr="00120F1A">
              <w:rPr>
                <w:rStyle w:val="Hyperlink"/>
              </w:rPr>
              <w:t>Existing Funding Commitments</w:t>
            </w:r>
            <w:r w:rsidR="0061256A">
              <w:rPr>
                <w:webHidden/>
              </w:rPr>
              <w:tab/>
            </w:r>
            <w:r w:rsidR="0061256A">
              <w:rPr>
                <w:webHidden/>
              </w:rPr>
              <w:fldChar w:fldCharType="begin"/>
            </w:r>
            <w:r w:rsidR="0061256A">
              <w:rPr>
                <w:webHidden/>
              </w:rPr>
              <w:instrText xml:space="preserve"> PAGEREF _Toc121339114 \h </w:instrText>
            </w:r>
            <w:r w:rsidR="0061256A">
              <w:rPr>
                <w:webHidden/>
              </w:rPr>
            </w:r>
            <w:r w:rsidR="0061256A">
              <w:rPr>
                <w:webHidden/>
              </w:rPr>
              <w:fldChar w:fldCharType="separate"/>
            </w:r>
            <w:r w:rsidR="00C22A9E">
              <w:rPr>
                <w:webHidden/>
              </w:rPr>
              <w:t>26</w:t>
            </w:r>
            <w:r w:rsidR="0061256A">
              <w:rPr>
                <w:webHidden/>
              </w:rPr>
              <w:fldChar w:fldCharType="end"/>
            </w:r>
          </w:hyperlink>
        </w:p>
        <w:p w14:paraId="1F2D4221" w14:textId="01095137" w:rsidR="0061256A" w:rsidRDefault="00CD44C3">
          <w:pPr>
            <w:pStyle w:val="TOC3"/>
            <w:tabs>
              <w:tab w:val="left" w:pos="1540"/>
            </w:tabs>
            <w:rPr>
              <w:rFonts w:asciiTheme="minorHAnsi" w:hAnsiTheme="minorHAnsi" w:cstheme="minorBidi"/>
              <w:i w:val="0"/>
              <w:color w:val="auto"/>
              <w:sz w:val="22"/>
              <w:szCs w:val="22"/>
            </w:rPr>
          </w:pPr>
          <w:hyperlink w:anchor="_Toc121339115" w:history="1">
            <w:r w:rsidR="0061256A" w:rsidRPr="00120F1A">
              <w:rPr>
                <w:rStyle w:val="Hyperlink"/>
              </w:rPr>
              <w:t>3.5.7.</w:t>
            </w:r>
            <w:r w:rsidR="0061256A">
              <w:rPr>
                <w:rFonts w:asciiTheme="minorHAnsi" w:hAnsiTheme="minorHAnsi" w:cstheme="minorBidi"/>
                <w:i w:val="0"/>
                <w:color w:val="auto"/>
                <w:sz w:val="22"/>
                <w:szCs w:val="22"/>
              </w:rPr>
              <w:tab/>
            </w:r>
            <w:r w:rsidR="0061256A" w:rsidRPr="00120F1A">
              <w:rPr>
                <w:rStyle w:val="Hyperlink"/>
              </w:rPr>
              <w:t>Summary</w:t>
            </w:r>
            <w:r w:rsidR="0061256A">
              <w:rPr>
                <w:webHidden/>
              </w:rPr>
              <w:tab/>
            </w:r>
            <w:r w:rsidR="0061256A">
              <w:rPr>
                <w:webHidden/>
              </w:rPr>
              <w:fldChar w:fldCharType="begin"/>
            </w:r>
            <w:r w:rsidR="0061256A">
              <w:rPr>
                <w:webHidden/>
              </w:rPr>
              <w:instrText xml:space="preserve"> PAGEREF _Toc121339115 \h </w:instrText>
            </w:r>
            <w:r w:rsidR="0061256A">
              <w:rPr>
                <w:webHidden/>
              </w:rPr>
            </w:r>
            <w:r w:rsidR="0061256A">
              <w:rPr>
                <w:webHidden/>
              </w:rPr>
              <w:fldChar w:fldCharType="separate"/>
            </w:r>
            <w:r w:rsidR="00C22A9E">
              <w:rPr>
                <w:webHidden/>
              </w:rPr>
              <w:t>27</w:t>
            </w:r>
            <w:r w:rsidR="0061256A">
              <w:rPr>
                <w:webHidden/>
              </w:rPr>
              <w:fldChar w:fldCharType="end"/>
            </w:r>
          </w:hyperlink>
        </w:p>
        <w:p w14:paraId="264EC0CF" w14:textId="2CC8C9C0" w:rsidR="0061256A" w:rsidRDefault="00CD44C3">
          <w:pPr>
            <w:pStyle w:val="TOC2"/>
            <w:rPr>
              <w:rFonts w:asciiTheme="minorHAnsi" w:hAnsiTheme="minorHAnsi" w:cstheme="minorBidi"/>
              <w:color w:val="auto"/>
              <w:sz w:val="22"/>
              <w:szCs w:val="22"/>
            </w:rPr>
          </w:pPr>
          <w:hyperlink w:anchor="_Toc121339116" w:history="1">
            <w:r w:rsidR="0061256A" w:rsidRPr="00120F1A">
              <w:rPr>
                <w:rStyle w:val="Hyperlink"/>
              </w:rPr>
              <w:t>3.6.</w:t>
            </w:r>
            <w:r w:rsidR="0061256A">
              <w:rPr>
                <w:rFonts w:asciiTheme="minorHAnsi" w:hAnsiTheme="minorHAnsi" w:cstheme="minorBidi"/>
                <w:color w:val="auto"/>
                <w:sz w:val="22"/>
                <w:szCs w:val="22"/>
              </w:rPr>
              <w:tab/>
            </w:r>
            <w:r w:rsidR="0061256A" w:rsidRPr="00120F1A">
              <w:rPr>
                <w:rStyle w:val="Hyperlink"/>
              </w:rPr>
              <w:t>Relationship with Other Plans, Programmes or Strategies (PPS)</w:t>
            </w:r>
            <w:r w:rsidR="0061256A">
              <w:rPr>
                <w:webHidden/>
              </w:rPr>
              <w:tab/>
            </w:r>
            <w:r w:rsidR="0061256A">
              <w:rPr>
                <w:webHidden/>
              </w:rPr>
              <w:fldChar w:fldCharType="begin"/>
            </w:r>
            <w:r w:rsidR="0061256A">
              <w:rPr>
                <w:webHidden/>
              </w:rPr>
              <w:instrText xml:space="preserve"> PAGEREF _Toc121339116 \h </w:instrText>
            </w:r>
            <w:r w:rsidR="0061256A">
              <w:rPr>
                <w:webHidden/>
              </w:rPr>
            </w:r>
            <w:r w:rsidR="0061256A">
              <w:rPr>
                <w:webHidden/>
              </w:rPr>
              <w:fldChar w:fldCharType="separate"/>
            </w:r>
            <w:r w:rsidR="00C22A9E">
              <w:rPr>
                <w:webHidden/>
              </w:rPr>
              <w:t>27</w:t>
            </w:r>
            <w:r w:rsidR="0061256A">
              <w:rPr>
                <w:webHidden/>
              </w:rPr>
              <w:fldChar w:fldCharType="end"/>
            </w:r>
          </w:hyperlink>
        </w:p>
        <w:p w14:paraId="3647905A" w14:textId="7F831917" w:rsidR="0061256A" w:rsidRDefault="00CD44C3">
          <w:pPr>
            <w:pStyle w:val="TOC1"/>
            <w:rPr>
              <w:rFonts w:asciiTheme="minorHAnsi" w:hAnsiTheme="minorHAnsi" w:cstheme="minorBidi"/>
              <w:b w:val="0"/>
              <w:color w:val="auto"/>
              <w:sz w:val="22"/>
              <w:szCs w:val="22"/>
            </w:rPr>
          </w:pPr>
          <w:hyperlink w:anchor="_Toc121339117" w:history="1">
            <w:r w:rsidR="0061256A" w:rsidRPr="00120F1A">
              <w:rPr>
                <w:rStyle w:val="Hyperlink"/>
              </w:rPr>
              <w:t>4.</w:t>
            </w:r>
            <w:r w:rsidR="0061256A">
              <w:rPr>
                <w:rFonts w:asciiTheme="minorHAnsi" w:hAnsiTheme="minorHAnsi" w:cstheme="minorBidi"/>
                <w:b w:val="0"/>
                <w:color w:val="auto"/>
                <w:sz w:val="22"/>
                <w:szCs w:val="22"/>
              </w:rPr>
              <w:tab/>
            </w:r>
            <w:r w:rsidR="0061256A" w:rsidRPr="00120F1A">
              <w:rPr>
                <w:rStyle w:val="Hyperlink"/>
              </w:rPr>
              <w:t>Baseline Summary</w:t>
            </w:r>
            <w:r w:rsidR="0061256A">
              <w:rPr>
                <w:webHidden/>
              </w:rPr>
              <w:tab/>
            </w:r>
            <w:r w:rsidR="0061256A">
              <w:rPr>
                <w:webHidden/>
              </w:rPr>
              <w:fldChar w:fldCharType="begin"/>
            </w:r>
            <w:r w:rsidR="0061256A">
              <w:rPr>
                <w:webHidden/>
              </w:rPr>
              <w:instrText xml:space="preserve"> PAGEREF _Toc121339117 \h </w:instrText>
            </w:r>
            <w:r w:rsidR="0061256A">
              <w:rPr>
                <w:webHidden/>
              </w:rPr>
            </w:r>
            <w:r w:rsidR="0061256A">
              <w:rPr>
                <w:webHidden/>
              </w:rPr>
              <w:fldChar w:fldCharType="separate"/>
            </w:r>
            <w:r w:rsidR="00C22A9E">
              <w:rPr>
                <w:webHidden/>
              </w:rPr>
              <w:t>31</w:t>
            </w:r>
            <w:r w:rsidR="0061256A">
              <w:rPr>
                <w:webHidden/>
              </w:rPr>
              <w:fldChar w:fldCharType="end"/>
            </w:r>
          </w:hyperlink>
        </w:p>
        <w:p w14:paraId="7279ADA6" w14:textId="6F5CEB6A" w:rsidR="0061256A" w:rsidRDefault="00CD44C3">
          <w:pPr>
            <w:pStyle w:val="TOC2"/>
            <w:rPr>
              <w:rFonts w:asciiTheme="minorHAnsi" w:hAnsiTheme="minorHAnsi" w:cstheme="minorBidi"/>
              <w:color w:val="auto"/>
              <w:sz w:val="22"/>
              <w:szCs w:val="22"/>
            </w:rPr>
          </w:pPr>
          <w:hyperlink w:anchor="_Toc121339118" w:history="1">
            <w:r w:rsidR="0061256A" w:rsidRPr="00120F1A">
              <w:rPr>
                <w:rStyle w:val="Hyperlink"/>
              </w:rPr>
              <w:t>4.1.</w:t>
            </w:r>
            <w:r w:rsidR="0061256A">
              <w:rPr>
                <w:rFonts w:asciiTheme="minorHAnsi" w:hAnsiTheme="minorHAnsi" w:cstheme="minorBidi"/>
                <w:color w:val="auto"/>
                <w:sz w:val="22"/>
                <w:szCs w:val="22"/>
              </w:rPr>
              <w:tab/>
            </w:r>
            <w:r w:rsidR="0061256A" w:rsidRPr="00120F1A">
              <w:rPr>
                <w:rStyle w:val="Hyperlink"/>
              </w:rPr>
              <w:t>Overview</w:t>
            </w:r>
            <w:r w:rsidR="0061256A">
              <w:rPr>
                <w:webHidden/>
              </w:rPr>
              <w:tab/>
            </w:r>
            <w:r w:rsidR="0061256A">
              <w:rPr>
                <w:webHidden/>
              </w:rPr>
              <w:fldChar w:fldCharType="begin"/>
            </w:r>
            <w:r w:rsidR="0061256A">
              <w:rPr>
                <w:webHidden/>
              </w:rPr>
              <w:instrText xml:space="preserve"> PAGEREF _Toc121339118 \h </w:instrText>
            </w:r>
            <w:r w:rsidR="0061256A">
              <w:rPr>
                <w:webHidden/>
              </w:rPr>
            </w:r>
            <w:r w:rsidR="0061256A">
              <w:rPr>
                <w:webHidden/>
              </w:rPr>
              <w:fldChar w:fldCharType="separate"/>
            </w:r>
            <w:r w:rsidR="00C22A9E">
              <w:rPr>
                <w:webHidden/>
              </w:rPr>
              <w:t>31</w:t>
            </w:r>
            <w:r w:rsidR="0061256A">
              <w:rPr>
                <w:webHidden/>
              </w:rPr>
              <w:fldChar w:fldCharType="end"/>
            </w:r>
          </w:hyperlink>
        </w:p>
        <w:p w14:paraId="4107BB28" w14:textId="1C01DC50" w:rsidR="0061256A" w:rsidRDefault="00CD44C3">
          <w:pPr>
            <w:pStyle w:val="TOC2"/>
            <w:rPr>
              <w:rFonts w:asciiTheme="minorHAnsi" w:hAnsiTheme="minorHAnsi" w:cstheme="minorBidi"/>
              <w:color w:val="auto"/>
              <w:sz w:val="22"/>
              <w:szCs w:val="22"/>
            </w:rPr>
          </w:pPr>
          <w:hyperlink w:anchor="_Toc121339119" w:history="1">
            <w:r w:rsidR="0061256A" w:rsidRPr="00120F1A">
              <w:rPr>
                <w:rStyle w:val="Hyperlink"/>
              </w:rPr>
              <w:t>4.2.</w:t>
            </w:r>
            <w:r w:rsidR="0061256A">
              <w:rPr>
                <w:rFonts w:asciiTheme="minorHAnsi" w:hAnsiTheme="minorHAnsi" w:cstheme="minorBidi"/>
                <w:color w:val="auto"/>
                <w:sz w:val="22"/>
                <w:szCs w:val="22"/>
              </w:rPr>
              <w:tab/>
            </w:r>
            <w:r w:rsidR="0061256A" w:rsidRPr="00120F1A">
              <w:rPr>
                <w:rStyle w:val="Hyperlink"/>
              </w:rPr>
              <w:t>Baseline Summaries by SEA Topic</w:t>
            </w:r>
            <w:r w:rsidR="0061256A">
              <w:rPr>
                <w:webHidden/>
              </w:rPr>
              <w:tab/>
            </w:r>
            <w:r w:rsidR="0061256A">
              <w:rPr>
                <w:webHidden/>
              </w:rPr>
              <w:fldChar w:fldCharType="begin"/>
            </w:r>
            <w:r w:rsidR="0061256A">
              <w:rPr>
                <w:webHidden/>
              </w:rPr>
              <w:instrText xml:space="preserve"> PAGEREF _Toc121339119 \h </w:instrText>
            </w:r>
            <w:r w:rsidR="0061256A">
              <w:rPr>
                <w:webHidden/>
              </w:rPr>
            </w:r>
            <w:r w:rsidR="0061256A">
              <w:rPr>
                <w:webHidden/>
              </w:rPr>
              <w:fldChar w:fldCharType="separate"/>
            </w:r>
            <w:r w:rsidR="00C22A9E">
              <w:rPr>
                <w:webHidden/>
              </w:rPr>
              <w:t>31</w:t>
            </w:r>
            <w:r w:rsidR="0061256A">
              <w:rPr>
                <w:webHidden/>
              </w:rPr>
              <w:fldChar w:fldCharType="end"/>
            </w:r>
          </w:hyperlink>
        </w:p>
        <w:p w14:paraId="60A3BF20" w14:textId="20D5AC61" w:rsidR="0061256A" w:rsidRDefault="00CD44C3">
          <w:pPr>
            <w:pStyle w:val="TOC2"/>
            <w:rPr>
              <w:rFonts w:asciiTheme="minorHAnsi" w:hAnsiTheme="minorHAnsi" w:cstheme="minorBidi"/>
              <w:color w:val="auto"/>
              <w:sz w:val="22"/>
              <w:szCs w:val="22"/>
            </w:rPr>
          </w:pPr>
          <w:hyperlink w:anchor="_Toc121339120" w:history="1">
            <w:r w:rsidR="0061256A" w:rsidRPr="00120F1A">
              <w:rPr>
                <w:rStyle w:val="Hyperlink"/>
              </w:rPr>
              <w:t>4.3.</w:t>
            </w:r>
            <w:r w:rsidR="0061256A">
              <w:rPr>
                <w:rFonts w:asciiTheme="minorHAnsi" w:hAnsiTheme="minorHAnsi" w:cstheme="minorBidi"/>
                <w:color w:val="auto"/>
                <w:sz w:val="22"/>
                <w:szCs w:val="22"/>
              </w:rPr>
              <w:tab/>
            </w:r>
            <w:r w:rsidR="0061256A" w:rsidRPr="00120F1A">
              <w:rPr>
                <w:rStyle w:val="Hyperlink"/>
              </w:rPr>
              <w:t>Inter-relationships between SEA Topics</w:t>
            </w:r>
            <w:r w:rsidR="0061256A">
              <w:rPr>
                <w:webHidden/>
              </w:rPr>
              <w:tab/>
            </w:r>
            <w:r w:rsidR="0061256A">
              <w:rPr>
                <w:webHidden/>
              </w:rPr>
              <w:fldChar w:fldCharType="begin"/>
            </w:r>
            <w:r w:rsidR="0061256A">
              <w:rPr>
                <w:webHidden/>
              </w:rPr>
              <w:instrText xml:space="preserve"> PAGEREF _Toc121339120 \h </w:instrText>
            </w:r>
            <w:r w:rsidR="0061256A">
              <w:rPr>
                <w:webHidden/>
              </w:rPr>
            </w:r>
            <w:r w:rsidR="0061256A">
              <w:rPr>
                <w:webHidden/>
              </w:rPr>
              <w:fldChar w:fldCharType="separate"/>
            </w:r>
            <w:r w:rsidR="00C22A9E">
              <w:rPr>
                <w:webHidden/>
              </w:rPr>
              <w:t>34</w:t>
            </w:r>
            <w:r w:rsidR="0061256A">
              <w:rPr>
                <w:webHidden/>
              </w:rPr>
              <w:fldChar w:fldCharType="end"/>
            </w:r>
          </w:hyperlink>
        </w:p>
        <w:p w14:paraId="04E8276A" w14:textId="5FCB3B91" w:rsidR="0061256A" w:rsidRDefault="00CD44C3">
          <w:pPr>
            <w:pStyle w:val="TOC1"/>
            <w:rPr>
              <w:rFonts w:asciiTheme="minorHAnsi" w:hAnsiTheme="minorHAnsi" w:cstheme="minorBidi"/>
              <w:b w:val="0"/>
              <w:color w:val="auto"/>
              <w:sz w:val="22"/>
              <w:szCs w:val="22"/>
            </w:rPr>
          </w:pPr>
          <w:hyperlink w:anchor="_Toc121339121" w:history="1">
            <w:r w:rsidR="0061256A" w:rsidRPr="00120F1A">
              <w:rPr>
                <w:rStyle w:val="Hyperlink"/>
              </w:rPr>
              <w:t>5.</w:t>
            </w:r>
            <w:r w:rsidR="0061256A">
              <w:rPr>
                <w:rFonts w:asciiTheme="minorHAnsi" w:hAnsiTheme="minorHAnsi" w:cstheme="minorBidi"/>
                <w:b w:val="0"/>
                <w:color w:val="auto"/>
                <w:sz w:val="22"/>
                <w:szCs w:val="22"/>
              </w:rPr>
              <w:tab/>
            </w:r>
            <w:r w:rsidR="0061256A" w:rsidRPr="00120F1A">
              <w:rPr>
                <w:rStyle w:val="Hyperlink"/>
              </w:rPr>
              <w:t>Stakeholder Engagement</w:t>
            </w:r>
            <w:r w:rsidR="0061256A">
              <w:rPr>
                <w:webHidden/>
              </w:rPr>
              <w:tab/>
            </w:r>
            <w:r w:rsidR="0061256A">
              <w:rPr>
                <w:webHidden/>
              </w:rPr>
              <w:fldChar w:fldCharType="begin"/>
            </w:r>
            <w:r w:rsidR="0061256A">
              <w:rPr>
                <w:webHidden/>
              </w:rPr>
              <w:instrText xml:space="preserve"> PAGEREF _Toc121339121 \h </w:instrText>
            </w:r>
            <w:r w:rsidR="0061256A">
              <w:rPr>
                <w:webHidden/>
              </w:rPr>
            </w:r>
            <w:r w:rsidR="0061256A">
              <w:rPr>
                <w:webHidden/>
              </w:rPr>
              <w:fldChar w:fldCharType="separate"/>
            </w:r>
            <w:r w:rsidR="00C22A9E">
              <w:rPr>
                <w:webHidden/>
              </w:rPr>
              <w:t>36</w:t>
            </w:r>
            <w:r w:rsidR="0061256A">
              <w:rPr>
                <w:webHidden/>
              </w:rPr>
              <w:fldChar w:fldCharType="end"/>
            </w:r>
          </w:hyperlink>
        </w:p>
        <w:p w14:paraId="593CB97D" w14:textId="60A8BB07" w:rsidR="0061256A" w:rsidRDefault="00CD44C3">
          <w:pPr>
            <w:pStyle w:val="TOC2"/>
            <w:rPr>
              <w:rFonts w:asciiTheme="minorHAnsi" w:hAnsiTheme="minorHAnsi" w:cstheme="minorBidi"/>
              <w:color w:val="auto"/>
              <w:sz w:val="22"/>
              <w:szCs w:val="22"/>
            </w:rPr>
          </w:pPr>
          <w:hyperlink w:anchor="_Toc121339122" w:history="1">
            <w:r w:rsidR="0061256A" w:rsidRPr="00120F1A">
              <w:rPr>
                <w:rStyle w:val="Hyperlink"/>
              </w:rPr>
              <w:t>5.1.</w:t>
            </w:r>
            <w:r w:rsidR="0061256A">
              <w:rPr>
                <w:rFonts w:asciiTheme="minorHAnsi" w:hAnsiTheme="minorHAnsi" w:cstheme="minorBidi"/>
                <w:color w:val="auto"/>
                <w:sz w:val="22"/>
                <w:szCs w:val="22"/>
              </w:rPr>
              <w:tab/>
            </w:r>
            <w:r w:rsidR="0061256A" w:rsidRPr="00120F1A">
              <w:rPr>
                <w:rStyle w:val="Hyperlink"/>
              </w:rPr>
              <w:t>Overview</w:t>
            </w:r>
            <w:r w:rsidR="0061256A">
              <w:rPr>
                <w:webHidden/>
              </w:rPr>
              <w:tab/>
            </w:r>
            <w:r w:rsidR="0061256A">
              <w:rPr>
                <w:webHidden/>
              </w:rPr>
              <w:fldChar w:fldCharType="begin"/>
            </w:r>
            <w:r w:rsidR="0061256A">
              <w:rPr>
                <w:webHidden/>
              </w:rPr>
              <w:instrText xml:space="preserve"> PAGEREF _Toc121339122 \h </w:instrText>
            </w:r>
            <w:r w:rsidR="0061256A">
              <w:rPr>
                <w:webHidden/>
              </w:rPr>
            </w:r>
            <w:r w:rsidR="0061256A">
              <w:rPr>
                <w:webHidden/>
              </w:rPr>
              <w:fldChar w:fldCharType="separate"/>
            </w:r>
            <w:r w:rsidR="00C22A9E">
              <w:rPr>
                <w:webHidden/>
              </w:rPr>
              <w:t>36</w:t>
            </w:r>
            <w:r w:rsidR="0061256A">
              <w:rPr>
                <w:webHidden/>
              </w:rPr>
              <w:fldChar w:fldCharType="end"/>
            </w:r>
          </w:hyperlink>
        </w:p>
        <w:p w14:paraId="09A4E228" w14:textId="7B1DBF09" w:rsidR="0061256A" w:rsidRDefault="00CD44C3">
          <w:pPr>
            <w:pStyle w:val="TOC1"/>
            <w:rPr>
              <w:rFonts w:asciiTheme="minorHAnsi" w:hAnsiTheme="minorHAnsi" w:cstheme="minorBidi"/>
              <w:b w:val="0"/>
              <w:color w:val="auto"/>
              <w:sz w:val="22"/>
              <w:szCs w:val="22"/>
            </w:rPr>
          </w:pPr>
          <w:hyperlink w:anchor="_Toc121339123" w:history="1">
            <w:r w:rsidR="0061256A" w:rsidRPr="00120F1A">
              <w:rPr>
                <w:rStyle w:val="Hyperlink"/>
              </w:rPr>
              <w:t>6.</w:t>
            </w:r>
            <w:r w:rsidR="0061256A">
              <w:rPr>
                <w:rFonts w:asciiTheme="minorHAnsi" w:hAnsiTheme="minorHAnsi" w:cstheme="minorBidi"/>
                <w:b w:val="0"/>
                <w:color w:val="auto"/>
                <w:sz w:val="22"/>
                <w:szCs w:val="22"/>
              </w:rPr>
              <w:tab/>
            </w:r>
            <w:r w:rsidR="0061256A" w:rsidRPr="00120F1A">
              <w:rPr>
                <w:rStyle w:val="Hyperlink"/>
              </w:rPr>
              <w:t>SEA Consultation Requirements</w:t>
            </w:r>
            <w:r w:rsidR="0061256A">
              <w:rPr>
                <w:webHidden/>
              </w:rPr>
              <w:tab/>
            </w:r>
            <w:r w:rsidR="0061256A">
              <w:rPr>
                <w:webHidden/>
              </w:rPr>
              <w:fldChar w:fldCharType="begin"/>
            </w:r>
            <w:r w:rsidR="0061256A">
              <w:rPr>
                <w:webHidden/>
              </w:rPr>
              <w:instrText xml:space="preserve"> PAGEREF _Toc121339123 \h </w:instrText>
            </w:r>
            <w:r w:rsidR="0061256A">
              <w:rPr>
                <w:webHidden/>
              </w:rPr>
            </w:r>
            <w:r w:rsidR="0061256A">
              <w:rPr>
                <w:webHidden/>
              </w:rPr>
              <w:fldChar w:fldCharType="separate"/>
            </w:r>
            <w:r w:rsidR="00C22A9E">
              <w:rPr>
                <w:webHidden/>
              </w:rPr>
              <w:t>39</w:t>
            </w:r>
            <w:r w:rsidR="0061256A">
              <w:rPr>
                <w:webHidden/>
              </w:rPr>
              <w:fldChar w:fldCharType="end"/>
            </w:r>
          </w:hyperlink>
        </w:p>
        <w:p w14:paraId="1584C1AB" w14:textId="33A6CBBC" w:rsidR="0061256A" w:rsidRDefault="00CD44C3">
          <w:pPr>
            <w:pStyle w:val="TOC2"/>
            <w:rPr>
              <w:rFonts w:asciiTheme="minorHAnsi" w:hAnsiTheme="minorHAnsi" w:cstheme="minorBidi"/>
              <w:color w:val="auto"/>
              <w:sz w:val="22"/>
              <w:szCs w:val="22"/>
            </w:rPr>
          </w:pPr>
          <w:hyperlink w:anchor="_Toc121339124" w:history="1">
            <w:r w:rsidR="0061256A" w:rsidRPr="00120F1A">
              <w:rPr>
                <w:rStyle w:val="Hyperlink"/>
              </w:rPr>
              <w:t>6.1.</w:t>
            </w:r>
            <w:r w:rsidR="0061256A">
              <w:rPr>
                <w:rFonts w:asciiTheme="minorHAnsi" w:hAnsiTheme="minorHAnsi" w:cstheme="minorBidi"/>
                <w:color w:val="auto"/>
                <w:sz w:val="22"/>
                <w:szCs w:val="22"/>
              </w:rPr>
              <w:tab/>
            </w:r>
            <w:r w:rsidR="0061256A" w:rsidRPr="00120F1A">
              <w:rPr>
                <w:rStyle w:val="Hyperlink"/>
              </w:rPr>
              <w:t>Feedback from SEA Consultation Authorities</w:t>
            </w:r>
            <w:r w:rsidR="0061256A">
              <w:rPr>
                <w:webHidden/>
              </w:rPr>
              <w:tab/>
            </w:r>
            <w:r w:rsidR="0061256A">
              <w:rPr>
                <w:webHidden/>
              </w:rPr>
              <w:fldChar w:fldCharType="begin"/>
            </w:r>
            <w:r w:rsidR="0061256A">
              <w:rPr>
                <w:webHidden/>
              </w:rPr>
              <w:instrText xml:space="preserve"> PAGEREF _Toc121339124 \h </w:instrText>
            </w:r>
            <w:r w:rsidR="0061256A">
              <w:rPr>
                <w:webHidden/>
              </w:rPr>
            </w:r>
            <w:r w:rsidR="0061256A">
              <w:rPr>
                <w:webHidden/>
              </w:rPr>
              <w:fldChar w:fldCharType="separate"/>
            </w:r>
            <w:r w:rsidR="00C22A9E">
              <w:rPr>
                <w:webHidden/>
              </w:rPr>
              <w:t>39</w:t>
            </w:r>
            <w:r w:rsidR="0061256A">
              <w:rPr>
                <w:webHidden/>
              </w:rPr>
              <w:fldChar w:fldCharType="end"/>
            </w:r>
          </w:hyperlink>
        </w:p>
        <w:p w14:paraId="21068C3F" w14:textId="34F9D52D" w:rsidR="0061256A" w:rsidRDefault="00CD44C3">
          <w:pPr>
            <w:pStyle w:val="TOC3"/>
            <w:tabs>
              <w:tab w:val="left" w:pos="1540"/>
            </w:tabs>
            <w:rPr>
              <w:rFonts w:asciiTheme="minorHAnsi" w:hAnsiTheme="minorHAnsi" w:cstheme="minorBidi"/>
              <w:i w:val="0"/>
              <w:color w:val="auto"/>
              <w:sz w:val="22"/>
              <w:szCs w:val="22"/>
            </w:rPr>
          </w:pPr>
          <w:hyperlink w:anchor="_Toc121339125" w:history="1">
            <w:r w:rsidR="0061256A" w:rsidRPr="00120F1A">
              <w:rPr>
                <w:rStyle w:val="Hyperlink"/>
              </w:rPr>
              <w:t>6.1.1.</w:t>
            </w:r>
            <w:r w:rsidR="0061256A">
              <w:rPr>
                <w:rFonts w:asciiTheme="minorHAnsi" w:hAnsiTheme="minorHAnsi" w:cstheme="minorBidi"/>
                <w:i w:val="0"/>
                <w:color w:val="auto"/>
                <w:sz w:val="22"/>
                <w:szCs w:val="22"/>
              </w:rPr>
              <w:tab/>
            </w:r>
            <w:r w:rsidR="0061256A" w:rsidRPr="00120F1A">
              <w:rPr>
                <w:rStyle w:val="Hyperlink"/>
              </w:rPr>
              <w:t>SEA Scoping Report Feedback</w:t>
            </w:r>
            <w:r w:rsidR="0061256A">
              <w:rPr>
                <w:webHidden/>
              </w:rPr>
              <w:tab/>
            </w:r>
            <w:r w:rsidR="0061256A">
              <w:rPr>
                <w:webHidden/>
              </w:rPr>
              <w:fldChar w:fldCharType="begin"/>
            </w:r>
            <w:r w:rsidR="0061256A">
              <w:rPr>
                <w:webHidden/>
              </w:rPr>
              <w:instrText xml:space="preserve"> PAGEREF _Toc121339125 \h </w:instrText>
            </w:r>
            <w:r w:rsidR="0061256A">
              <w:rPr>
                <w:webHidden/>
              </w:rPr>
            </w:r>
            <w:r w:rsidR="0061256A">
              <w:rPr>
                <w:webHidden/>
              </w:rPr>
              <w:fldChar w:fldCharType="separate"/>
            </w:r>
            <w:r w:rsidR="00C22A9E">
              <w:rPr>
                <w:webHidden/>
              </w:rPr>
              <w:t>39</w:t>
            </w:r>
            <w:r w:rsidR="0061256A">
              <w:rPr>
                <w:webHidden/>
              </w:rPr>
              <w:fldChar w:fldCharType="end"/>
            </w:r>
          </w:hyperlink>
        </w:p>
        <w:p w14:paraId="133F1F89" w14:textId="4BDB7E43" w:rsidR="0061256A" w:rsidRDefault="00CD44C3">
          <w:pPr>
            <w:pStyle w:val="TOC3"/>
            <w:tabs>
              <w:tab w:val="left" w:pos="1540"/>
            </w:tabs>
            <w:rPr>
              <w:rFonts w:asciiTheme="minorHAnsi" w:hAnsiTheme="minorHAnsi" w:cstheme="minorBidi"/>
              <w:i w:val="0"/>
              <w:color w:val="auto"/>
              <w:sz w:val="22"/>
              <w:szCs w:val="22"/>
            </w:rPr>
          </w:pPr>
          <w:hyperlink w:anchor="_Toc121339126" w:history="1">
            <w:r w:rsidR="0061256A" w:rsidRPr="00120F1A">
              <w:rPr>
                <w:rStyle w:val="Hyperlink"/>
              </w:rPr>
              <w:t>6.1.2.</w:t>
            </w:r>
            <w:r w:rsidR="0061256A">
              <w:rPr>
                <w:rFonts w:asciiTheme="minorHAnsi" w:hAnsiTheme="minorHAnsi" w:cstheme="minorBidi"/>
                <w:i w:val="0"/>
                <w:color w:val="auto"/>
                <w:sz w:val="22"/>
                <w:szCs w:val="22"/>
              </w:rPr>
              <w:tab/>
            </w:r>
            <w:r w:rsidR="0061256A" w:rsidRPr="00120F1A">
              <w:rPr>
                <w:rStyle w:val="Hyperlink"/>
              </w:rPr>
              <w:t>SEA Progress Report Feedback</w:t>
            </w:r>
            <w:r w:rsidR="0061256A">
              <w:rPr>
                <w:webHidden/>
              </w:rPr>
              <w:tab/>
            </w:r>
            <w:r w:rsidR="0061256A">
              <w:rPr>
                <w:webHidden/>
              </w:rPr>
              <w:fldChar w:fldCharType="begin"/>
            </w:r>
            <w:r w:rsidR="0061256A">
              <w:rPr>
                <w:webHidden/>
              </w:rPr>
              <w:instrText xml:space="preserve"> PAGEREF _Toc121339126 \h </w:instrText>
            </w:r>
            <w:r w:rsidR="0061256A">
              <w:rPr>
                <w:webHidden/>
              </w:rPr>
            </w:r>
            <w:r w:rsidR="0061256A">
              <w:rPr>
                <w:webHidden/>
              </w:rPr>
              <w:fldChar w:fldCharType="separate"/>
            </w:r>
            <w:r w:rsidR="00C22A9E">
              <w:rPr>
                <w:webHidden/>
              </w:rPr>
              <w:t>41</w:t>
            </w:r>
            <w:r w:rsidR="0061256A">
              <w:rPr>
                <w:webHidden/>
              </w:rPr>
              <w:fldChar w:fldCharType="end"/>
            </w:r>
          </w:hyperlink>
        </w:p>
        <w:p w14:paraId="77A98BA8" w14:textId="73C10D97" w:rsidR="0061256A" w:rsidRDefault="00CD44C3">
          <w:pPr>
            <w:pStyle w:val="TOC3"/>
            <w:tabs>
              <w:tab w:val="left" w:pos="1540"/>
            </w:tabs>
            <w:rPr>
              <w:rFonts w:asciiTheme="minorHAnsi" w:hAnsiTheme="minorHAnsi" w:cstheme="minorBidi"/>
              <w:i w:val="0"/>
              <w:color w:val="auto"/>
              <w:sz w:val="22"/>
              <w:szCs w:val="22"/>
            </w:rPr>
          </w:pPr>
          <w:hyperlink w:anchor="_Toc121339127" w:history="1">
            <w:r w:rsidR="0061256A" w:rsidRPr="00120F1A">
              <w:rPr>
                <w:rStyle w:val="Hyperlink"/>
              </w:rPr>
              <w:t>6.1.3.</w:t>
            </w:r>
            <w:r w:rsidR="0061256A">
              <w:rPr>
                <w:rFonts w:asciiTheme="minorHAnsi" w:hAnsiTheme="minorHAnsi" w:cstheme="minorBidi"/>
                <w:i w:val="0"/>
                <w:color w:val="auto"/>
                <w:sz w:val="22"/>
                <w:szCs w:val="22"/>
              </w:rPr>
              <w:tab/>
            </w:r>
            <w:r w:rsidR="0061256A" w:rsidRPr="00120F1A">
              <w:rPr>
                <w:rStyle w:val="Hyperlink"/>
              </w:rPr>
              <w:t>SEA Draft Environmental Report Feedback</w:t>
            </w:r>
            <w:r w:rsidR="0061256A">
              <w:rPr>
                <w:webHidden/>
              </w:rPr>
              <w:tab/>
            </w:r>
            <w:r w:rsidR="0061256A">
              <w:rPr>
                <w:webHidden/>
              </w:rPr>
              <w:fldChar w:fldCharType="begin"/>
            </w:r>
            <w:r w:rsidR="0061256A">
              <w:rPr>
                <w:webHidden/>
              </w:rPr>
              <w:instrText xml:space="preserve"> PAGEREF _Toc121339127 \h </w:instrText>
            </w:r>
            <w:r w:rsidR="0061256A">
              <w:rPr>
                <w:webHidden/>
              </w:rPr>
            </w:r>
            <w:r w:rsidR="0061256A">
              <w:rPr>
                <w:webHidden/>
              </w:rPr>
              <w:fldChar w:fldCharType="separate"/>
            </w:r>
            <w:r w:rsidR="00C22A9E">
              <w:rPr>
                <w:webHidden/>
              </w:rPr>
              <w:t>42</w:t>
            </w:r>
            <w:r w:rsidR="0061256A">
              <w:rPr>
                <w:webHidden/>
              </w:rPr>
              <w:fldChar w:fldCharType="end"/>
            </w:r>
          </w:hyperlink>
        </w:p>
        <w:p w14:paraId="3E5F9169" w14:textId="5ACE1D52" w:rsidR="0061256A" w:rsidRDefault="00CD44C3">
          <w:pPr>
            <w:pStyle w:val="TOC2"/>
            <w:rPr>
              <w:rFonts w:asciiTheme="minorHAnsi" w:hAnsiTheme="minorHAnsi" w:cstheme="minorBidi"/>
              <w:color w:val="auto"/>
              <w:sz w:val="22"/>
              <w:szCs w:val="22"/>
            </w:rPr>
          </w:pPr>
          <w:hyperlink w:anchor="_Toc121339128" w:history="1">
            <w:r w:rsidR="0061256A" w:rsidRPr="00120F1A">
              <w:rPr>
                <w:rStyle w:val="Hyperlink"/>
              </w:rPr>
              <w:t>6.2.</w:t>
            </w:r>
            <w:r w:rsidR="0061256A">
              <w:rPr>
                <w:rFonts w:asciiTheme="minorHAnsi" w:hAnsiTheme="minorHAnsi" w:cstheme="minorBidi"/>
                <w:color w:val="auto"/>
                <w:sz w:val="22"/>
                <w:szCs w:val="22"/>
              </w:rPr>
              <w:tab/>
            </w:r>
            <w:r w:rsidR="0061256A" w:rsidRPr="00120F1A">
              <w:rPr>
                <w:rStyle w:val="Hyperlink"/>
              </w:rPr>
              <w:t>SEA Workshops</w:t>
            </w:r>
            <w:r w:rsidR="0061256A">
              <w:rPr>
                <w:webHidden/>
              </w:rPr>
              <w:tab/>
            </w:r>
            <w:r w:rsidR="0061256A">
              <w:rPr>
                <w:webHidden/>
              </w:rPr>
              <w:fldChar w:fldCharType="begin"/>
            </w:r>
            <w:r w:rsidR="0061256A">
              <w:rPr>
                <w:webHidden/>
              </w:rPr>
              <w:instrText xml:space="preserve"> PAGEREF _Toc121339128 \h </w:instrText>
            </w:r>
            <w:r w:rsidR="0061256A">
              <w:rPr>
                <w:webHidden/>
              </w:rPr>
            </w:r>
            <w:r w:rsidR="0061256A">
              <w:rPr>
                <w:webHidden/>
              </w:rPr>
              <w:fldChar w:fldCharType="separate"/>
            </w:r>
            <w:r w:rsidR="00C22A9E">
              <w:rPr>
                <w:webHidden/>
              </w:rPr>
              <w:t>43</w:t>
            </w:r>
            <w:r w:rsidR="0061256A">
              <w:rPr>
                <w:webHidden/>
              </w:rPr>
              <w:fldChar w:fldCharType="end"/>
            </w:r>
          </w:hyperlink>
        </w:p>
        <w:p w14:paraId="735A39D7" w14:textId="47F5D6D3" w:rsidR="0061256A" w:rsidRDefault="00CD44C3">
          <w:pPr>
            <w:pStyle w:val="TOC1"/>
            <w:rPr>
              <w:rFonts w:asciiTheme="minorHAnsi" w:hAnsiTheme="minorHAnsi" w:cstheme="minorBidi"/>
              <w:b w:val="0"/>
              <w:color w:val="auto"/>
              <w:sz w:val="22"/>
              <w:szCs w:val="22"/>
            </w:rPr>
          </w:pPr>
          <w:hyperlink w:anchor="_Toc121339129" w:history="1">
            <w:r w:rsidR="0061256A" w:rsidRPr="00120F1A">
              <w:rPr>
                <w:rStyle w:val="Hyperlink"/>
              </w:rPr>
              <w:t>7.</w:t>
            </w:r>
            <w:r w:rsidR="0061256A">
              <w:rPr>
                <w:rFonts w:asciiTheme="minorHAnsi" w:hAnsiTheme="minorHAnsi" w:cstheme="minorBidi"/>
                <w:b w:val="0"/>
                <w:color w:val="auto"/>
                <w:sz w:val="22"/>
                <w:szCs w:val="22"/>
              </w:rPr>
              <w:tab/>
            </w:r>
            <w:r w:rsidR="0061256A" w:rsidRPr="00120F1A">
              <w:rPr>
                <w:rStyle w:val="Hyperlink"/>
              </w:rPr>
              <w:t>The Approach to the Assessment</w:t>
            </w:r>
            <w:r w:rsidR="0061256A">
              <w:rPr>
                <w:webHidden/>
              </w:rPr>
              <w:tab/>
            </w:r>
            <w:r w:rsidR="0061256A">
              <w:rPr>
                <w:webHidden/>
              </w:rPr>
              <w:fldChar w:fldCharType="begin"/>
            </w:r>
            <w:r w:rsidR="0061256A">
              <w:rPr>
                <w:webHidden/>
              </w:rPr>
              <w:instrText xml:space="preserve"> PAGEREF _Toc121339129 \h </w:instrText>
            </w:r>
            <w:r w:rsidR="0061256A">
              <w:rPr>
                <w:webHidden/>
              </w:rPr>
            </w:r>
            <w:r w:rsidR="0061256A">
              <w:rPr>
                <w:webHidden/>
              </w:rPr>
              <w:fldChar w:fldCharType="separate"/>
            </w:r>
            <w:r w:rsidR="00C22A9E">
              <w:rPr>
                <w:webHidden/>
              </w:rPr>
              <w:t>45</w:t>
            </w:r>
            <w:r w:rsidR="0061256A">
              <w:rPr>
                <w:webHidden/>
              </w:rPr>
              <w:fldChar w:fldCharType="end"/>
            </w:r>
          </w:hyperlink>
        </w:p>
        <w:p w14:paraId="6769DEFF" w14:textId="3E2B6529" w:rsidR="0061256A" w:rsidRDefault="00CD44C3">
          <w:pPr>
            <w:pStyle w:val="TOC2"/>
            <w:rPr>
              <w:rFonts w:asciiTheme="minorHAnsi" w:hAnsiTheme="minorHAnsi" w:cstheme="minorBidi"/>
              <w:color w:val="auto"/>
              <w:sz w:val="22"/>
              <w:szCs w:val="22"/>
            </w:rPr>
          </w:pPr>
          <w:hyperlink w:anchor="_Toc121339130" w:history="1">
            <w:r w:rsidR="0061256A" w:rsidRPr="00120F1A">
              <w:rPr>
                <w:rStyle w:val="Hyperlink"/>
              </w:rPr>
              <w:t>7.1.</w:t>
            </w:r>
            <w:r w:rsidR="0061256A">
              <w:rPr>
                <w:rFonts w:asciiTheme="minorHAnsi" w:hAnsiTheme="minorHAnsi" w:cstheme="minorBidi"/>
                <w:color w:val="auto"/>
                <w:sz w:val="22"/>
                <w:szCs w:val="22"/>
              </w:rPr>
              <w:tab/>
            </w:r>
            <w:r w:rsidR="0061256A" w:rsidRPr="00120F1A">
              <w:rPr>
                <w:rStyle w:val="Hyperlink"/>
              </w:rPr>
              <w:t>Assessment Overview</w:t>
            </w:r>
            <w:r w:rsidR="0061256A">
              <w:rPr>
                <w:webHidden/>
              </w:rPr>
              <w:tab/>
            </w:r>
            <w:r w:rsidR="0061256A">
              <w:rPr>
                <w:webHidden/>
              </w:rPr>
              <w:fldChar w:fldCharType="begin"/>
            </w:r>
            <w:r w:rsidR="0061256A">
              <w:rPr>
                <w:webHidden/>
              </w:rPr>
              <w:instrText xml:space="preserve"> PAGEREF _Toc121339130 \h </w:instrText>
            </w:r>
            <w:r w:rsidR="0061256A">
              <w:rPr>
                <w:webHidden/>
              </w:rPr>
            </w:r>
            <w:r w:rsidR="0061256A">
              <w:rPr>
                <w:webHidden/>
              </w:rPr>
              <w:fldChar w:fldCharType="separate"/>
            </w:r>
            <w:r w:rsidR="00C22A9E">
              <w:rPr>
                <w:webHidden/>
              </w:rPr>
              <w:t>45</w:t>
            </w:r>
            <w:r w:rsidR="0061256A">
              <w:rPr>
                <w:webHidden/>
              </w:rPr>
              <w:fldChar w:fldCharType="end"/>
            </w:r>
          </w:hyperlink>
        </w:p>
        <w:p w14:paraId="639CBA12" w14:textId="76277F52" w:rsidR="0061256A" w:rsidRDefault="00CD44C3">
          <w:pPr>
            <w:pStyle w:val="TOC2"/>
            <w:rPr>
              <w:rFonts w:asciiTheme="minorHAnsi" w:hAnsiTheme="minorHAnsi" w:cstheme="minorBidi"/>
              <w:color w:val="auto"/>
              <w:sz w:val="22"/>
              <w:szCs w:val="22"/>
            </w:rPr>
          </w:pPr>
          <w:hyperlink w:anchor="_Toc121339131" w:history="1">
            <w:r w:rsidR="0061256A" w:rsidRPr="00120F1A">
              <w:rPr>
                <w:rStyle w:val="Hyperlink"/>
              </w:rPr>
              <w:t>7.2.</w:t>
            </w:r>
            <w:r w:rsidR="0061256A">
              <w:rPr>
                <w:rFonts w:asciiTheme="minorHAnsi" w:hAnsiTheme="minorHAnsi" w:cstheme="minorBidi"/>
                <w:color w:val="auto"/>
                <w:sz w:val="22"/>
                <w:szCs w:val="22"/>
              </w:rPr>
              <w:tab/>
            </w:r>
            <w:r w:rsidR="0061256A" w:rsidRPr="00120F1A">
              <w:rPr>
                <w:rStyle w:val="Hyperlink"/>
              </w:rPr>
              <w:t>Scope of Assessment</w:t>
            </w:r>
            <w:r w:rsidR="0061256A">
              <w:rPr>
                <w:webHidden/>
              </w:rPr>
              <w:tab/>
            </w:r>
            <w:r w:rsidR="0061256A">
              <w:rPr>
                <w:webHidden/>
              </w:rPr>
              <w:fldChar w:fldCharType="begin"/>
            </w:r>
            <w:r w:rsidR="0061256A">
              <w:rPr>
                <w:webHidden/>
              </w:rPr>
              <w:instrText xml:space="preserve"> PAGEREF _Toc121339131 \h </w:instrText>
            </w:r>
            <w:r w:rsidR="0061256A">
              <w:rPr>
                <w:webHidden/>
              </w:rPr>
            </w:r>
            <w:r w:rsidR="0061256A">
              <w:rPr>
                <w:webHidden/>
              </w:rPr>
              <w:fldChar w:fldCharType="separate"/>
            </w:r>
            <w:r w:rsidR="00C22A9E">
              <w:rPr>
                <w:webHidden/>
              </w:rPr>
              <w:t>45</w:t>
            </w:r>
            <w:r w:rsidR="0061256A">
              <w:rPr>
                <w:webHidden/>
              </w:rPr>
              <w:fldChar w:fldCharType="end"/>
            </w:r>
          </w:hyperlink>
        </w:p>
        <w:p w14:paraId="0E9B31CA" w14:textId="627CC3EA" w:rsidR="0061256A" w:rsidRDefault="00CD44C3">
          <w:pPr>
            <w:pStyle w:val="TOC2"/>
            <w:rPr>
              <w:rFonts w:asciiTheme="minorHAnsi" w:hAnsiTheme="minorHAnsi" w:cstheme="minorBidi"/>
              <w:color w:val="auto"/>
              <w:sz w:val="22"/>
              <w:szCs w:val="22"/>
            </w:rPr>
          </w:pPr>
          <w:hyperlink w:anchor="_Toc121339132" w:history="1">
            <w:r w:rsidR="0061256A" w:rsidRPr="00120F1A">
              <w:rPr>
                <w:rStyle w:val="Hyperlink"/>
              </w:rPr>
              <w:t>7.3.</w:t>
            </w:r>
            <w:r w:rsidR="0061256A">
              <w:rPr>
                <w:rFonts w:asciiTheme="minorHAnsi" w:hAnsiTheme="minorHAnsi" w:cstheme="minorBidi"/>
                <w:color w:val="auto"/>
                <w:sz w:val="22"/>
                <w:szCs w:val="22"/>
              </w:rPr>
              <w:tab/>
            </w:r>
            <w:r w:rsidR="0061256A" w:rsidRPr="00120F1A">
              <w:rPr>
                <w:rStyle w:val="Hyperlink"/>
              </w:rPr>
              <w:t>SEA Objectives and Assessment Guide Questions</w:t>
            </w:r>
            <w:r w:rsidR="0061256A">
              <w:rPr>
                <w:webHidden/>
              </w:rPr>
              <w:tab/>
            </w:r>
            <w:r w:rsidR="0061256A">
              <w:rPr>
                <w:webHidden/>
              </w:rPr>
              <w:fldChar w:fldCharType="begin"/>
            </w:r>
            <w:r w:rsidR="0061256A">
              <w:rPr>
                <w:webHidden/>
              </w:rPr>
              <w:instrText xml:space="preserve"> PAGEREF _Toc121339132 \h </w:instrText>
            </w:r>
            <w:r w:rsidR="0061256A">
              <w:rPr>
                <w:webHidden/>
              </w:rPr>
            </w:r>
            <w:r w:rsidR="0061256A">
              <w:rPr>
                <w:webHidden/>
              </w:rPr>
              <w:fldChar w:fldCharType="separate"/>
            </w:r>
            <w:r w:rsidR="00C22A9E">
              <w:rPr>
                <w:webHidden/>
              </w:rPr>
              <w:t>48</w:t>
            </w:r>
            <w:r w:rsidR="0061256A">
              <w:rPr>
                <w:webHidden/>
              </w:rPr>
              <w:fldChar w:fldCharType="end"/>
            </w:r>
          </w:hyperlink>
        </w:p>
        <w:p w14:paraId="72D1BF69" w14:textId="064E8739" w:rsidR="0061256A" w:rsidRDefault="00CD44C3">
          <w:pPr>
            <w:pStyle w:val="TOC2"/>
            <w:rPr>
              <w:rFonts w:asciiTheme="minorHAnsi" w:hAnsiTheme="minorHAnsi" w:cstheme="minorBidi"/>
              <w:color w:val="auto"/>
              <w:sz w:val="22"/>
              <w:szCs w:val="22"/>
            </w:rPr>
          </w:pPr>
          <w:hyperlink w:anchor="_Toc121339133" w:history="1">
            <w:r w:rsidR="0061256A" w:rsidRPr="00120F1A">
              <w:rPr>
                <w:rStyle w:val="Hyperlink"/>
              </w:rPr>
              <w:t>7.4.</w:t>
            </w:r>
            <w:r w:rsidR="0061256A">
              <w:rPr>
                <w:rFonts w:asciiTheme="minorHAnsi" w:hAnsiTheme="minorHAnsi" w:cstheme="minorBidi"/>
                <w:color w:val="auto"/>
                <w:sz w:val="22"/>
                <w:szCs w:val="22"/>
              </w:rPr>
              <w:tab/>
            </w:r>
            <w:r w:rsidR="0061256A" w:rsidRPr="00120F1A">
              <w:rPr>
                <w:rStyle w:val="Hyperlink"/>
              </w:rPr>
              <w:t>Consideration of Reasonable Alternatives</w:t>
            </w:r>
            <w:r w:rsidR="0061256A">
              <w:rPr>
                <w:webHidden/>
              </w:rPr>
              <w:tab/>
            </w:r>
            <w:r w:rsidR="0061256A">
              <w:rPr>
                <w:webHidden/>
              </w:rPr>
              <w:fldChar w:fldCharType="begin"/>
            </w:r>
            <w:r w:rsidR="0061256A">
              <w:rPr>
                <w:webHidden/>
              </w:rPr>
              <w:instrText xml:space="preserve"> PAGEREF _Toc121339133 \h </w:instrText>
            </w:r>
            <w:r w:rsidR="0061256A">
              <w:rPr>
                <w:webHidden/>
              </w:rPr>
            </w:r>
            <w:r w:rsidR="0061256A">
              <w:rPr>
                <w:webHidden/>
              </w:rPr>
              <w:fldChar w:fldCharType="separate"/>
            </w:r>
            <w:r w:rsidR="00C22A9E">
              <w:rPr>
                <w:webHidden/>
              </w:rPr>
              <w:t>59</w:t>
            </w:r>
            <w:r w:rsidR="0061256A">
              <w:rPr>
                <w:webHidden/>
              </w:rPr>
              <w:fldChar w:fldCharType="end"/>
            </w:r>
          </w:hyperlink>
        </w:p>
        <w:p w14:paraId="73A925B7" w14:textId="3E13501A" w:rsidR="0061256A" w:rsidRDefault="00CD44C3">
          <w:pPr>
            <w:pStyle w:val="TOC2"/>
            <w:rPr>
              <w:rFonts w:asciiTheme="minorHAnsi" w:hAnsiTheme="minorHAnsi" w:cstheme="minorBidi"/>
              <w:color w:val="auto"/>
              <w:sz w:val="22"/>
              <w:szCs w:val="22"/>
            </w:rPr>
          </w:pPr>
          <w:hyperlink w:anchor="_Toc121339134" w:history="1">
            <w:r w:rsidR="0061256A" w:rsidRPr="00120F1A">
              <w:rPr>
                <w:rStyle w:val="Hyperlink"/>
              </w:rPr>
              <w:t>7.5.</w:t>
            </w:r>
            <w:r w:rsidR="0061256A">
              <w:rPr>
                <w:rFonts w:asciiTheme="minorHAnsi" w:hAnsiTheme="minorHAnsi" w:cstheme="minorBidi"/>
                <w:color w:val="auto"/>
                <w:sz w:val="22"/>
                <w:szCs w:val="22"/>
              </w:rPr>
              <w:tab/>
            </w:r>
            <w:r w:rsidR="0061256A" w:rsidRPr="00120F1A">
              <w:rPr>
                <w:rStyle w:val="Hyperlink"/>
              </w:rPr>
              <w:t>Stages of Assessment</w:t>
            </w:r>
            <w:r w:rsidR="0061256A">
              <w:rPr>
                <w:webHidden/>
              </w:rPr>
              <w:tab/>
            </w:r>
            <w:r w:rsidR="0061256A">
              <w:rPr>
                <w:webHidden/>
              </w:rPr>
              <w:fldChar w:fldCharType="begin"/>
            </w:r>
            <w:r w:rsidR="0061256A">
              <w:rPr>
                <w:webHidden/>
              </w:rPr>
              <w:instrText xml:space="preserve"> PAGEREF _Toc121339134 \h </w:instrText>
            </w:r>
            <w:r w:rsidR="0061256A">
              <w:rPr>
                <w:webHidden/>
              </w:rPr>
            </w:r>
            <w:r w:rsidR="0061256A">
              <w:rPr>
                <w:webHidden/>
              </w:rPr>
              <w:fldChar w:fldCharType="separate"/>
            </w:r>
            <w:r w:rsidR="00C22A9E">
              <w:rPr>
                <w:webHidden/>
              </w:rPr>
              <w:t>59</w:t>
            </w:r>
            <w:r w:rsidR="0061256A">
              <w:rPr>
                <w:webHidden/>
              </w:rPr>
              <w:fldChar w:fldCharType="end"/>
            </w:r>
          </w:hyperlink>
        </w:p>
        <w:p w14:paraId="3B18C003" w14:textId="1B3F9B03" w:rsidR="0061256A" w:rsidRDefault="00CD44C3">
          <w:pPr>
            <w:pStyle w:val="TOC2"/>
            <w:rPr>
              <w:rFonts w:asciiTheme="minorHAnsi" w:hAnsiTheme="minorHAnsi" w:cstheme="minorBidi"/>
              <w:color w:val="auto"/>
              <w:sz w:val="22"/>
              <w:szCs w:val="22"/>
            </w:rPr>
          </w:pPr>
          <w:hyperlink w:anchor="_Toc121339135" w:history="1">
            <w:r w:rsidR="0061256A" w:rsidRPr="00120F1A">
              <w:rPr>
                <w:rStyle w:val="Hyperlink"/>
              </w:rPr>
              <w:t>7.6.</w:t>
            </w:r>
            <w:r w:rsidR="0061256A">
              <w:rPr>
                <w:rFonts w:asciiTheme="minorHAnsi" w:hAnsiTheme="minorHAnsi" w:cstheme="minorBidi"/>
                <w:color w:val="auto"/>
                <w:sz w:val="22"/>
                <w:szCs w:val="22"/>
              </w:rPr>
              <w:tab/>
            </w:r>
            <w:r w:rsidR="0061256A" w:rsidRPr="00120F1A">
              <w:rPr>
                <w:rStyle w:val="Hyperlink"/>
              </w:rPr>
              <w:t>Matrix Approach</w:t>
            </w:r>
            <w:r w:rsidR="0061256A">
              <w:rPr>
                <w:webHidden/>
              </w:rPr>
              <w:tab/>
            </w:r>
            <w:r w:rsidR="0061256A">
              <w:rPr>
                <w:webHidden/>
              </w:rPr>
              <w:fldChar w:fldCharType="begin"/>
            </w:r>
            <w:r w:rsidR="0061256A">
              <w:rPr>
                <w:webHidden/>
              </w:rPr>
              <w:instrText xml:space="preserve"> PAGEREF _Toc121339135 \h </w:instrText>
            </w:r>
            <w:r w:rsidR="0061256A">
              <w:rPr>
                <w:webHidden/>
              </w:rPr>
            </w:r>
            <w:r w:rsidR="0061256A">
              <w:rPr>
                <w:webHidden/>
              </w:rPr>
              <w:fldChar w:fldCharType="separate"/>
            </w:r>
            <w:r w:rsidR="00C22A9E">
              <w:rPr>
                <w:webHidden/>
              </w:rPr>
              <w:t>62</w:t>
            </w:r>
            <w:r w:rsidR="0061256A">
              <w:rPr>
                <w:webHidden/>
              </w:rPr>
              <w:fldChar w:fldCharType="end"/>
            </w:r>
          </w:hyperlink>
        </w:p>
        <w:p w14:paraId="3F8B0789" w14:textId="66A736E6" w:rsidR="0061256A" w:rsidRDefault="00CD44C3">
          <w:pPr>
            <w:pStyle w:val="TOC2"/>
            <w:rPr>
              <w:rFonts w:asciiTheme="minorHAnsi" w:hAnsiTheme="minorHAnsi" w:cstheme="minorBidi"/>
              <w:color w:val="auto"/>
              <w:sz w:val="22"/>
              <w:szCs w:val="22"/>
            </w:rPr>
          </w:pPr>
          <w:hyperlink w:anchor="_Toc121339136" w:history="1">
            <w:r w:rsidR="0061256A" w:rsidRPr="00120F1A">
              <w:rPr>
                <w:rStyle w:val="Hyperlink"/>
              </w:rPr>
              <w:t>7.7.</w:t>
            </w:r>
            <w:r w:rsidR="0061256A">
              <w:rPr>
                <w:rFonts w:asciiTheme="minorHAnsi" w:hAnsiTheme="minorHAnsi" w:cstheme="minorBidi"/>
                <w:color w:val="auto"/>
                <w:sz w:val="22"/>
                <w:szCs w:val="22"/>
              </w:rPr>
              <w:tab/>
            </w:r>
            <w:r w:rsidR="0061256A" w:rsidRPr="00120F1A">
              <w:rPr>
                <w:rStyle w:val="Hyperlink"/>
              </w:rPr>
              <w:t>GIS Mapping</w:t>
            </w:r>
            <w:r w:rsidR="0061256A">
              <w:rPr>
                <w:webHidden/>
              </w:rPr>
              <w:tab/>
            </w:r>
            <w:r w:rsidR="0061256A">
              <w:rPr>
                <w:webHidden/>
              </w:rPr>
              <w:fldChar w:fldCharType="begin"/>
            </w:r>
            <w:r w:rsidR="0061256A">
              <w:rPr>
                <w:webHidden/>
              </w:rPr>
              <w:instrText xml:space="preserve"> PAGEREF _Toc121339136 \h </w:instrText>
            </w:r>
            <w:r w:rsidR="0061256A">
              <w:rPr>
                <w:webHidden/>
              </w:rPr>
            </w:r>
            <w:r w:rsidR="0061256A">
              <w:rPr>
                <w:webHidden/>
              </w:rPr>
              <w:fldChar w:fldCharType="separate"/>
            </w:r>
            <w:r w:rsidR="00C22A9E">
              <w:rPr>
                <w:webHidden/>
              </w:rPr>
              <w:t>63</w:t>
            </w:r>
            <w:r w:rsidR="0061256A">
              <w:rPr>
                <w:webHidden/>
              </w:rPr>
              <w:fldChar w:fldCharType="end"/>
            </w:r>
          </w:hyperlink>
        </w:p>
        <w:p w14:paraId="53ACE172" w14:textId="5BE094AB" w:rsidR="0061256A" w:rsidRDefault="00CD44C3">
          <w:pPr>
            <w:pStyle w:val="TOC2"/>
            <w:rPr>
              <w:rFonts w:asciiTheme="minorHAnsi" w:hAnsiTheme="minorHAnsi" w:cstheme="minorBidi"/>
              <w:color w:val="auto"/>
              <w:sz w:val="22"/>
              <w:szCs w:val="22"/>
            </w:rPr>
          </w:pPr>
          <w:hyperlink w:anchor="_Toc121339137" w:history="1">
            <w:r w:rsidR="0061256A" w:rsidRPr="00120F1A">
              <w:rPr>
                <w:rStyle w:val="Hyperlink"/>
              </w:rPr>
              <w:t>7.8.</w:t>
            </w:r>
            <w:r w:rsidR="0061256A">
              <w:rPr>
                <w:rFonts w:asciiTheme="minorHAnsi" w:hAnsiTheme="minorHAnsi" w:cstheme="minorBidi"/>
                <w:color w:val="auto"/>
                <w:sz w:val="22"/>
                <w:szCs w:val="22"/>
              </w:rPr>
              <w:tab/>
            </w:r>
            <w:r w:rsidR="0061256A" w:rsidRPr="00120F1A">
              <w:rPr>
                <w:rStyle w:val="Hyperlink"/>
              </w:rPr>
              <w:t>Cumulative Effects Assessment</w:t>
            </w:r>
            <w:r w:rsidR="0061256A">
              <w:rPr>
                <w:webHidden/>
              </w:rPr>
              <w:tab/>
            </w:r>
            <w:r w:rsidR="0061256A">
              <w:rPr>
                <w:webHidden/>
              </w:rPr>
              <w:fldChar w:fldCharType="begin"/>
            </w:r>
            <w:r w:rsidR="0061256A">
              <w:rPr>
                <w:webHidden/>
              </w:rPr>
              <w:instrText xml:space="preserve"> PAGEREF _Toc121339137 \h </w:instrText>
            </w:r>
            <w:r w:rsidR="0061256A">
              <w:rPr>
                <w:webHidden/>
              </w:rPr>
            </w:r>
            <w:r w:rsidR="0061256A">
              <w:rPr>
                <w:webHidden/>
              </w:rPr>
              <w:fldChar w:fldCharType="separate"/>
            </w:r>
            <w:r w:rsidR="00C22A9E">
              <w:rPr>
                <w:webHidden/>
              </w:rPr>
              <w:t>64</w:t>
            </w:r>
            <w:r w:rsidR="0061256A">
              <w:rPr>
                <w:webHidden/>
              </w:rPr>
              <w:fldChar w:fldCharType="end"/>
            </w:r>
          </w:hyperlink>
        </w:p>
        <w:p w14:paraId="2A51A19D" w14:textId="0A07A010" w:rsidR="0061256A" w:rsidRDefault="00CD44C3">
          <w:pPr>
            <w:pStyle w:val="TOC2"/>
            <w:rPr>
              <w:rFonts w:asciiTheme="minorHAnsi" w:hAnsiTheme="minorHAnsi" w:cstheme="minorBidi"/>
              <w:color w:val="auto"/>
              <w:sz w:val="22"/>
              <w:szCs w:val="22"/>
            </w:rPr>
          </w:pPr>
          <w:hyperlink w:anchor="_Toc121339138" w:history="1">
            <w:r w:rsidR="0061256A" w:rsidRPr="00120F1A">
              <w:rPr>
                <w:rStyle w:val="Hyperlink"/>
              </w:rPr>
              <w:t>7.9.</w:t>
            </w:r>
            <w:r w:rsidR="0061256A">
              <w:rPr>
                <w:rFonts w:asciiTheme="minorHAnsi" w:hAnsiTheme="minorHAnsi" w:cstheme="minorBidi"/>
                <w:color w:val="auto"/>
                <w:sz w:val="22"/>
                <w:szCs w:val="22"/>
              </w:rPr>
              <w:tab/>
            </w:r>
            <w:r w:rsidR="0061256A" w:rsidRPr="00120F1A">
              <w:rPr>
                <w:rStyle w:val="Hyperlink"/>
              </w:rPr>
              <w:t>Climatic Factors and Carbon Assessment Approach</w:t>
            </w:r>
            <w:r w:rsidR="0061256A">
              <w:rPr>
                <w:webHidden/>
              </w:rPr>
              <w:tab/>
            </w:r>
            <w:r w:rsidR="0061256A">
              <w:rPr>
                <w:webHidden/>
              </w:rPr>
              <w:fldChar w:fldCharType="begin"/>
            </w:r>
            <w:r w:rsidR="0061256A">
              <w:rPr>
                <w:webHidden/>
              </w:rPr>
              <w:instrText xml:space="preserve"> PAGEREF _Toc121339138 \h </w:instrText>
            </w:r>
            <w:r w:rsidR="0061256A">
              <w:rPr>
                <w:webHidden/>
              </w:rPr>
            </w:r>
            <w:r w:rsidR="0061256A">
              <w:rPr>
                <w:webHidden/>
              </w:rPr>
              <w:fldChar w:fldCharType="separate"/>
            </w:r>
            <w:r w:rsidR="00C22A9E">
              <w:rPr>
                <w:webHidden/>
              </w:rPr>
              <w:t>65</w:t>
            </w:r>
            <w:r w:rsidR="0061256A">
              <w:rPr>
                <w:webHidden/>
              </w:rPr>
              <w:fldChar w:fldCharType="end"/>
            </w:r>
          </w:hyperlink>
        </w:p>
        <w:p w14:paraId="18B1DDA7" w14:textId="0C6134D6" w:rsidR="0061256A" w:rsidRDefault="00CD44C3">
          <w:pPr>
            <w:pStyle w:val="TOC2"/>
            <w:rPr>
              <w:rFonts w:asciiTheme="minorHAnsi" w:hAnsiTheme="minorHAnsi" w:cstheme="minorBidi"/>
              <w:color w:val="auto"/>
              <w:sz w:val="22"/>
              <w:szCs w:val="22"/>
            </w:rPr>
          </w:pPr>
          <w:hyperlink w:anchor="_Toc121339139" w:history="1">
            <w:r w:rsidR="0061256A" w:rsidRPr="00120F1A">
              <w:rPr>
                <w:rStyle w:val="Hyperlink"/>
              </w:rPr>
              <w:t>7.10.</w:t>
            </w:r>
            <w:r w:rsidR="0061256A">
              <w:rPr>
                <w:rFonts w:asciiTheme="minorHAnsi" w:hAnsiTheme="minorHAnsi" w:cstheme="minorBidi"/>
                <w:color w:val="auto"/>
                <w:sz w:val="22"/>
                <w:szCs w:val="22"/>
              </w:rPr>
              <w:tab/>
            </w:r>
            <w:r w:rsidR="0061256A" w:rsidRPr="00120F1A">
              <w:rPr>
                <w:rStyle w:val="Hyperlink"/>
              </w:rPr>
              <w:t>Carbon Modelling</w:t>
            </w:r>
            <w:r w:rsidR="0061256A">
              <w:rPr>
                <w:webHidden/>
              </w:rPr>
              <w:tab/>
            </w:r>
            <w:r w:rsidR="0061256A">
              <w:rPr>
                <w:webHidden/>
              </w:rPr>
              <w:fldChar w:fldCharType="begin"/>
            </w:r>
            <w:r w:rsidR="0061256A">
              <w:rPr>
                <w:webHidden/>
              </w:rPr>
              <w:instrText xml:space="preserve"> PAGEREF _Toc121339139 \h </w:instrText>
            </w:r>
            <w:r w:rsidR="0061256A">
              <w:rPr>
                <w:webHidden/>
              </w:rPr>
            </w:r>
            <w:r w:rsidR="0061256A">
              <w:rPr>
                <w:webHidden/>
              </w:rPr>
              <w:fldChar w:fldCharType="separate"/>
            </w:r>
            <w:r w:rsidR="00C22A9E">
              <w:rPr>
                <w:webHidden/>
              </w:rPr>
              <w:t>65</w:t>
            </w:r>
            <w:r w:rsidR="0061256A">
              <w:rPr>
                <w:webHidden/>
              </w:rPr>
              <w:fldChar w:fldCharType="end"/>
            </w:r>
          </w:hyperlink>
        </w:p>
        <w:p w14:paraId="7A910C6E" w14:textId="6929C58C" w:rsidR="0061256A" w:rsidRDefault="00CD44C3">
          <w:pPr>
            <w:pStyle w:val="TOC3"/>
            <w:tabs>
              <w:tab w:val="left" w:pos="1540"/>
            </w:tabs>
            <w:rPr>
              <w:rFonts w:asciiTheme="minorHAnsi" w:hAnsiTheme="minorHAnsi" w:cstheme="minorBidi"/>
              <w:i w:val="0"/>
              <w:color w:val="auto"/>
              <w:sz w:val="22"/>
              <w:szCs w:val="22"/>
            </w:rPr>
          </w:pPr>
          <w:hyperlink w:anchor="_Toc121339140" w:history="1">
            <w:r w:rsidR="0061256A" w:rsidRPr="00120F1A">
              <w:rPr>
                <w:rStyle w:val="Hyperlink"/>
              </w:rPr>
              <w:t>7.10.1.</w:t>
            </w:r>
            <w:r w:rsidR="0061256A">
              <w:rPr>
                <w:rFonts w:asciiTheme="minorHAnsi" w:hAnsiTheme="minorHAnsi" w:cstheme="minorBidi"/>
                <w:i w:val="0"/>
                <w:color w:val="auto"/>
                <w:sz w:val="22"/>
                <w:szCs w:val="22"/>
              </w:rPr>
              <w:tab/>
            </w:r>
            <w:r w:rsidR="0061256A" w:rsidRPr="00120F1A">
              <w:rPr>
                <w:rStyle w:val="Hyperlink"/>
              </w:rPr>
              <w:t>Buses and Coaches</w:t>
            </w:r>
            <w:r w:rsidR="0061256A">
              <w:rPr>
                <w:webHidden/>
              </w:rPr>
              <w:tab/>
            </w:r>
            <w:r w:rsidR="0061256A">
              <w:rPr>
                <w:webHidden/>
              </w:rPr>
              <w:fldChar w:fldCharType="begin"/>
            </w:r>
            <w:r w:rsidR="0061256A">
              <w:rPr>
                <w:webHidden/>
              </w:rPr>
              <w:instrText xml:space="preserve"> PAGEREF _Toc121339140 \h </w:instrText>
            </w:r>
            <w:r w:rsidR="0061256A">
              <w:rPr>
                <w:webHidden/>
              </w:rPr>
            </w:r>
            <w:r w:rsidR="0061256A">
              <w:rPr>
                <w:webHidden/>
              </w:rPr>
              <w:fldChar w:fldCharType="separate"/>
            </w:r>
            <w:r w:rsidR="00C22A9E">
              <w:rPr>
                <w:webHidden/>
              </w:rPr>
              <w:t>66</w:t>
            </w:r>
            <w:r w:rsidR="0061256A">
              <w:rPr>
                <w:webHidden/>
              </w:rPr>
              <w:fldChar w:fldCharType="end"/>
            </w:r>
          </w:hyperlink>
        </w:p>
        <w:p w14:paraId="2996E414" w14:textId="600C4B5A" w:rsidR="0061256A" w:rsidRDefault="00CD44C3">
          <w:pPr>
            <w:pStyle w:val="TOC3"/>
            <w:tabs>
              <w:tab w:val="left" w:pos="1540"/>
            </w:tabs>
            <w:rPr>
              <w:rFonts w:asciiTheme="minorHAnsi" w:hAnsiTheme="minorHAnsi" w:cstheme="minorBidi"/>
              <w:i w:val="0"/>
              <w:color w:val="auto"/>
              <w:sz w:val="22"/>
              <w:szCs w:val="22"/>
            </w:rPr>
          </w:pPr>
          <w:hyperlink w:anchor="_Toc121339141" w:history="1">
            <w:r w:rsidR="0061256A" w:rsidRPr="00120F1A">
              <w:rPr>
                <w:rStyle w:val="Hyperlink"/>
              </w:rPr>
              <w:t>7.10.2.</w:t>
            </w:r>
            <w:r w:rsidR="0061256A">
              <w:rPr>
                <w:rFonts w:asciiTheme="minorHAnsi" w:hAnsiTheme="minorHAnsi" w:cstheme="minorBidi"/>
                <w:i w:val="0"/>
                <w:color w:val="auto"/>
                <w:sz w:val="22"/>
                <w:szCs w:val="22"/>
              </w:rPr>
              <w:tab/>
            </w:r>
            <w:r w:rsidR="0061256A" w:rsidRPr="00120F1A">
              <w:rPr>
                <w:rStyle w:val="Hyperlink"/>
              </w:rPr>
              <w:t>Rail</w:t>
            </w:r>
            <w:r w:rsidR="0061256A">
              <w:rPr>
                <w:webHidden/>
              </w:rPr>
              <w:tab/>
            </w:r>
            <w:r w:rsidR="0061256A">
              <w:rPr>
                <w:webHidden/>
              </w:rPr>
              <w:fldChar w:fldCharType="begin"/>
            </w:r>
            <w:r w:rsidR="0061256A">
              <w:rPr>
                <w:webHidden/>
              </w:rPr>
              <w:instrText xml:space="preserve"> PAGEREF _Toc121339141 \h </w:instrText>
            </w:r>
            <w:r w:rsidR="0061256A">
              <w:rPr>
                <w:webHidden/>
              </w:rPr>
            </w:r>
            <w:r w:rsidR="0061256A">
              <w:rPr>
                <w:webHidden/>
              </w:rPr>
              <w:fldChar w:fldCharType="separate"/>
            </w:r>
            <w:r w:rsidR="00C22A9E">
              <w:rPr>
                <w:webHidden/>
              </w:rPr>
              <w:t>67</w:t>
            </w:r>
            <w:r w:rsidR="0061256A">
              <w:rPr>
                <w:webHidden/>
              </w:rPr>
              <w:fldChar w:fldCharType="end"/>
            </w:r>
          </w:hyperlink>
        </w:p>
        <w:p w14:paraId="1CB8A085" w14:textId="50C13752" w:rsidR="0061256A" w:rsidRDefault="00CD44C3">
          <w:pPr>
            <w:pStyle w:val="TOC3"/>
            <w:tabs>
              <w:tab w:val="left" w:pos="1540"/>
            </w:tabs>
            <w:rPr>
              <w:rFonts w:asciiTheme="minorHAnsi" w:hAnsiTheme="minorHAnsi" w:cstheme="minorBidi"/>
              <w:i w:val="0"/>
              <w:color w:val="auto"/>
              <w:sz w:val="22"/>
              <w:szCs w:val="22"/>
            </w:rPr>
          </w:pPr>
          <w:hyperlink w:anchor="_Toc121339142" w:history="1">
            <w:r w:rsidR="0061256A" w:rsidRPr="00120F1A">
              <w:rPr>
                <w:rStyle w:val="Hyperlink"/>
              </w:rPr>
              <w:t>7.10.3.</w:t>
            </w:r>
            <w:r w:rsidR="0061256A">
              <w:rPr>
                <w:rFonts w:asciiTheme="minorHAnsi" w:hAnsiTheme="minorHAnsi" w:cstheme="minorBidi"/>
                <w:i w:val="0"/>
                <w:color w:val="auto"/>
                <w:sz w:val="22"/>
                <w:szCs w:val="22"/>
              </w:rPr>
              <w:tab/>
            </w:r>
            <w:r w:rsidR="0061256A" w:rsidRPr="00120F1A">
              <w:rPr>
                <w:rStyle w:val="Hyperlink"/>
              </w:rPr>
              <w:t>Road-based emissions</w:t>
            </w:r>
            <w:r w:rsidR="0061256A">
              <w:rPr>
                <w:webHidden/>
              </w:rPr>
              <w:tab/>
            </w:r>
            <w:r w:rsidR="0061256A">
              <w:rPr>
                <w:webHidden/>
              </w:rPr>
              <w:fldChar w:fldCharType="begin"/>
            </w:r>
            <w:r w:rsidR="0061256A">
              <w:rPr>
                <w:webHidden/>
              </w:rPr>
              <w:instrText xml:space="preserve"> PAGEREF _Toc121339142 \h </w:instrText>
            </w:r>
            <w:r w:rsidR="0061256A">
              <w:rPr>
                <w:webHidden/>
              </w:rPr>
            </w:r>
            <w:r w:rsidR="0061256A">
              <w:rPr>
                <w:webHidden/>
              </w:rPr>
              <w:fldChar w:fldCharType="separate"/>
            </w:r>
            <w:r w:rsidR="00C22A9E">
              <w:rPr>
                <w:webHidden/>
              </w:rPr>
              <w:t>67</w:t>
            </w:r>
            <w:r w:rsidR="0061256A">
              <w:rPr>
                <w:webHidden/>
              </w:rPr>
              <w:fldChar w:fldCharType="end"/>
            </w:r>
          </w:hyperlink>
        </w:p>
        <w:p w14:paraId="71F2CC34" w14:textId="451574AB" w:rsidR="0061256A" w:rsidRDefault="00CD44C3">
          <w:pPr>
            <w:pStyle w:val="TOC1"/>
            <w:rPr>
              <w:rFonts w:asciiTheme="minorHAnsi" w:hAnsiTheme="minorHAnsi" w:cstheme="minorBidi"/>
              <w:b w:val="0"/>
              <w:color w:val="auto"/>
              <w:sz w:val="22"/>
              <w:szCs w:val="22"/>
            </w:rPr>
          </w:pPr>
          <w:hyperlink w:anchor="_Toc121339143" w:history="1">
            <w:r w:rsidR="0061256A" w:rsidRPr="00120F1A">
              <w:rPr>
                <w:rStyle w:val="Hyperlink"/>
              </w:rPr>
              <w:t>8.</w:t>
            </w:r>
            <w:r w:rsidR="0061256A">
              <w:rPr>
                <w:rFonts w:asciiTheme="minorHAnsi" w:hAnsiTheme="minorHAnsi" w:cstheme="minorBidi"/>
                <w:b w:val="0"/>
                <w:color w:val="auto"/>
                <w:sz w:val="22"/>
                <w:szCs w:val="22"/>
              </w:rPr>
              <w:tab/>
            </w:r>
            <w:r w:rsidR="0061256A" w:rsidRPr="00120F1A">
              <w:rPr>
                <w:rStyle w:val="Hyperlink"/>
              </w:rPr>
              <w:t>Assessment Results</w:t>
            </w:r>
            <w:r w:rsidR="0061256A">
              <w:rPr>
                <w:webHidden/>
              </w:rPr>
              <w:tab/>
            </w:r>
            <w:r w:rsidR="0061256A">
              <w:rPr>
                <w:webHidden/>
              </w:rPr>
              <w:fldChar w:fldCharType="begin"/>
            </w:r>
            <w:r w:rsidR="0061256A">
              <w:rPr>
                <w:webHidden/>
              </w:rPr>
              <w:instrText xml:space="preserve"> PAGEREF _Toc121339143 \h </w:instrText>
            </w:r>
            <w:r w:rsidR="0061256A">
              <w:rPr>
                <w:webHidden/>
              </w:rPr>
            </w:r>
            <w:r w:rsidR="0061256A">
              <w:rPr>
                <w:webHidden/>
              </w:rPr>
              <w:fldChar w:fldCharType="separate"/>
            </w:r>
            <w:r w:rsidR="00C22A9E">
              <w:rPr>
                <w:webHidden/>
              </w:rPr>
              <w:t>69</w:t>
            </w:r>
            <w:r w:rsidR="0061256A">
              <w:rPr>
                <w:webHidden/>
              </w:rPr>
              <w:fldChar w:fldCharType="end"/>
            </w:r>
          </w:hyperlink>
        </w:p>
        <w:p w14:paraId="0A90E872" w14:textId="4F1F1238" w:rsidR="0061256A" w:rsidRDefault="00CD44C3">
          <w:pPr>
            <w:pStyle w:val="TOC2"/>
            <w:rPr>
              <w:rFonts w:asciiTheme="minorHAnsi" w:hAnsiTheme="minorHAnsi" w:cstheme="minorBidi"/>
              <w:color w:val="auto"/>
              <w:sz w:val="22"/>
              <w:szCs w:val="22"/>
            </w:rPr>
          </w:pPr>
          <w:hyperlink w:anchor="_Toc121339144" w:history="1">
            <w:r w:rsidR="0061256A" w:rsidRPr="00120F1A">
              <w:rPr>
                <w:rStyle w:val="Hyperlink"/>
              </w:rPr>
              <w:t>8.1.</w:t>
            </w:r>
            <w:r w:rsidR="0061256A">
              <w:rPr>
                <w:rFonts w:asciiTheme="minorHAnsi" w:hAnsiTheme="minorHAnsi" w:cstheme="minorBidi"/>
                <w:color w:val="auto"/>
                <w:sz w:val="22"/>
                <w:szCs w:val="22"/>
              </w:rPr>
              <w:tab/>
            </w:r>
            <w:r w:rsidR="0061256A" w:rsidRPr="00120F1A">
              <w:rPr>
                <w:rStyle w:val="Hyperlink"/>
              </w:rPr>
              <w:t>SEA Findings</w:t>
            </w:r>
            <w:r w:rsidR="0061256A">
              <w:rPr>
                <w:webHidden/>
              </w:rPr>
              <w:tab/>
            </w:r>
            <w:r w:rsidR="0061256A">
              <w:rPr>
                <w:webHidden/>
              </w:rPr>
              <w:fldChar w:fldCharType="begin"/>
            </w:r>
            <w:r w:rsidR="0061256A">
              <w:rPr>
                <w:webHidden/>
              </w:rPr>
              <w:instrText xml:space="preserve"> PAGEREF _Toc121339144 \h </w:instrText>
            </w:r>
            <w:r w:rsidR="0061256A">
              <w:rPr>
                <w:webHidden/>
              </w:rPr>
            </w:r>
            <w:r w:rsidR="0061256A">
              <w:rPr>
                <w:webHidden/>
              </w:rPr>
              <w:fldChar w:fldCharType="separate"/>
            </w:r>
            <w:r w:rsidR="00C22A9E">
              <w:rPr>
                <w:webHidden/>
              </w:rPr>
              <w:t>69</w:t>
            </w:r>
            <w:r w:rsidR="0061256A">
              <w:rPr>
                <w:webHidden/>
              </w:rPr>
              <w:fldChar w:fldCharType="end"/>
            </w:r>
          </w:hyperlink>
        </w:p>
        <w:p w14:paraId="74321323" w14:textId="17919A88" w:rsidR="0061256A" w:rsidRDefault="00CD44C3">
          <w:pPr>
            <w:pStyle w:val="TOC2"/>
            <w:rPr>
              <w:rFonts w:asciiTheme="minorHAnsi" w:hAnsiTheme="minorHAnsi" w:cstheme="minorBidi"/>
              <w:color w:val="auto"/>
              <w:sz w:val="22"/>
              <w:szCs w:val="22"/>
            </w:rPr>
          </w:pPr>
          <w:hyperlink w:anchor="_Toc121339145" w:history="1">
            <w:r w:rsidR="0061256A" w:rsidRPr="00120F1A">
              <w:rPr>
                <w:rStyle w:val="Hyperlink"/>
              </w:rPr>
              <w:t>8.2.</w:t>
            </w:r>
            <w:r w:rsidR="0061256A">
              <w:rPr>
                <w:rFonts w:asciiTheme="minorHAnsi" w:hAnsiTheme="minorHAnsi" w:cstheme="minorBidi"/>
                <w:color w:val="auto"/>
                <w:sz w:val="22"/>
                <w:szCs w:val="22"/>
              </w:rPr>
              <w:tab/>
            </w:r>
            <w:r w:rsidR="0061256A" w:rsidRPr="00120F1A">
              <w:rPr>
                <w:rStyle w:val="Hyperlink"/>
              </w:rPr>
              <w:t>Detailed Appraisal Stage Assessment</w:t>
            </w:r>
            <w:r w:rsidR="0061256A">
              <w:rPr>
                <w:webHidden/>
              </w:rPr>
              <w:tab/>
            </w:r>
            <w:r w:rsidR="0061256A">
              <w:rPr>
                <w:webHidden/>
              </w:rPr>
              <w:fldChar w:fldCharType="begin"/>
            </w:r>
            <w:r w:rsidR="0061256A">
              <w:rPr>
                <w:webHidden/>
              </w:rPr>
              <w:instrText xml:space="preserve"> PAGEREF _Toc121339145 \h </w:instrText>
            </w:r>
            <w:r w:rsidR="0061256A">
              <w:rPr>
                <w:webHidden/>
              </w:rPr>
            </w:r>
            <w:r w:rsidR="0061256A">
              <w:rPr>
                <w:webHidden/>
              </w:rPr>
              <w:fldChar w:fldCharType="separate"/>
            </w:r>
            <w:r w:rsidR="00C22A9E">
              <w:rPr>
                <w:webHidden/>
              </w:rPr>
              <w:t>71</w:t>
            </w:r>
            <w:r w:rsidR="0061256A">
              <w:rPr>
                <w:webHidden/>
              </w:rPr>
              <w:fldChar w:fldCharType="end"/>
            </w:r>
          </w:hyperlink>
        </w:p>
        <w:p w14:paraId="4015089F" w14:textId="48147C68" w:rsidR="0061256A" w:rsidRDefault="00CD44C3">
          <w:pPr>
            <w:pStyle w:val="TOC2"/>
            <w:rPr>
              <w:rFonts w:asciiTheme="minorHAnsi" w:hAnsiTheme="minorHAnsi" w:cstheme="minorBidi"/>
              <w:color w:val="auto"/>
              <w:sz w:val="22"/>
              <w:szCs w:val="22"/>
            </w:rPr>
          </w:pPr>
          <w:hyperlink w:anchor="_Toc121339146" w:history="1">
            <w:r w:rsidR="0061256A" w:rsidRPr="00120F1A">
              <w:rPr>
                <w:rStyle w:val="Hyperlink"/>
              </w:rPr>
              <w:t>8.3.</w:t>
            </w:r>
            <w:r w:rsidR="0061256A">
              <w:rPr>
                <w:rFonts w:asciiTheme="minorHAnsi" w:hAnsiTheme="minorHAnsi" w:cstheme="minorBidi"/>
                <w:color w:val="auto"/>
                <w:sz w:val="22"/>
                <w:szCs w:val="22"/>
              </w:rPr>
              <w:tab/>
            </w:r>
            <w:r w:rsidR="0061256A" w:rsidRPr="00120F1A">
              <w:rPr>
                <w:rStyle w:val="Hyperlink"/>
              </w:rPr>
              <w:t>Detailed Appraisal: Cumulative effects by SEA Topic</w:t>
            </w:r>
            <w:r w:rsidR="0061256A">
              <w:rPr>
                <w:webHidden/>
              </w:rPr>
              <w:tab/>
            </w:r>
            <w:r w:rsidR="0061256A">
              <w:rPr>
                <w:webHidden/>
              </w:rPr>
              <w:fldChar w:fldCharType="begin"/>
            </w:r>
            <w:r w:rsidR="0061256A">
              <w:rPr>
                <w:webHidden/>
              </w:rPr>
              <w:instrText xml:space="preserve"> PAGEREF _Toc121339146 \h </w:instrText>
            </w:r>
            <w:r w:rsidR="0061256A">
              <w:rPr>
                <w:webHidden/>
              </w:rPr>
            </w:r>
            <w:r w:rsidR="0061256A">
              <w:rPr>
                <w:webHidden/>
              </w:rPr>
              <w:fldChar w:fldCharType="separate"/>
            </w:r>
            <w:r w:rsidR="00C22A9E">
              <w:rPr>
                <w:webHidden/>
              </w:rPr>
              <w:t>71</w:t>
            </w:r>
            <w:r w:rsidR="0061256A">
              <w:rPr>
                <w:webHidden/>
              </w:rPr>
              <w:fldChar w:fldCharType="end"/>
            </w:r>
          </w:hyperlink>
        </w:p>
        <w:p w14:paraId="01F88C9D" w14:textId="6A26C253" w:rsidR="0061256A" w:rsidRDefault="00CD44C3">
          <w:pPr>
            <w:pStyle w:val="TOC3"/>
            <w:tabs>
              <w:tab w:val="left" w:pos="1540"/>
            </w:tabs>
            <w:rPr>
              <w:rFonts w:asciiTheme="minorHAnsi" w:hAnsiTheme="minorHAnsi" w:cstheme="minorBidi"/>
              <w:i w:val="0"/>
              <w:color w:val="auto"/>
              <w:sz w:val="22"/>
              <w:szCs w:val="22"/>
            </w:rPr>
          </w:pPr>
          <w:hyperlink w:anchor="_Toc121339147" w:history="1">
            <w:r w:rsidR="0061256A" w:rsidRPr="00120F1A">
              <w:rPr>
                <w:rStyle w:val="Hyperlink"/>
              </w:rPr>
              <w:t>8.3.1.</w:t>
            </w:r>
            <w:r w:rsidR="0061256A">
              <w:rPr>
                <w:rFonts w:asciiTheme="minorHAnsi" w:hAnsiTheme="minorHAnsi" w:cstheme="minorBidi"/>
                <w:i w:val="0"/>
                <w:color w:val="auto"/>
                <w:sz w:val="22"/>
                <w:szCs w:val="22"/>
              </w:rPr>
              <w:tab/>
            </w:r>
            <w:r w:rsidR="0061256A" w:rsidRPr="00120F1A">
              <w:rPr>
                <w:rStyle w:val="Hyperlink"/>
              </w:rPr>
              <w:t>Climatic factors</w:t>
            </w:r>
            <w:r w:rsidR="0061256A">
              <w:rPr>
                <w:webHidden/>
              </w:rPr>
              <w:tab/>
            </w:r>
            <w:r w:rsidR="0061256A">
              <w:rPr>
                <w:webHidden/>
              </w:rPr>
              <w:fldChar w:fldCharType="begin"/>
            </w:r>
            <w:r w:rsidR="0061256A">
              <w:rPr>
                <w:webHidden/>
              </w:rPr>
              <w:instrText xml:space="preserve"> PAGEREF _Toc121339147 \h </w:instrText>
            </w:r>
            <w:r w:rsidR="0061256A">
              <w:rPr>
                <w:webHidden/>
              </w:rPr>
            </w:r>
            <w:r w:rsidR="0061256A">
              <w:rPr>
                <w:webHidden/>
              </w:rPr>
              <w:fldChar w:fldCharType="separate"/>
            </w:r>
            <w:r w:rsidR="00C22A9E">
              <w:rPr>
                <w:webHidden/>
              </w:rPr>
              <w:t>71</w:t>
            </w:r>
            <w:r w:rsidR="0061256A">
              <w:rPr>
                <w:webHidden/>
              </w:rPr>
              <w:fldChar w:fldCharType="end"/>
            </w:r>
          </w:hyperlink>
        </w:p>
        <w:p w14:paraId="37371623" w14:textId="6D55BA17" w:rsidR="0061256A" w:rsidRDefault="00CD44C3">
          <w:pPr>
            <w:pStyle w:val="TOC3"/>
            <w:tabs>
              <w:tab w:val="left" w:pos="1540"/>
            </w:tabs>
            <w:rPr>
              <w:rFonts w:asciiTheme="minorHAnsi" w:hAnsiTheme="minorHAnsi" w:cstheme="minorBidi"/>
              <w:i w:val="0"/>
              <w:color w:val="auto"/>
              <w:sz w:val="22"/>
              <w:szCs w:val="22"/>
            </w:rPr>
          </w:pPr>
          <w:hyperlink w:anchor="_Toc121339148" w:history="1">
            <w:r w:rsidR="0061256A" w:rsidRPr="00120F1A">
              <w:rPr>
                <w:rStyle w:val="Hyperlink"/>
              </w:rPr>
              <w:t>8.3.2.</w:t>
            </w:r>
            <w:r w:rsidR="0061256A">
              <w:rPr>
                <w:rFonts w:asciiTheme="minorHAnsi" w:hAnsiTheme="minorHAnsi" w:cstheme="minorBidi"/>
                <w:i w:val="0"/>
                <w:color w:val="auto"/>
                <w:sz w:val="22"/>
                <w:szCs w:val="22"/>
              </w:rPr>
              <w:tab/>
            </w:r>
            <w:r w:rsidR="0061256A" w:rsidRPr="00120F1A">
              <w:rPr>
                <w:rStyle w:val="Hyperlink"/>
              </w:rPr>
              <w:t>Air Quality</w:t>
            </w:r>
            <w:r w:rsidR="0061256A">
              <w:rPr>
                <w:webHidden/>
              </w:rPr>
              <w:tab/>
            </w:r>
            <w:r w:rsidR="0061256A">
              <w:rPr>
                <w:webHidden/>
              </w:rPr>
              <w:fldChar w:fldCharType="begin"/>
            </w:r>
            <w:r w:rsidR="0061256A">
              <w:rPr>
                <w:webHidden/>
              </w:rPr>
              <w:instrText xml:space="preserve"> PAGEREF _Toc121339148 \h </w:instrText>
            </w:r>
            <w:r w:rsidR="0061256A">
              <w:rPr>
                <w:webHidden/>
              </w:rPr>
            </w:r>
            <w:r w:rsidR="0061256A">
              <w:rPr>
                <w:webHidden/>
              </w:rPr>
              <w:fldChar w:fldCharType="separate"/>
            </w:r>
            <w:r w:rsidR="00C22A9E">
              <w:rPr>
                <w:webHidden/>
              </w:rPr>
              <w:t>72</w:t>
            </w:r>
            <w:r w:rsidR="0061256A">
              <w:rPr>
                <w:webHidden/>
              </w:rPr>
              <w:fldChar w:fldCharType="end"/>
            </w:r>
          </w:hyperlink>
        </w:p>
        <w:p w14:paraId="575911E9" w14:textId="4866C22E" w:rsidR="0061256A" w:rsidRDefault="00CD44C3">
          <w:pPr>
            <w:pStyle w:val="TOC3"/>
            <w:tabs>
              <w:tab w:val="left" w:pos="1540"/>
            </w:tabs>
            <w:rPr>
              <w:rFonts w:asciiTheme="minorHAnsi" w:hAnsiTheme="minorHAnsi" w:cstheme="minorBidi"/>
              <w:i w:val="0"/>
              <w:color w:val="auto"/>
              <w:sz w:val="22"/>
              <w:szCs w:val="22"/>
            </w:rPr>
          </w:pPr>
          <w:hyperlink w:anchor="_Toc121339149" w:history="1">
            <w:r w:rsidR="0061256A" w:rsidRPr="00120F1A">
              <w:rPr>
                <w:rStyle w:val="Hyperlink"/>
              </w:rPr>
              <w:t>8.3.3.</w:t>
            </w:r>
            <w:r w:rsidR="0061256A">
              <w:rPr>
                <w:rFonts w:asciiTheme="minorHAnsi" w:hAnsiTheme="minorHAnsi" w:cstheme="minorBidi"/>
                <w:i w:val="0"/>
                <w:color w:val="auto"/>
                <w:sz w:val="22"/>
                <w:szCs w:val="22"/>
              </w:rPr>
              <w:tab/>
            </w:r>
            <w:r w:rsidR="0061256A" w:rsidRPr="00120F1A">
              <w:rPr>
                <w:rStyle w:val="Hyperlink"/>
              </w:rPr>
              <w:t>Population and Human Health</w:t>
            </w:r>
            <w:r w:rsidR="0061256A">
              <w:rPr>
                <w:webHidden/>
              </w:rPr>
              <w:tab/>
            </w:r>
            <w:r w:rsidR="0061256A">
              <w:rPr>
                <w:webHidden/>
              </w:rPr>
              <w:fldChar w:fldCharType="begin"/>
            </w:r>
            <w:r w:rsidR="0061256A">
              <w:rPr>
                <w:webHidden/>
              </w:rPr>
              <w:instrText xml:space="preserve"> PAGEREF _Toc121339149 \h </w:instrText>
            </w:r>
            <w:r w:rsidR="0061256A">
              <w:rPr>
                <w:webHidden/>
              </w:rPr>
            </w:r>
            <w:r w:rsidR="0061256A">
              <w:rPr>
                <w:webHidden/>
              </w:rPr>
              <w:fldChar w:fldCharType="separate"/>
            </w:r>
            <w:r w:rsidR="00C22A9E">
              <w:rPr>
                <w:webHidden/>
              </w:rPr>
              <w:t>72</w:t>
            </w:r>
            <w:r w:rsidR="0061256A">
              <w:rPr>
                <w:webHidden/>
              </w:rPr>
              <w:fldChar w:fldCharType="end"/>
            </w:r>
          </w:hyperlink>
        </w:p>
        <w:p w14:paraId="0F10F648" w14:textId="54925D93" w:rsidR="0061256A" w:rsidRDefault="00CD44C3">
          <w:pPr>
            <w:pStyle w:val="TOC3"/>
            <w:tabs>
              <w:tab w:val="left" w:pos="1540"/>
            </w:tabs>
            <w:rPr>
              <w:rFonts w:asciiTheme="minorHAnsi" w:hAnsiTheme="minorHAnsi" w:cstheme="minorBidi"/>
              <w:i w:val="0"/>
              <w:color w:val="auto"/>
              <w:sz w:val="22"/>
              <w:szCs w:val="22"/>
            </w:rPr>
          </w:pPr>
          <w:hyperlink w:anchor="_Toc121339150" w:history="1">
            <w:r w:rsidR="0061256A" w:rsidRPr="00120F1A">
              <w:rPr>
                <w:rStyle w:val="Hyperlink"/>
              </w:rPr>
              <w:t>8.3.4.</w:t>
            </w:r>
            <w:r w:rsidR="0061256A">
              <w:rPr>
                <w:rFonts w:asciiTheme="minorHAnsi" w:hAnsiTheme="minorHAnsi" w:cstheme="minorBidi"/>
                <w:i w:val="0"/>
                <w:color w:val="auto"/>
                <w:sz w:val="22"/>
                <w:szCs w:val="22"/>
              </w:rPr>
              <w:tab/>
            </w:r>
            <w:r w:rsidR="0061256A" w:rsidRPr="00120F1A">
              <w:rPr>
                <w:rStyle w:val="Hyperlink"/>
              </w:rPr>
              <w:t>Material Assets</w:t>
            </w:r>
            <w:r w:rsidR="0061256A">
              <w:rPr>
                <w:webHidden/>
              </w:rPr>
              <w:tab/>
            </w:r>
            <w:r w:rsidR="0061256A">
              <w:rPr>
                <w:webHidden/>
              </w:rPr>
              <w:fldChar w:fldCharType="begin"/>
            </w:r>
            <w:r w:rsidR="0061256A">
              <w:rPr>
                <w:webHidden/>
              </w:rPr>
              <w:instrText xml:space="preserve"> PAGEREF _Toc121339150 \h </w:instrText>
            </w:r>
            <w:r w:rsidR="0061256A">
              <w:rPr>
                <w:webHidden/>
              </w:rPr>
            </w:r>
            <w:r w:rsidR="0061256A">
              <w:rPr>
                <w:webHidden/>
              </w:rPr>
              <w:fldChar w:fldCharType="separate"/>
            </w:r>
            <w:r w:rsidR="00C22A9E">
              <w:rPr>
                <w:webHidden/>
              </w:rPr>
              <w:t>73</w:t>
            </w:r>
            <w:r w:rsidR="0061256A">
              <w:rPr>
                <w:webHidden/>
              </w:rPr>
              <w:fldChar w:fldCharType="end"/>
            </w:r>
          </w:hyperlink>
        </w:p>
        <w:p w14:paraId="18C4EB72" w14:textId="7C4BC33C" w:rsidR="0061256A" w:rsidRDefault="00CD44C3">
          <w:pPr>
            <w:pStyle w:val="TOC3"/>
            <w:tabs>
              <w:tab w:val="left" w:pos="1540"/>
            </w:tabs>
            <w:rPr>
              <w:rFonts w:asciiTheme="minorHAnsi" w:hAnsiTheme="minorHAnsi" w:cstheme="minorBidi"/>
              <w:i w:val="0"/>
              <w:color w:val="auto"/>
              <w:sz w:val="22"/>
              <w:szCs w:val="22"/>
            </w:rPr>
          </w:pPr>
          <w:hyperlink w:anchor="_Toc121339151" w:history="1">
            <w:r w:rsidR="0061256A" w:rsidRPr="00120F1A">
              <w:rPr>
                <w:rStyle w:val="Hyperlink"/>
              </w:rPr>
              <w:t>8.3.5.</w:t>
            </w:r>
            <w:r w:rsidR="0061256A">
              <w:rPr>
                <w:rFonts w:asciiTheme="minorHAnsi" w:hAnsiTheme="minorHAnsi" w:cstheme="minorBidi"/>
                <w:i w:val="0"/>
                <w:color w:val="auto"/>
                <w:sz w:val="22"/>
                <w:szCs w:val="22"/>
              </w:rPr>
              <w:tab/>
            </w:r>
            <w:r w:rsidR="0061256A" w:rsidRPr="00120F1A">
              <w:rPr>
                <w:rStyle w:val="Hyperlink"/>
              </w:rPr>
              <w:t>Water Environment</w:t>
            </w:r>
            <w:r w:rsidR="0061256A">
              <w:rPr>
                <w:webHidden/>
              </w:rPr>
              <w:tab/>
            </w:r>
            <w:r w:rsidR="0061256A">
              <w:rPr>
                <w:webHidden/>
              </w:rPr>
              <w:fldChar w:fldCharType="begin"/>
            </w:r>
            <w:r w:rsidR="0061256A">
              <w:rPr>
                <w:webHidden/>
              </w:rPr>
              <w:instrText xml:space="preserve"> PAGEREF _Toc121339151 \h </w:instrText>
            </w:r>
            <w:r w:rsidR="0061256A">
              <w:rPr>
                <w:webHidden/>
              </w:rPr>
            </w:r>
            <w:r w:rsidR="0061256A">
              <w:rPr>
                <w:webHidden/>
              </w:rPr>
              <w:fldChar w:fldCharType="separate"/>
            </w:r>
            <w:r w:rsidR="00C22A9E">
              <w:rPr>
                <w:webHidden/>
              </w:rPr>
              <w:t>74</w:t>
            </w:r>
            <w:r w:rsidR="0061256A">
              <w:rPr>
                <w:webHidden/>
              </w:rPr>
              <w:fldChar w:fldCharType="end"/>
            </w:r>
          </w:hyperlink>
        </w:p>
        <w:p w14:paraId="55892C3C" w14:textId="3A36C70E" w:rsidR="0061256A" w:rsidRDefault="00CD44C3">
          <w:pPr>
            <w:pStyle w:val="TOC3"/>
            <w:tabs>
              <w:tab w:val="left" w:pos="1540"/>
            </w:tabs>
            <w:rPr>
              <w:rFonts w:asciiTheme="minorHAnsi" w:hAnsiTheme="minorHAnsi" w:cstheme="minorBidi"/>
              <w:i w:val="0"/>
              <w:color w:val="auto"/>
              <w:sz w:val="22"/>
              <w:szCs w:val="22"/>
            </w:rPr>
          </w:pPr>
          <w:hyperlink w:anchor="_Toc121339152" w:history="1">
            <w:r w:rsidR="0061256A" w:rsidRPr="00120F1A">
              <w:rPr>
                <w:rStyle w:val="Hyperlink"/>
              </w:rPr>
              <w:t>8.3.6.</w:t>
            </w:r>
            <w:r w:rsidR="0061256A">
              <w:rPr>
                <w:rFonts w:asciiTheme="minorHAnsi" w:hAnsiTheme="minorHAnsi" w:cstheme="minorBidi"/>
                <w:i w:val="0"/>
                <w:color w:val="auto"/>
                <w:sz w:val="22"/>
                <w:szCs w:val="22"/>
              </w:rPr>
              <w:tab/>
            </w:r>
            <w:r w:rsidR="0061256A" w:rsidRPr="00120F1A">
              <w:rPr>
                <w:rStyle w:val="Hyperlink"/>
              </w:rPr>
              <w:t>Biodiversity</w:t>
            </w:r>
            <w:r w:rsidR="0061256A">
              <w:rPr>
                <w:webHidden/>
              </w:rPr>
              <w:tab/>
            </w:r>
            <w:r w:rsidR="0061256A">
              <w:rPr>
                <w:webHidden/>
              </w:rPr>
              <w:fldChar w:fldCharType="begin"/>
            </w:r>
            <w:r w:rsidR="0061256A">
              <w:rPr>
                <w:webHidden/>
              </w:rPr>
              <w:instrText xml:space="preserve"> PAGEREF _Toc121339152 \h </w:instrText>
            </w:r>
            <w:r w:rsidR="0061256A">
              <w:rPr>
                <w:webHidden/>
              </w:rPr>
            </w:r>
            <w:r w:rsidR="0061256A">
              <w:rPr>
                <w:webHidden/>
              </w:rPr>
              <w:fldChar w:fldCharType="separate"/>
            </w:r>
            <w:r w:rsidR="00C22A9E">
              <w:rPr>
                <w:webHidden/>
              </w:rPr>
              <w:t>75</w:t>
            </w:r>
            <w:r w:rsidR="0061256A">
              <w:rPr>
                <w:webHidden/>
              </w:rPr>
              <w:fldChar w:fldCharType="end"/>
            </w:r>
          </w:hyperlink>
        </w:p>
        <w:p w14:paraId="0A72E001" w14:textId="4407C64C" w:rsidR="0061256A" w:rsidRDefault="00CD44C3">
          <w:pPr>
            <w:pStyle w:val="TOC3"/>
            <w:tabs>
              <w:tab w:val="left" w:pos="1540"/>
            </w:tabs>
            <w:rPr>
              <w:rFonts w:asciiTheme="minorHAnsi" w:hAnsiTheme="minorHAnsi" w:cstheme="minorBidi"/>
              <w:i w:val="0"/>
              <w:color w:val="auto"/>
              <w:sz w:val="22"/>
              <w:szCs w:val="22"/>
            </w:rPr>
          </w:pPr>
          <w:hyperlink w:anchor="_Toc121339153" w:history="1">
            <w:r w:rsidR="0061256A" w:rsidRPr="00120F1A">
              <w:rPr>
                <w:rStyle w:val="Hyperlink"/>
              </w:rPr>
              <w:t>8.3.7.</w:t>
            </w:r>
            <w:r w:rsidR="0061256A">
              <w:rPr>
                <w:rFonts w:asciiTheme="minorHAnsi" w:hAnsiTheme="minorHAnsi" w:cstheme="minorBidi"/>
                <w:i w:val="0"/>
                <w:color w:val="auto"/>
                <w:sz w:val="22"/>
                <w:szCs w:val="22"/>
              </w:rPr>
              <w:tab/>
            </w:r>
            <w:r w:rsidR="0061256A" w:rsidRPr="00120F1A">
              <w:rPr>
                <w:rStyle w:val="Hyperlink"/>
              </w:rPr>
              <w:t>Soil</w:t>
            </w:r>
            <w:r w:rsidR="0061256A">
              <w:rPr>
                <w:webHidden/>
              </w:rPr>
              <w:tab/>
            </w:r>
            <w:r w:rsidR="0061256A">
              <w:rPr>
                <w:webHidden/>
              </w:rPr>
              <w:fldChar w:fldCharType="begin"/>
            </w:r>
            <w:r w:rsidR="0061256A">
              <w:rPr>
                <w:webHidden/>
              </w:rPr>
              <w:instrText xml:space="preserve"> PAGEREF _Toc121339153 \h </w:instrText>
            </w:r>
            <w:r w:rsidR="0061256A">
              <w:rPr>
                <w:webHidden/>
              </w:rPr>
            </w:r>
            <w:r w:rsidR="0061256A">
              <w:rPr>
                <w:webHidden/>
              </w:rPr>
              <w:fldChar w:fldCharType="separate"/>
            </w:r>
            <w:r w:rsidR="00C22A9E">
              <w:rPr>
                <w:webHidden/>
              </w:rPr>
              <w:t>75</w:t>
            </w:r>
            <w:r w:rsidR="0061256A">
              <w:rPr>
                <w:webHidden/>
              </w:rPr>
              <w:fldChar w:fldCharType="end"/>
            </w:r>
          </w:hyperlink>
        </w:p>
        <w:p w14:paraId="7408308C" w14:textId="6DC6E67F" w:rsidR="0061256A" w:rsidRDefault="00CD44C3">
          <w:pPr>
            <w:pStyle w:val="TOC3"/>
            <w:tabs>
              <w:tab w:val="left" w:pos="1540"/>
            </w:tabs>
            <w:rPr>
              <w:rFonts w:asciiTheme="minorHAnsi" w:hAnsiTheme="minorHAnsi" w:cstheme="minorBidi"/>
              <w:i w:val="0"/>
              <w:color w:val="auto"/>
              <w:sz w:val="22"/>
              <w:szCs w:val="22"/>
            </w:rPr>
          </w:pPr>
          <w:hyperlink w:anchor="_Toc121339154" w:history="1">
            <w:r w:rsidR="0061256A" w:rsidRPr="00120F1A">
              <w:rPr>
                <w:rStyle w:val="Hyperlink"/>
              </w:rPr>
              <w:t>8.3.8.</w:t>
            </w:r>
            <w:r w:rsidR="0061256A">
              <w:rPr>
                <w:rFonts w:asciiTheme="minorHAnsi" w:hAnsiTheme="minorHAnsi" w:cstheme="minorBidi"/>
                <w:i w:val="0"/>
                <w:color w:val="auto"/>
                <w:sz w:val="22"/>
                <w:szCs w:val="22"/>
              </w:rPr>
              <w:tab/>
            </w:r>
            <w:r w:rsidR="0061256A" w:rsidRPr="00120F1A">
              <w:rPr>
                <w:rStyle w:val="Hyperlink"/>
              </w:rPr>
              <w:t>Cultural Heritage</w:t>
            </w:r>
            <w:r w:rsidR="0061256A">
              <w:rPr>
                <w:webHidden/>
              </w:rPr>
              <w:tab/>
            </w:r>
            <w:r w:rsidR="0061256A">
              <w:rPr>
                <w:webHidden/>
              </w:rPr>
              <w:fldChar w:fldCharType="begin"/>
            </w:r>
            <w:r w:rsidR="0061256A">
              <w:rPr>
                <w:webHidden/>
              </w:rPr>
              <w:instrText xml:space="preserve"> PAGEREF _Toc121339154 \h </w:instrText>
            </w:r>
            <w:r w:rsidR="0061256A">
              <w:rPr>
                <w:webHidden/>
              </w:rPr>
            </w:r>
            <w:r w:rsidR="0061256A">
              <w:rPr>
                <w:webHidden/>
              </w:rPr>
              <w:fldChar w:fldCharType="separate"/>
            </w:r>
            <w:r w:rsidR="00C22A9E">
              <w:rPr>
                <w:webHidden/>
              </w:rPr>
              <w:t>75</w:t>
            </w:r>
            <w:r w:rsidR="0061256A">
              <w:rPr>
                <w:webHidden/>
              </w:rPr>
              <w:fldChar w:fldCharType="end"/>
            </w:r>
          </w:hyperlink>
        </w:p>
        <w:p w14:paraId="793B4ED0" w14:textId="5A2A563F" w:rsidR="0061256A" w:rsidRDefault="00CD44C3">
          <w:pPr>
            <w:pStyle w:val="TOC3"/>
            <w:tabs>
              <w:tab w:val="left" w:pos="1540"/>
            </w:tabs>
            <w:rPr>
              <w:rFonts w:asciiTheme="minorHAnsi" w:hAnsiTheme="minorHAnsi" w:cstheme="minorBidi"/>
              <w:i w:val="0"/>
              <w:color w:val="auto"/>
              <w:sz w:val="22"/>
              <w:szCs w:val="22"/>
            </w:rPr>
          </w:pPr>
          <w:hyperlink w:anchor="_Toc121339155" w:history="1">
            <w:r w:rsidR="0061256A" w:rsidRPr="00120F1A">
              <w:rPr>
                <w:rStyle w:val="Hyperlink"/>
              </w:rPr>
              <w:t>8.3.9.</w:t>
            </w:r>
            <w:r w:rsidR="0061256A">
              <w:rPr>
                <w:rFonts w:asciiTheme="minorHAnsi" w:hAnsiTheme="minorHAnsi" w:cstheme="minorBidi"/>
                <w:i w:val="0"/>
                <w:color w:val="auto"/>
                <w:sz w:val="22"/>
                <w:szCs w:val="22"/>
              </w:rPr>
              <w:tab/>
            </w:r>
            <w:r w:rsidR="0061256A" w:rsidRPr="00120F1A">
              <w:rPr>
                <w:rStyle w:val="Hyperlink"/>
              </w:rPr>
              <w:t>Landscape and Visual Amenity</w:t>
            </w:r>
            <w:r w:rsidR="0061256A">
              <w:rPr>
                <w:webHidden/>
              </w:rPr>
              <w:tab/>
            </w:r>
            <w:r w:rsidR="0061256A">
              <w:rPr>
                <w:webHidden/>
              </w:rPr>
              <w:fldChar w:fldCharType="begin"/>
            </w:r>
            <w:r w:rsidR="0061256A">
              <w:rPr>
                <w:webHidden/>
              </w:rPr>
              <w:instrText xml:space="preserve"> PAGEREF _Toc121339155 \h </w:instrText>
            </w:r>
            <w:r w:rsidR="0061256A">
              <w:rPr>
                <w:webHidden/>
              </w:rPr>
            </w:r>
            <w:r w:rsidR="0061256A">
              <w:rPr>
                <w:webHidden/>
              </w:rPr>
              <w:fldChar w:fldCharType="separate"/>
            </w:r>
            <w:r w:rsidR="00C22A9E">
              <w:rPr>
                <w:webHidden/>
              </w:rPr>
              <w:t>75</w:t>
            </w:r>
            <w:r w:rsidR="0061256A">
              <w:rPr>
                <w:webHidden/>
              </w:rPr>
              <w:fldChar w:fldCharType="end"/>
            </w:r>
          </w:hyperlink>
        </w:p>
        <w:p w14:paraId="734B6763" w14:textId="7B60290E" w:rsidR="0061256A" w:rsidRDefault="00CD44C3">
          <w:pPr>
            <w:pStyle w:val="TOC2"/>
            <w:rPr>
              <w:rFonts w:asciiTheme="minorHAnsi" w:hAnsiTheme="minorHAnsi" w:cstheme="minorBidi"/>
              <w:color w:val="auto"/>
              <w:sz w:val="22"/>
              <w:szCs w:val="22"/>
            </w:rPr>
          </w:pPr>
          <w:hyperlink w:anchor="_Toc121339156" w:history="1">
            <w:r w:rsidR="0061256A" w:rsidRPr="00120F1A">
              <w:rPr>
                <w:rStyle w:val="Hyperlink"/>
              </w:rPr>
              <w:t>8.4.</w:t>
            </w:r>
            <w:r w:rsidR="0061256A">
              <w:rPr>
                <w:rFonts w:asciiTheme="minorHAnsi" w:hAnsiTheme="minorHAnsi" w:cstheme="minorBidi"/>
                <w:color w:val="auto"/>
                <w:sz w:val="22"/>
                <w:szCs w:val="22"/>
              </w:rPr>
              <w:tab/>
            </w:r>
            <w:r w:rsidR="0061256A" w:rsidRPr="00120F1A">
              <w:rPr>
                <w:rStyle w:val="Hyperlink"/>
              </w:rPr>
              <w:t>Compatibility of STPR2 Recommendations with the SEA Objectives</w:t>
            </w:r>
            <w:r w:rsidR="0061256A">
              <w:rPr>
                <w:webHidden/>
              </w:rPr>
              <w:tab/>
            </w:r>
            <w:r w:rsidR="0061256A">
              <w:rPr>
                <w:webHidden/>
              </w:rPr>
              <w:fldChar w:fldCharType="begin"/>
            </w:r>
            <w:r w:rsidR="0061256A">
              <w:rPr>
                <w:webHidden/>
              </w:rPr>
              <w:instrText xml:space="preserve"> PAGEREF _Toc121339156 \h </w:instrText>
            </w:r>
            <w:r w:rsidR="0061256A">
              <w:rPr>
                <w:webHidden/>
              </w:rPr>
            </w:r>
            <w:r w:rsidR="0061256A">
              <w:rPr>
                <w:webHidden/>
              </w:rPr>
              <w:fldChar w:fldCharType="separate"/>
            </w:r>
            <w:r w:rsidR="00C22A9E">
              <w:rPr>
                <w:webHidden/>
              </w:rPr>
              <w:t>76</w:t>
            </w:r>
            <w:r w:rsidR="0061256A">
              <w:rPr>
                <w:webHidden/>
              </w:rPr>
              <w:fldChar w:fldCharType="end"/>
            </w:r>
          </w:hyperlink>
        </w:p>
        <w:p w14:paraId="2ECA3B79" w14:textId="223A212F" w:rsidR="0061256A" w:rsidRDefault="00CD44C3">
          <w:pPr>
            <w:pStyle w:val="TOC2"/>
            <w:rPr>
              <w:rFonts w:asciiTheme="minorHAnsi" w:hAnsiTheme="minorHAnsi" w:cstheme="minorBidi"/>
              <w:color w:val="auto"/>
              <w:sz w:val="22"/>
              <w:szCs w:val="22"/>
            </w:rPr>
          </w:pPr>
          <w:hyperlink w:anchor="_Toc121339157" w:history="1">
            <w:r w:rsidR="0061256A" w:rsidRPr="00120F1A">
              <w:rPr>
                <w:rStyle w:val="Hyperlink"/>
              </w:rPr>
              <w:t>8.5.</w:t>
            </w:r>
            <w:r w:rsidR="0061256A">
              <w:rPr>
                <w:rFonts w:asciiTheme="minorHAnsi" w:hAnsiTheme="minorHAnsi" w:cstheme="minorBidi"/>
                <w:color w:val="auto"/>
                <w:sz w:val="22"/>
                <w:szCs w:val="22"/>
              </w:rPr>
              <w:tab/>
            </w:r>
            <w:r w:rsidR="0061256A" w:rsidRPr="00120F1A">
              <w:rPr>
                <w:rStyle w:val="Hyperlink"/>
              </w:rPr>
              <w:t>In-Combination Assessment</w:t>
            </w:r>
            <w:r w:rsidR="0061256A">
              <w:rPr>
                <w:webHidden/>
              </w:rPr>
              <w:tab/>
            </w:r>
            <w:r w:rsidR="0061256A">
              <w:rPr>
                <w:webHidden/>
              </w:rPr>
              <w:fldChar w:fldCharType="begin"/>
            </w:r>
            <w:r w:rsidR="0061256A">
              <w:rPr>
                <w:webHidden/>
              </w:rPr>
              <w:instrText xml:space="preserve"> PAGEREF _Toc121339157 \h </w:instrText>
            </w:r>
            <w:r w:rsidR="0061256A">
              <w:rPr>
                <w:webHidden/>
              </w:rPr>
            </w:r>
            <w:r w:rsidR="0061256A">
              <w:rPr>
                <w:webHidden/>
              </w:rPr>
              <w:fldChar w:fldCharType="separate"/>
            </w:r>
            <w:r w:rsidR="00C22A9E">
              <w:rPr>
                <w:webHidden/>
              </w:rPr>
              <w:t>80</w:t>
            </w:r>
            <w:r w:rsidR="0061256A">
              <w:rPr>
                <w:webHidden/>
              </w:rPr>
              <w:fldChar w:fldCharType="end"/>
            </w:r>
          </w:hyperlink>
        </w:p>
        <w:p w14:paraId="1F586A33" w14:textId="48800206" w:rsidR="0061256A" w:rsidRDefault="00CD44C3">
          <w:pPr>
            <w:pStyle w:val="TOC1"/>
            <w:rPr>
              <w:rFonts w:asciiTheme="minorHAnsi" w:hAnsiTheme="minorHAnsi" w:cstheme="minorBidi"/>
              <w:b w:val="0"/>
              <w:color w:val="auto"/>
              <w:sz w:val="22"/>
              <w:szCs w:val="22"/>
            </w:rPr>
          </w:pPr>
          <w:hyperlink w:anchor="_Toc121339158" w:history="1">
            <w:r w:rsidR="0061256A" w:rsidRPr="00120F1A">
              <w:rPr>
                <w:rStyle w:val="Hyperlink"/>
              </w:rPr>
              <w:t>9.</w:t>
            </w:r>
            <w:r w:rsidR="0061256A">
              <w:rPr>
                <w:rFonts w:asciiTheme="minorHAnsi" w:hAnsiTheme="minorHAnsi" w:cstheme="minorBidi"/>
                <w:b w:val="0"/>
                <w:color w:val="auto"/>
                <w:sz w:val="22"/>
                <w:szCs w:val="22"/>
              </w:rPr>
              <w:tab/>
            </w:r>
            <w:r w:rsidR="0061256A" w:rsidRPr="00120F1A">
              <w:rPr>
                <w:rStyle w:val="Hyperlink"/>
              </w:rPr>
              <w:t>Strategic Mitigation and Enhancement</w:t>
            </w:r>
            <w:r w:rsidR="0061256A">
              <w:rPr>
                <w:webHidden/>
              </w:rPr>
              <w:tab/>
            </w:r>
            <w:r w:rsidR="0061256A">
              <w:rPr>
                <w:webHidden/>
              </w:rPr>
              <w:fldChar w:fldCharType="begin"/>
            </w:r>
            <w:r w:rsidR="0061256A">
              <w:rPr>
                <w:webHidden/>
              </w:rPr>
              <w:instrText xml:space="preserve"> PAGEREF _Toc121339158 \h </w:instrText>
            </w:r>
            <w:r w:rsidR="0061256A">
              <w:rPr>
                <w:webHidden/>
              </w:rPr>
            </w:r>
            <w:r w:rsidR="0061256A">
              <w:rPr>
                <w:webHidden/>
              </w:rPr>
              <w:fldChar w:fldCharType="separate"/>
            </w:r>
            <w:r w:rsidR="00C22A9E">
              <w:rPr>
                <w:webHidden/>
              </w:rPr>
              <w:t>85</w:t>
            </w:r>
            <w:r w:rsidR="0061256A">
              <w:rPr>
                <w:webHidden/>
              </w:rPr>
              <w:fldChar w:fldCharType="end"/>
            </w:r>
          </w:hyperlink>
        </w:p>
        <w:p w14:paraId="1DEEE6D1" w14:textId="6614BD26" w:rsidR="0061256A" w:rsidRDefault="00CD44C3">
          <w:pPr>
            <w:pStyle w:val="TOC2"/>
            <w:rPr>
              <w:rFonts w:asciiTheme="minorHAnsi" w:hAnsiTheme="minorHAnsi" w:cstheme="minorBidi"/>
              <w:color w:val="auto"/>
              <w:sz w:val="22"/>
              <w:szCs w:val="22"/>
            </w:rPr>
          </w:pPr>
          <w:hyperlink w:anchor="_Toc121339159" w:history="1">
            <w:r w:rsidR="0061256A" w:rsidRPr="00120F1A">
              <w:rPr>
                <w:rStyle w:val="Hyperlink"/>
              </w:rPr>
              <w:t>9.1.</w:t>
            </w:r>
            <w:r w:rsidR="0061256A">
              <w:rPr>
                <w:rFonts w:asciiTheme="minorHAnsi" w:hAnsiTheme="minorHAnsi" w:cstheme="minorBidi"/>
                <w:color w:val="auto"/>
                <w:sz w:val="22"/>
                <w:szCs w:val="22"/>
              </w:rPr>
              <w:tab/>
            </w:r>
            <w:r w:rsidR="0061256A" w:rsidRPr="00120F1A">
              <w:rPr>
                <w:rStyle w:val="Hyperlink"/>
              </w:rPr>
              <w:t>Overview</w:t>
            </w:r>
            <w:r w:rsidR="0061256A">
              <w:rPr>
                <w:webHidden/>
              </w:rPr>
              <w:tab/>
            </w:r>
            <w:r w:rsidR="0061256A">
              <w:rPr>
                <w:webHidden/>
              </w:rPr>
              <w:fldChar w:fldCharType="begin"/>
            </w:r>
            <w:r w:rsidR="0061256A">
              <w:rPr>
                <w:webHidden/>
              </w:rPr>
              <w:instrText xml:space="preserve"> PAGEREF _Toc121339159 \h </w:instrText>
            </w:r>
            <w:r w:rsidR="0061256A">
              <w:rPr>
                <w:webHidden/>
              </w:rPr>
            </w:r>
            <w:r w:rsidR="0061256A">
              <w:rPr>
                <w:webHidden/>
              </w:rPr>
              <w:fldChar w:fldCharType="separate"/>
            </w:r>
            <w:r w:rsidR="00C22A9E">
              <w:rPr>
                <w:webHidden/>
              </w:rPr>
              <w:t>85</w:t>
            </w:r>
            <w:r w:rsidR="0061256A">
              <w:rPr>
                <w:webHidden/>
              </w:rPr>
              <w:fldChar w:fldCharType="end"/>
            </w:r>
          </w:hyperlink>
        </w:p>
        <w:p w14:paraId="7119B3EB" w14:textId="2E82BF81" w:rsidR="0061256A" w:rsidRDefault="00CD44C3">
          <w:pPr>
            <w:pStyle w:val="TOC2"/>
            <w:rPr>
              <w:rFonts w:asciiTheme="minorHAnsi" w:hAnsiTheme="minorHAnsi" w:cstheme="minorBidi"/>
              <w:color w:val="auto"/>
              <w:sz w:val="22"/>
              <w:szCs w:val="22"/>
            </w:rPr>
          </w:pPr>
          <w:hyperlink w:anchor="_Toc121339160" w:history="1">
            <w:r w:rsidR="0061256A" w:rsidRPr="00120F1A">
              <w:rPr>
                <w:rStyle w:val="Hyperlink"/>
              </w:rPr>
              <w:t>9.2.</w:t>
            </w:r>
            <w:r w:rsidR="0061256A">
              <w:rPr>
                <w:rFonts w:asciiTheme="minorHAnsi" w:hAnsiTheme="minorHAnsi" w:cstheme="minorBidi"/>
                <w:color w:val="auto"/>
                <w:sz w:val="22"/>
                <w:szCs w:val="22"/>
              </w:rPr>
              <w:tab/>
            </w:r>
            <w:r w:rsidR="0061256A" w:rsidRPr="00120F1A">
              <w:rPr>
                <w:rStyle w:val="Hyperlink"/>
              </w:rPr>
              <w:t>Climatic Factors and Material Assets</w:t>
            </w:r>
            <w:r w:rsidR="0061256A">
              <w:rPr>
                <w:webHidden/>
              </w:rPr>
              <w:tab/>
            </w:r>
            <w:r w:rsidR="0061256A">
              <w:rPr>
                <w:webHidden/>
              </w:rPr>
              <w:fldChar w:fldCharType="begin"/>
            </w:r>
            <w:r w:rsidR="0061256A">
              <w:rPr>
                <w:webHidden/>
              </w:rPr>
              <w:instrText xml:space="preserve"> PAGEREF _Toc121339160 \h </w:instrText>
            </w:r>
            <w:r w:rsidR="0061256A">
              <w:rPr>
                <w:webHidden/>
              </w:rPr>
            </w:r>
            <w:r w:rsidR="0061256A">
              <w:rPr>
                <w:webHidden/>
              </w:rPr>
              <w:fldChar w:fldCharType="separate"/>
            </w:r>
            <w:r w:rsidR="00C22A9E">
              <w:rPr>
                <w:webHidden/>
              </w:rPr>
              <w:t>85</w:t>
            </w:r>
            <w:r w:rsidR="0061256A">
              <w:rPr>
                <w:webHidden/>
              </w:rPr>
              <w:fldChar w:fldCharType="end"/>
            </w:r>
          </w:hyperlink>
        </w:p>
        <w:p w14:paraId="02182FF7" w14:textId="497FB640" w:rsidR="0061256A" w:rsidRDefault="00CD44C3">
          <w:pPr>
            <w:pStyle w:val="TOC3"/>
            <w:tabs>
              <w:tab w:val="left" w:pos="1540"/>
            </w:tabs>
            <w:rPr>
              <w:rFonts w:asciiTheme="minorHAnsi" w:hAnsiTheme="minorHAnsi" w:cstheme="minorBidi"/>
              <w:i w:val="0"/>
              <w:color w:val="auto"/>
              <w:sz w:val="22"/>
              <w:szCs w:val="22"/>
            </w:rPr>
          </w:pPr>
          <w:hyperlink w:anchor="_Toc121339161" w:history="1">
            <w:r w:rsidR="0061256A" w:rsidRPr="00120F1A">
              <w:rPr>
                <w:rStyle w:val="Hyperlink"/>
              </w:rPr>
              <w:t>9.2.1.</w:t>
            </w:r>
            <w:r w:rsidR="0061256A">
              <w:rPr>
                <w:rFonts w:asciiTheme="minorHAnsi" w:hAnsiTheme="minorHAnsi" w:cstheme="minorBidi"/>
                <w:i w:val="0"/>
                <w:color w:val="auto"/>
                <w:sz w:val="22"/>
                <w:szCs w:val="22"/>
              </w:rPr>
              <w:tab/>
            </w:r>
            <w:r w:rsidR="0061256A" w:rsidRPr="00120F1A">
              <w:rPr>
                <w:rStyle w:val="Hyperlink"/>
              </w:rPr>
              <w:t>Strategic Opportunities to Reduce Greenhouse Gas Emissions</w:t>
            </w:r>
            <w:r w:rsidR="0061256A">
              <w:rPr>
                <w:webHidden/>
              </w:rPr>
              <w:tab/>
            </w:r>
            <w:r w:rsidR="0061256A">
              <w:rPr>
                <w:webHidden/>
              </w:rPr>
              <w:fldChar w:fldCharType="begin"/>
            </w:r>
            <w:r w:rsidR="0061256A">
              <w:rPr>
                <w:webHidden/>
              </w:rPr>
              <w:instrText xml:space="preserve"> PAGEREF _Toc121339161 \h </w:instrText>
            </w:r>
            <w:r w:rsidR="0061256A">
              <w:rPr>
                <w:webHidden/>
              </w:rPr>
            </w:r>
            <w:r w:rsidR="0061256A">
              <w:rPr>
                <w:webHidden/>
              </w:rPr>
              <w:fldChar w:fldCharType="separate"/>
            </w:r>
            <w:r w:rsidR="00C22A9E">
              <w:rPr>
                <w:webHidden/>
              </w:rPr>
              <w:t>85</w:t>
            </w:r>
            <w:r w:rsidR="0061256A">
              <w:rPr>
                <w:webHidden/>
              </w:rPr>
              <w:fldChar w:fldCharType="end"/>
            </w:r>
          </w:hyperlink>
        </w:p>
        <w:p w14:paraId="74F4D84A" w14:textId="126A16F5" w:rsidR="0061256A" w:rsidRDefault="00CD44C3">
          <w:pPr>
            <w:pStyle w:val="TOC3"/>
            <w:tabs>
              <w:tab w:val="left" w:pos="1540"/>
            </w:tabs>
            <w:rPr>
              <w:rFonts w:asciiTheme="minorHAnsi" w:hAnsiTheme="minorHAnsi" w:cstheme="minorBidi"/>
              <w:i w:val="0"/>
              <w:color w:val="auto"/>
              <w:sz w:val="22"/>
              <w:szCs w:val="22"/>
            </w:rPr>
          </w:pPr>
          <w:hyperlink w:anchor="_Toc121339162" w:history="1">
            <w:r w:rsidR="0061256A" w:rsidRPr="00120F1A">
              <w:rPr>
                <w:rStyle w:val="Hyperlink"/>
              </w:rPr>
              <w:t>9.2.2.</w:t>
            </w:r>
            <w:r w:rsidR="0061256A">
              <w:rPr>
                <w:rFonts w:asciiTheme="minorHAnsi" w:hAnsiTheme="minorHAnsi" w:cstheme="minorBidi"/>
                <w:i w:val="0"/>
                <w:color w:val="auto"/>
                <w:sz w:val="22"/>
                <w:szCs w:val="22"/>
              </w:rPr>
              <w:tab/>
            </w:r>
            <w:r w:rsidR="0061256A" w:rsidRPr="00120F1A">
              <w:rPr>
                <w:rStyle w:val="Hyperlink"/>
              </w:rPr>
              <w:t>Early Planning to Avoid or Reduce Greenhouse Gas Emissions</w:t>
            </w:r>
            <w:r w:rsidR="0061256A">
              <w:rPr>
                <w:webHidden/>
              </w:rPr>
              <w:tab/>
            </w:r>
            <w:r w:rsidR="0061256A">
              <w:rPr>
                <w:webHidden/>
              </w:rPr>
              <w:fldChar w:fldCharType="begin"/>
            </w:r>
            <w:r w:rsidR="0061256A">
              <w:rPr>
                <w:webHidden/>
              </w:rPr>
              <w:instrText xml:space="preserve"> PAGEREF _Toc121339162 \h </w:instrText>
            </w:r>
            <w:r w:rsidR="0061256A">
              <w:rPr>
                <w:webHidden/>
              </w:rPr>
            </w:r>
            <w:r w:rsidR="0061256A">
              <w:rPr>
                <w:webHidden/>
              </w:rPr>
              <w:fldChar w:fldCharType="separate"/>
            </w:r>
            <w:r w:rsidR="00C22A9E">
              <w:rPr>
                <w:webHidden/>
              </w:rPr>
              <w:t>88</w:t>
            </w:r>
            <w:r w:rsidR="0061256A">
              <w:rPr>
                <w:webHidden/>
              </w:rPr>
              <w:fldChar w:fldCharType="end"/>
            </w:r>
          </w:hyperlink>
        </w:p>
        <w:p w14:paraId="701A8C9D" w14:textId="0557B157" w:rsidR="0061256A" w:rsidRDefault="00CD44C3">
          <w:pPr>
            <w:pStyle w:val="TOC3"/>
            <w:tabs>
              <w:tab w:val="left" w:pos="1540"/>
            </w:tabs>
            <w:rPr>
              <w:rFonts w:asciiTheme="minorHAnsi" w:hAnsiTheme="minorHAnsi" w:cstheme="minorBidi"/>
              <w:i w:val="0"/>
              <w:color w:val="auto"/>
              <w:sz w:val="22"/>
              <w:szCs w:val="22"/>
            </w:rPr>
          </w:pPr>
          <w:hyperlink w:anchor="_Toc121339163" w:history="1">
            <w:r w:rsidR="0061256A" w:rsidRPr="00120F1A">
              <w:rPr>
                <w:rStyle w:val="Hyperlink"/>
              </w:rPr>
              <w:t>9.2.3.</w:t>
            </w:r>
            <w:r w:rsidR="0061256A">
              <w:rPr>
                <w:rFonts w:asciiTheme="minorHAnsi" w:hAnsiTheme="minorHAnsi" w:cstheme="minorBidi"/>
                <w:i w:val="0"/>
                <w:color w:val="auto"/>
                <w:sz w:val="22"/>
                <w:szCs w:val="22"/>
              </w:rPr>
              <w:tab/>
            </w:r>
            <w:r w:rsidR="0061256A" w:rsidRPr="00120F1A">
              <w:rPr>
                <w:rStyle w:val="Hyperlink"/>
              </w:rPr>
              <w:t>Choice of Materials for Transport Interventions</w:t>
            </w:r>
            <w:r w:rsidR="0061256A">
              <w:rPr>
                <w:webHidden/>
              </w:rPr>
              <w:tab/>
            </w:r>
            <w:r w:rsidR="0061256A">
              <w:rPr>
                <w:webHidden/>
              </w:rPr>
              <w:fldChar w:fldCharType="begin"/>
            </w:r>
            <w:r w:rsidR="0061256A">
              <w:rPr>
                <w:webHidden/>
              </w:rPr>
              <w:instrText xml:space="preserve"> PAGEREF _Toc121339163 \h </w:instrText>
            </w:r>
            <w:r w:rsidR="0061256A">
              <w:rPr>
                <w:webHidden/>
              </w:rPr>
            </w:r>
            <w:r w:rsidR="0061256A">
              <w:rPr>
                <w:webHidden/>
              </w:rPr>
              <w:fldChar w:fldCharType="separate"/>
            </w:r>
            <w:r w:rsidR="00C22A9E">
              <w:rPr>
                <w:webHidden/>
              </w:rPr>
              <w:t>89</w:t>
            </w:r>
            <w:r w:rsidR="0061256A">
              <w:rPr>
                <w:webHidden/>
              </w:rPr>
              <w:fldChar w:fldCharType="end"/>
            </w:r>
          </w:hyperlink>
        </w:p>
        <w:p w14:paraId="45914C02" w14:textId="433B2218" w:rsidR="0061256A" w:rsidRDefault="00CD44C3">
          <w:pPr>
            <w:pStyle w:val="TOC3"/>
            <w:tabs>
              <w:tab w:val="left" w:pos="1540"/>
            </w:tabs>
            <w:rPr>
              <w:rFonts w:asciiTheme="minorHAnsi" w:hAnsiTheme="minorHAnsi" w:cstheme="minorBidi"/>
              <w:i w:val="0"/>
              <w:color w:val="auto"/>
              <w:sz w:val="22"/>
              <w:szCs w:val="22"/>
            </w:rPr>
          </w:pPr>
          <w:hyperlink w:anchor="_Toc121339164" w:history="1">
            <w:r w:rsidR="0061256A" w:rsidRPr="00120F1A">
              <w:rPr>
                <w:rStyle w:val="Hyperlink"/>
              </w:rPr>
              <w:t>9.2.4.</w:t>
            </w:r>
            <w:r w:rsidR="0061256A">
              <w:rPr>
                <w:rFonts w:asciiTheme="minorHAnsi" w:hAnsiTheme="minorHAnsi" w:cstheme="minorBidi"/>
                <w:i w:val="0"/>
                <w:color w:val="auto"/>
                <w:sz w:val="22"/>
                <w:szCs w:val="22"/>
              </w:rPr>
              <w:tab/>
            </w:r>
            <w:r w:rsidR="0061256A" w:rsidRPr="00120F1A">
              <w:rPr>
                <w:rStyle w:val="Hyperlink"/>
              </w:rPr>
              <w:t>Construction Methods</w:t>
            </w:r>
            <w:r w:rsidR="0061256A">
              <w:rPr>
                <w:webHidden/>
              </w:rPr>
              <w:tab/>
            </w:r>
            <w:r w:rsidR="0061256A">
              <w:rPr>
                <w:webHidden/>
              </w:rPr>
              <w:fldChar w:fldCharType="begin"/>
            </w:r>
            <w:r w:rsidR="0061256A">
              <w:rPr>
                <w:webHidden/>
              </w:rPr>
              <w:instrText xml:space="preserve"> PAGEREF _Toc121339164 \h </w:instrText>
            </w:r>
            <w:r w:rsidR="0061256A">
              <w:rPr>
                <w:webHidden/>
              </w:rPr>
            </w:r>
            <w:r w:rsidR="0061256A">
              <w:rPr>
                <w:webHidden/>
              </w:rPr>
              <w:fldChar w:fldCharType="separate"/>
            </w:r>
            <w:r w:rsidR="00C22A9E">
              <w:rPr>
                <w:webHidden/>
              </w:rPr>
              <w:t>90</w:t>
            </w:r>
            <w:r w:rsidR="0061256A">
              <w:rPr>
                <w:webHidden/>
              </w:rPr>
              <w:fldChar w:fldCharType="end"/>
            </w:r>
          </w:hyperlink>
        </w:p>
        <w:p w14:paraId="721DD4FF" w14:textId="323E8839" w:rsidR="0061256A" w:rsidRDefault="00CD44C3">
          <w:pPr>
            <w:pStyle w:val="TOC3"/>
            <w:tabs>
              <w:tab w:val="left" w:pos="1540"/>
            </w:tabs>
            <w:rPr>
              <w:rFonts w:asciiTheme="minorHAnsi" w:hAnsiTheme="minorHAnsi" w:cstheme="minorBidi"/>
              <w:i w:val="0"/>
              <w:color w:val="auto"/>
              <w:sz w:val="22"/>
              <w:szCs w:val="22"/>
            </w:rPr>
          </w:pPr>
          <w:hyperlink w:anchor="_Toc121339165" w:history="1">
            <w:r w:rsidR="0061256A" w:rsidRPr="00120F1A">
              <w:rPr>
                <w:rStyle w:val="Hyperlink"/>
              </w:rPr>
              <w:t>9.2.5.</w:t>
            </w:r>
            <w:r w:rsidR="0061256A">
              <w:rPr>
                <w:rFonts w:asciiTheme="minorHAnsi" w:hAnsiTheme="minorHAnsi" w:cstheme="minorBidi"/>
                <w:i w:val="0"/>
                <w:color w:val="auto"/>
                <w:sz w:val="22"/>
                <w:szCs w:val="22"/>
              </w:rPr>
              <w:tab/>
            </w:r>
            <w:r w:rsidR="0061256A" w:rsidRPr="00120F1A">
              <w:rPr>
                <w:rStyle w:val="Hyperlink"/>
              </w:rPr>
              <w:t>Carbon Sequestration Opportunities</w:t>
            </w:r>
            <w:r w:rsidR="0061256A">
              <w:rPr>
                <w:webHidden/>
              </w:rPr>
              <w:tab/>
            </w:r>
            <w:r w:rsidR="0061256A">
              <w:rPr>
                <w:webHidden/>
              </w:rPr>
              <w:fldChar w:fldCharType="begin"/>
            </w:r>
            <w:r w:rsidR="0061256A">
              <w:rPr>
                <w:webHidden/>
              </w:rPr>
              <w:instrText xml:space="preserve"> PAGEREF _Toc121339165 \h </w:instrText>
            </w:r>
            <w:r w:rsidR="0061256A">
              <w:rPr>
                <w:webHidden/>
              </w:rPr>
            </w:r>
            <w:r w:rsidR="0061256A">
              <w:rPr>
                <w:webHidden/>
              </w:rPr>
              <w:fldChar w:fldCharType="separate"/>
            </w:r>
            <w:r w:rsidR="00C22A9E">
              <w:rPr>
                <w:webHidden/>
              </w:rPr>
              <w:t>90</w:t>
            </w:r>
            <w:r w:rsidR="0061256A">
              <w:rPr>
                <w:webHidden/>
              </w:rPr>
              <w:fldChar w:fldCharType="end"/>
            </w:r>
          </w:hyperlink>
        </w:p>
        <w:p w14:paraId="7D812688" w14:textId="3387F0CF" w:rsidR="0061256A" w:rsidRDefault="00CD44C3">
          <w:pPr>
            <w:pStyle w:val="TOC3"/>
            <w:tabs>
              <w:tab w:val="left" w:pos="1540"/>
            </w:tabs>
            <w:rPr>
              <w:rFonts w:asciiTheme="minorHAnsi" w:hAnsiTheme="minorHAnsi" w:cstheme="minorBidi"/>
              <w:i w:val="0"/>
              <w:color w:val="auto"/>
              <w:sz w:val="22"/>
              <w:szCs w:val="22"/>
            </w:rPr>
          </w:pPr>
          <w:hyperlink w:anchor="_Toc121339166" w:history="1">
            <w:r w:rsidR="0061256A" w:rsidRPr="00120F1A">
              <w:rPr>
                <w:rStyle w:val="Hyperlink"/>
              </w:rPr>
              <w:t>9.2.6.</w:t>
            </w:r>
            <w:r w:rsidR="0061256A">
              <w:rPr>
                <w:rFonts w:asciiTheme="minorHAnsi" w:hAnsiTheme="minorHAnsi" w:cstheme="minorBidi"/>
                <w:i w:val="0"/>
                <w:color w:val="auto"/>
                <w:sz w:val="22"/>
                <w:szCs w:val="22"/>
              </w:rPr>
              <w:tab/>
            </w:r>
            <w:r w:rsidR="0061256A" w:rsidRPr="00120F1A">
              <w:rPr>
                <w:rStyle w:val="Hyperlink"/>
              </w:rPr>
              <w:t>Climate Adaptation Opportunities</w:t>
            </w:r>
            <w:r w:rsidR="0061256A">
              <w:rPr>
                <w:webHidden/>
              </w:rPr>
              <w:tab/>
            </w:r>
            <w:r w:rsidR="0061256A">
              <w:rPr>
                <w:webHidden/>
              </w:rPr>
              <w:fldChar w:fldCharType="begin"/>
            </w:r>
            <w:r w:rsidR="0061256A">
              <w:rPr>
                <w:webHidden/>
              </w:rPr>
              <w:instrText xml:space="preserve"> PAGEREF _Toc121339166 \h </w:instrText>
            </w:r>
            <w:r w:rsidR="0061256A">
              <w:rPr>
                <w:webHidden/>
              </w:rPr>
            </w:r>
            <w:r w:rsidR="0061256A">
              <w:rPr>
                <w:webHidden/>
              </w:rPr>
              <w:fldChar w:fldCharType="separate"/>
            </w:r>
            <w:r w:rsidR="00C22A9E">
              <w:rPr>
                <w:webHidden/>
              </w:rPr>
              <w:t>90</w:t>
            </w:r>
            <w:r w:rsidR="0061256A">
              <w:rPr>
                <w:webHidden/>
              </w:rPr>
              <w:fldChar w:fldCharType="end"/>
            </w:r>
          </w:hyperlink>
        </w:p>
        <w:p w14:paraId="5EB01ED3" w14:textId="5E3A8D5B" w:rsidR="0061256A" w:rsidRDefault="00CD44C3">
          <w:pPr>
            <w:pStyle w:val="TOC2"/>
            <w:rPr>
              <w:rFonts w:asciiTheme="minorHAnsi" w:hAnsiTheme="minorHAnsi" w:cstheme="minorBidi"/>
              <w:color w:val="auto"/>
              <w:sz w:val="22"/>
              <w:szCs w:val="22"/>
            </w:rPr>
          </w:pPr>
          <w:hyperlink w:anchor="_Toc121339167" w:history="1">
            <w:r w:rsidR="0061256A" w:rsidRPr="00120F1A">
              <w:rPr>
                <w:rStyle w:val="Hyperlink"/>
              </w:rPr>
              <w:t>9.3.</w:t>
            </w:r>
            <w:r w:rsidR="0061256A">
              <w:rPr>
                <w:rFonts w:asciiTheme="minorHAnsi" w:hAnsiTheme="minorHAnsi" w:cstheme="minorBidi"/>
                <w:color w:val="auto"/>
                <w:sz w:val="22"/>
                <w:szCs w:val="22"/>
              </w:rPr>
              <w:tab/>
            </w:r>
            <w:r w:rsidR="0061256A" w:rsidRPr="00120F1A">
              <w:rPr>
                <w:rStyle w:val="Hyperlink"/>
              </w:rPr>
              <w:t>Population and Human Health</w:t>
            </w:r>
            <w:r w:rsidR="0061256A">
              <w:rPr>
                <w:webHidden/>
              </w:rPr>
              <w:tab/>
            </w:r>
            <w:r w:rsidR="0061256A">
              <w:rPr>
                <w:webHidden/>
              </w:rPr>
              <w:fldChar w:fldCharType="begin"/>
            </w:r>
            <w:r w:rsidR="0061256A">
              <w:rPr>
                <w:webHidden/>
              </w:rPr>
              <w:instrText xml:space="preserve"> PAGEREF _Toc121339167 \h </w:instrText>
            </w:r>
            <w:r w:rsidR="0061256A">
              <w:rPr>
                <w:webHidden/>
              </w:rPr>
            </w:r>
            <w:r w:rsidR="0061256A">
              <w:rPr>
                <w:webHidden/>
              </w:rPr>
              <w:fldChar w:fldCharType="separate"/>
            </w:r>
            <w:r w:rsidR="00C22A9E">
              <w:rPr>
                <w:webHidden/>
              </w:rPr>
              <w:t>91</w:t>
            </w:r>
            <w:r w:rsidR="0061256A">
              <w:rPr>
                <w:webHidden/>
              </w:rPr>
              <w:fldChar w:fldCharType="end"/>
            </w:r>
          </w:hyperlink>
        </w:p>
        <w:p w14:paraId="259B6264" w14:textId="4E337411" w:rsidR="0061256A" w:rsidRDefault="00CD44C3">
          <w:pPr>
            <w:pStyle w:val="TOC2"/>
            <w:rPr>
              <w:rFonts w:asciiTheme="minorHAnsi" w:hAnsiTheme="minorHAnsi" w:cstheme="minorBidi"/>
              <w:color w:val="auto"/>
              <w:sz w:val="22"/>
              <w:szCs w:val="22"/>
            </w:rPr>
          </w:pPr>
          <w:hyperlink w:anchor="_Toc121339168" w:history="1">
            <w:r w:rsidR="0061256A" w:rsidRPr="00120F1A">
              <w:rPr>
                <w:rStyle w:val="Hyperlink"/>
              </w:rPr>
              <w:t>9.4.</w:t>
            </w:r>
            <w:r w:rsidR="0061256A">
              <w:rPr>
                <w:rFonts w:asciiTheme="minorHAnsi" w:hAnsiTheme="minorHAnsi" w:cstheme="minorBidi"/>
                <w:color w:val="auto"/>
                <w:sz w:val="22"/>
                <w:szCs w:val="22"/>
              </w:rPr>
              <w:tab/>
            </w:r>
            <w:r w:rsidR="0061256A" w:rsidRPr="00120F1A">
              <w:rPr>
                <w:rStyle w:val="Hyperlink"/>
              </w:rPr>
              <w:t>Water</w:t>
            </w:r>
            <w:r w:rsidR="0061256A">
              <w:rPr>
                <w:webHidden/>
              </w:rPr>
              <w:tab/>
            </w:r>
            <w:r w:rsidR="0061256A">
              <w:rPr>
                <w:webHidden/>
              </w:rPr>
              <w:fldChar w:fldCharType="begin"/>
            </w:r>
            <w:r w:rsidR="0061256A">
              <w:rPr>
                <w:webHidden/>
              </w:rPr>
              <w:instrText xml:space="preserve"> PAGEREF _Toc121339168 \h </w:instrText>
            </w:r>
            <w:r w:rsidR="0061256A">
              <w:rPr>
                <w:webHidden/>
              </w:rPr>
            </w:r>
            <w:r w:rsidR="0061256A">
              <w:rPr>
                <w:webHidden/>
              </w:rPr>
              <w:fldChar w:fldCharType="separate"/>
            </w:r>
            <w:r w:rsidR="00C22A9E">
              <w:rPr>
                <w:webHidden/>
              </w:rPr>
              <w:t>92</w:t>
            </w:r>
            <w:r w:rsidR="0061256A">
              <w:rPr>
                <w:webHidden/>
              </w:rPr>
              <w:fldChar w:fldCharType="end"/>
            </w:r>
          </w:hyperlink>
        </w:p>
        <w:p w14:paraId="551A52B8" w14:textId="26F63716" w:rsidR="0061256A" w:rsidRDefault="00CD44C3">
          <w:pPr>
            <w:pStyle w:val="TOC2"/>
            <w:rPr>
              <w:rFonts w:asciiTheme="minorHAnsi" w:hAnsiTheme="minorHAnsi" w:cstheme="minorBidi"/>
              <w:color w:val="auto"/>
              <w:sz w:val="22"/>
              <w:szCs w:val="22"/>
            </w:rPr>
          </w:pPr>
          <w:hyperlink w:anchor="_Toc121339169" w:history="1">
            <w:r w:rsidR="0061256A" w:rsidRPr="00120F1A">
              <w:rPr>
                <w:rStyle w:val="Hyperlink"/>
              </w:rPr>
              <w:t>9.5.</w:t>
            </w:r>
            <w:r w:rsidR="0061256A">
              <w:rPr>
                <w:rFonts w:asciiTheme="minorHAnsi" w:hAnsiTheme="minorHAnsi" w:cstheme="minorBidi"/>
                <w:color w:val="auto"/>
                <w:sz w:val="22"/>
                <w:szCs w:val="22"/>
              </w:rPr>
              <w:tab/>
            </w:r>
            <w:r w:rsidR="0061256A" w:rsidRPr="00120F1A">
              <w:rPr>
                <w:rStyle w:val="Hyperlink"/>
              </w:rPr>
              <w:t>Biodiversity</w:t>
            </w:r>
            <w:r w:rsidR="0061256A">
              <w:rPr>
                <w:webHidden/>
              </w:rPr>
              <w:tab/>
            </w:r>
            <w:r w:rsidR="0061256A">
              <w:rPr>
                <w:webHidden/>
              </w:rPr>
              <w:fldChar w:fldCharType="begin"/>
            </w:r>
            <w:r w:rsidR="0061256A">
              <w:rPr>
                <w:webHidden/>
              </w:rPr>
              <w:instrText xml:space="preserve"> PAGEREF _Toc121339169 \h </w:instrText>
            </w:r>
            <w:r w:rsidR="0061256A">
              <w:rPr>
                <w:webHidden/>
              </w:rPr>
            </w:r>
            <w:r w:rsidR="0061256A">
              <w:rPr>
                <w:webHidden/>
              </w:rPr>
              <w:fldChar w:fldCharType="separate"/>
            </w:r>
            <w:r w:rsidR="00C22A9E">
              <w:rPr>
                <w:webHidden/>
              </w:rPr>
              <w:t>92</w:t>
            </w:r>
            <w:r w:rsidR="0061256A">
              <w:rPr>
                <w:webHidden/>
              </w:rPr>
              <w:fldChar w:fldCharType="end"/>
            </w:r>
          </w:hyperlink>
        </w:p>
        <w:p w14:paraId="6DE4461E" w14:textId="3832EE11" w:rsidR="0061256A" w:rsidRDefault="00CD44C3">
          <w:pPr>
            <w:pStyle w:val="TOC2"/>
            <w:rPr>
              <w:rFonts w:asciiTheme="minorHAnsi" w:hAnsiTheme="minorHAnsi" w:cstheme="minorBidi"/>
              <w:color w:val="auto"/>
              <w:sz w:val="22"/>
              <w:szCs w:val="22"/>
            </w:rPr>
          </w:pPr>
          <w:hyperlink w:anchor="_Toc121339170" w:history="1">
            <w:r w:rsidR="0061256A" w:rsidRPr="00120F1A">
              <w:rPr>
                <w:rStyle w:val="Hyperlink"/>
              </w:rPr>
              <w:t>9.6.</w:t>
            </w:r>
            <w:r w:rsidR="0061256A">
              <w:rPr>
                <w:rFonts w:asciiTheme="minorHAnsi" w:hAnsiTheme="minorHAnsi" w:cstheme="minorBidi"/>
                <w:color w:val="auto"/>
                <w:sz w:val="22"/>
                <w:szCs w:val="22"/>
              </w:rPr>
              <w:tab/>
            </w:r>
            <w:r w:rsidR="0061256A" w:rsidRPr="00120F1A">
              <w:rPr>
                <w:rStyle w:val="Hyperlink"/>
              </w:rPr>
              <w:t>Soil</w:t>
            </w:r>
            <w:r w:rsidR="0061256A">
              <w:rPr>
                <w:webHidden/>
              </w:rPr>
              <w:tab/>
            </w:r>
            <w:r w:rsidR="0061256A">
              <w:rPr>
                <w:webHidden/>
              </w:rPr>
              <w:fldChar w:fldCharType="begin"/>
            </w:r>
            <w:r w:rsidR="0061256A">
              <w:rPr>
                <w:webHidden/>
              </w:rPr>
              <w:instrText xml:space="preserve"> PAGEREF _Toc121339170 \h </w:instrText>
            </w:r>
            <w:r w:rsidR="0061256A">
              <w:rPr>
                <w:webHidden/>
              </w:rPr>
            </w:r>
            <w:r w:rsidR="0061256A">
              <w:rPr>
                <w:webHidden/>
              </w:rPr>
              <w:fldChar w:fldCharType="separate"/>
            </w:r>
            <w:r w:rsidR="00C22A9E">
              <w:rPr>
                <w:webHidden/>
              </w:rPr>
              <w:t>92</w:t>
            </w:r>
            <w:r w:rsidR="0061256A">
              <w:rPr>
                <w:webHidden/>
              </w:rPr>
              <w:fldChar w:fldCharType="end"/>
            </w:r>
          </w:hyperlink>
        </w:p>
        <w:p w14:paraId="6962CE9A" w14:textId="02C48AEA" w:rsidR="0061256A" w:rsidRDefault="00CD44C3">
          <w:pPr>
            <w:pStyle w:val="TOC2"/>
            <w:rPr>
              <w:rFonts w:asciiTheme="minorHAnsi" w:hAnsiTheme="minorHAnsi" w:cstheme="minorBidi"/>
              <w:color w:val="auto"/>
              <w:sz w:val="22"/>
              <w:szCs w:val="22"/>
            </w:rPr>
          </w:pPr>
          <w:hyperlink w:anchor="_Toc121339171" w:history="1">
            <w:r w:rsidR="0061256A" w:rsidRPr="00120F1A">
              <w:rPr>
                <w:rStyle w:val="Hyperlink"/>
              </w:rPr>
              <w:t>9.7.</w:t>
            </w:r>
            <w:r w:rsidR="0061256A">
              <w:rPr>
                <w:rFonts w:asciiTheme="minorHAnsi" w:hAnsiTheme="minorHAnsi" w:cstheme="minorBidi"/>
                <w:color w:val="auto"/>
                <w:sz w:val="22"/>
                <w:szCs w:val="22"/>
              </w:rPr>
              <w:tab/>
            </w:r>
            <w:r w:rsidR="0061256A" w:rsidRPr="00120F1A">
              <w:rPr>
                <w:rStyle w:val="Hyperlink"/>
              </w:rPr>
              <w:t>Cultural Heritage</w:t>
            </w:r>
            <w:r w:rsidR="0061256A">
              <w:rPr>
                <w:webHidden/>
              </w:rPr>
              <w:tab/>
            </w:r>
            <w:r w:rsidR="0061256A">
              <w:rPr>
                <w:webHidden/>
              </w:rPr>
              <w:fldChar w:fldCharType="begin"/>
            </w:r>
            <w:r w:rsidR="0061256A">
              <w:rPr>
                <w:webHidden/>
              </w:rPr>
              <w:instrText xml:space="preserve"> PAGEREF _Toc121339171 \h </w:instrText>
            </w:r>
            <w:r w:rsidR="0061256A">
              <w:rPr>
                <w:webHidden/>
              </w:rPr>
            </w:r>
            <w:r w:rsidR="0061256A">
              <w:rPr>
                <w:webHidden/>
              </w:rPr>
              <w:fldChar w:fldCharType="separate"/>
            </w:r>
            <w:r w:rsidR="00C22A9E">
              <w:rPr>
                <w:webHidden/>
              </w:rPr>
              <w:t>93</w:t>
            </w:r>
            <w:r w:rsidR="0061256A">
              <w:rPr>
                <w:webHidden/>
              </w:rPr>
              <w:fldChar w:fldCharType="end"/>
            </w:r>
          </w:hyperlink>
        </w:p>
        <w:p w14:paraId="0E9CE4C2" w14:textId="5133B8A8" w:rsidR="0061256A" w:rsidRDefault="00CD44C3">
          <w:pPr>
            <w:pStyle w:val="TOC2"/>
            <w:rPr>
              <w:rFonts w:asciiTheme="minorHAnsi" w:hAnsiTheme="minorHAnsi" w:cstheme="minorBidi"/>
              <w:color w:val="auto"/>
              <w:sz w:val="22"/>
              <w:szCs w:val="22"/>
            </w:rPr>
          </w:pPr>
          <w:hyperlink w:anchor="_Toc121339172" w:history="1">
            <w:r w:rsidR="0061256A" w:rsidRPr="00120F1A">
              <w:rPr>
                <w:rStyle w:val="Hyperlink"/>
              </w:rPr>
              <w:t>9.8.</w:t>
            </w:r>
            <w:r w:rsidR="0061256A">
              <w:rPr>
                <w:rFonts w:asciiTheme="minorHAnsi" w:hAnsiTheme="minorHAnsi" w:cstheme="minorBidi"/>
                <w:color w:val="auto"/>
                <w:sz w:val="22"/>
                <w:szCs w:val="22"/>
              </w:rPr>
              <w:tab/>
            </w:r>
            <w:r w:rsidR="0061256A" w:rsidRPr="00120F1A">
              <w:rPr>
                <w:rStyle w:val="Hyperlink"/>
              </w:rPr>
              <w:t>Landscape and Visual Amenity</w:t>
            </w:r>
            <w:r w:rsidR="0061256A">
              <w:rPr>
                <w:webHidden/>
              </w:rPr>
              <w:tab/>
            </w:r>
            <w:r w:rsidR="0061256A">
              <w:rPr>
                <w:webHidden/>
              </w:rPr>
              <w:fldChar w:fldCharType="begin"/>
            </w:r>
            <w:r w:rsidR="0061256A">
              <w:rPr>
                <w:webHidden/>
              </w:rPr>
              <w:instrText xml:space="preserve"> PAGEREF _Toc121339172 \h </w:instrText>
            </w:r>
            <w:r w:rsidR="0061256A">
              <w:rPr>
                <w:webHidden/>
              </w:rPr>
            </w:r>
            <w:r w:rsidR="0061256A">
              <w:rPr>
                <w:webHidden/>
              </w:rPr>
              <w:fldChar w:fldCharType="separate"/>
            </w:r>
            <w:r w:rsidR="00C22A9E">
              <w:rPr>
                <w:webHidden/>
              </w:rPr>
              <w:t>94</w:t>
            </w:r>
            <w:r w:rsidR="0061256A">
              <w:rPr>
                <w:webHidden/>
              </w:rPr>
              <w:fldChar w:fldCharType="end"/>
            </w:r>
          </w:hyperlink>
        </w:p>
        <w:p w14:paraId="34008ECA" w14:textId="56EE1051" w:rsidR="0061256A" w:rsidRDefault="00CD44C3">
          <w:pPr>
            <w:pStyle w:val="TOC2"/>
            <w:rPr>
              <w:rFonts w:asciiTheme="minorHAnsi" w:hAnsiTheme="minorHAnsi" w:cstheme="minorBidi"/>
              <w:color w:val="auto"/>
              <w:sz w:val="22"/>
              <w:szCs w:val="22"/>
            </w:rPr>
          </w:pPr>
          <w:hyperlink w:anchor="_Toc121339173" w:history="1">
            <w:r w:rsidR="0061256A" w:rsidRPr="00120F1A">
              <w:rPr>
                <w:rStyle w:val="Hyperlink"/>
              </w:rPr>
              <w:t>9.9.</w:t>
            </w:r>
            <w:r w:rsidR="0061256A">
              <w:rPr>
                <w:rFonts w:asciiTheme="minorHAnsi" w:hAnsiTheme="minorHAnsi" w:cstheme="minorBidi"/>
                <w:color w:val="auto"/>
                <w:sz w:val="22"/>
                <w:szCs w:val="22"/>
              </w:rPr>
              <w:tab/>
            </w:r>
            <w:r w:rsidR="0061256A" w:rsidRPr="00120F1A">
              <w:rPr>
                <w:rStyle w:val="Hyperlink"/>
              </w:rPr>
              <w:t>Further Environmental Assessment</w:t>
            </w:r>
            <w:r w:rsidR="0061256A">
              <w:rPr>
                <w:webHidden/>
              </w:rPr>
              <w:tab/>
            </w:r>
            <w:r w:rsidR="0061256A">
              <w:rPr>
                <w:webHidden/>
              </w:rPr>
              <w:fldChar w:fldCharType="begin"/>
            </w:r>
            <w:r w:rsidR="0061256A">
              <w:rPr>
                <w:webHidden/>
              </w:rPr>
              <w:instrText xml:space="preserve"> PAGEREF _Toc121339173 \h </w:instrText>
            </w:r>
            <w:r w:rsidR="0061256A">
              <w:rPr>
                <w:webHidden/>
              </w:rPr>
            </w:r>
            <w:r w:rsidR="0061256A">
              <w:rPr>
                <w:webHidden/>
              </w:rPr>
              <w:fldChar w:fldCharType="separate"/>
            </w:r>
            <w:r w:rsidR="00C22A9E">
              <w:rPr>
                <w:webHidden/>
              </w:rPr>
              <w:t>95</w:t>
            </w:r>
            <w:r w:rsidR="0061256A">
              <w:rPr>
                <w:webHidden/>
              </w:rPr>
              <w:fldChar w:fldCharType="end"/>
            </w:r>
          </w:hyperlink>
        </w:p>
        <w:p w14:paraId="1472AA96" w14:textId="1FAC4AC0" w:rsidR="0061256A" w:rsidRDefault="00CD44C3">
          <w:pPr>
            <w:pStyle w:val="TOC1"/>
            <w:rPr>
              <w:rFonts w:asciiTheme="minorHAnsi" w:hAnsiTheme="minorHAnsi" w:cstheme="minorBidi"/>
              <w:b w:val="0"/>
              <w:color w:val="auto"/>
              <w:sz w:val="22"/>
              <w:szCs w:val="22"/>
            </w:rPr>
          </w:pPr>
          <w:hyperlink w:anchor="_Toc121339174" w:history="1">
            <w:r w:rsidR="0061256A" w:rsidRPr="00120F1A">
              <w:rPr>
                <w:rStyle w:val="Hyperlink"/>
              </w:rPr>
              <w:t>10.</w:t>
            </w:r>
            <w:r w:rsidR="0061256A">
              <w:rPr>
                <w:rFonts w:asciiTheme="minorHAnsi" w:hAnsiTheme="minorHAnsi" w:cstheme="minorBidi"/>
                <w:b w:val="0"/>
                <w:color w:val="auto"/>
                <w:sz w:val="22"/>
                <w:szCs w:val="22"/>
              </w:rPr>
              <w:tab/>
            </w:r>
            <w:r w:rsidR="0061256A" w:rsidRPr="00120F1A">
              <w:rPr>
                <w:rStyle w:val="Hyperlink"/>
              </w:rPr>
              <w:t>Monitoring</w:t>
            </w:r>
            <w:r w:rsidR="0061256A">
              <w:rPr>
                <w:webHidden/>
              </w:rPr>
              <w:tab/>
            </w:r>
            <w:r w:rsidR="0061256A">
              <w:rPr>
                <w:webHidden/>
              </w:rPr>
              <w:fldChar w:fldCharType="begin"/>
            </w:r>
            <w:r w:rsidR="0061256A">
              <w:rPr>
                <w:webHidden/>
              </w:rPr>
              <w:instrText xml:space="preserve"> PAGEREF _Toc121339174 \h </w:instrText>
            </w:r>
            <w:r w:rsidR="0061256A">
              <w:rPr>
                <w:webHidden/>
              </w:rPr>
            </w:r>
            <w:r w:rsidR="0061256A">
              <w:rPr>
                <w:webHidden/>
              </w:rPr>
              <w:fldChar w:fldCharType="separate"/>
            </w:r>
            <w:r w:rsidR="00C22A9E">
              <w:rPr>
                <w:webHidden/>
              </w:rPr>
              <w:t>96</w:t>
            </w:r>
            <w:r w:rsidR="0061256A">
              <w:rPr>
                <w:webHidden/>
              </w:rPr>
              <w:fldChar w:fldCharType="end"/>
            </w:r>
          </w:hyperlink>
        </w:p>
        <w:p w14:paraId="0E06EFBF" w14:textId="6B742A2B" w:rsidR="0061256A" w:rsidRDefault="00CD44C3">
          <w:pPr>
            <w:pStyle w:val="TOC1"/>
            <w:rPr>
              <w:rFonts w:asciiTheme="minorHAnsi" w:hAnsiTheme="minorHAnsi" w:cstheme="minorBidi"/>
              <w:b w:val="0"/>
              <w:color w:val="auto"/>
              <w:sz w:val="22"/>
              <w:szCs w:val="22"/>
            </w:rPr>
          </w:pPr>
          <w:hyperlink w:anchor="_Toc121339175" w:history="1">
            <w:r w:rsidR="0061256A" w:rsidRPr="00120F1A">
              <w:rPr>
                <w:rStyle w:val="Hyperlink"/>
              </w:rPr>
              <w:t>11.</w:t>
            </w:r>
            <w:r w:rsidR="0061256A">
              <w:rPr>
                <w:rFonts w:asciiTheme="minorHAnsi" w:hAnsiTheme="minorHAnsi" w:cstheme="minorBidi"/>
                <w:b w:val="0"/>
                <w:color w:val="auto"/>
                <w:sz w:val="22"/>
                <w:szCs w:val="22"/>
              </w:rPr>
              <w:tab/>
            </w:r>
            <w:r w:rsidR="0061256A" w:rsidRPr="00120F1A">
              <w:rPr>
                <w:rStyle w:val="Hyperlink"/>
              </w:rPr>
              <w:t>Next Steps</w:t>
            </w:r>
            <w:r w:rsidR="0061256A">
              <w:rPr>
                <w:webHidden/>
              </w:rPr>
              <w:tab/>
            </w:r>
            <w:r w:rsidR="0061256A">
              <w:rPr>
                <w:webHidden/>
              </w:rPr>
              <w:fldChar w:fldCharType="begin"/>
            </w:r>
            <w:r w:rsidR="0061256A">
              <w:rPr>
                <w:webHidden/>
              </w:rPr>
              <w:instrText xml:space="preserve"> PAGEREF _Toc121339175 \h </w:instrText>
            </w:r>
            <w:r w:rsidR="0061256A">
              <w:rPr>
                <w:webHidden/>
              </w:rPr>
            </w:r>
            <w:r w:rsidR="0061256A">
              <w:rPr>
                <w:webHidden/>
              </w:rPr>
              <w:fldChar w:fldCharType="separate"/>
            </w:r>
            <w:r w:rsidR="00C22A9E">
              <w:rPr>
                <w:webHidden/>
              </w:rPr>
              <w:t>100</w:t>
            </w:r>
            <w:r w:rsidR="0061256A">
              <w:rPr>
                <w:webHidden/>
              </w:rPr>
              <w:fldChar w:fldCharType="end"/>
            </w:r>
          </w:hyperlink>
        </w:p>
        <w:p w14:paraId="3B282F27" w14:textId="462631DB" w:rsidR="0061256A" w:rsidRDefault="00CD44C3">
          <w:pPr>
            <w:pStyle w:val="TOC1"/>
            <w:rPr>
              <w:rFonts w:asciiTheme="minorHAnsi" w:hAnsiTheme="minorHAnsi" w:cstheme="minorBidi"/>
              <w:b w:val="0"/>
              <w:color w:val="auto"/>
              <w:sz w:val="22"/>
              <w:szCs w:val="22"/>
            </w:rPr>
          </w:pPr>
          <w:hyperlink w:anchor="_Toc121339176" w:history="1">
            <w:r w:rsidR="0061256A" w:rsidRPr="00120F1A">
              <w:rPr>
                <w:rStyle w:val="Hyperlink"/>
              </w:rPr>
              <w:t>12.</w:t>
            </w:r>
            <w:r w:rsidR="0061256A">
              <w:rPr>
                <w:rFonts w:asciiTheme="minorHAnsi" w:hAnsiTheme="minorHAnsi" w:cstheme="minorBidi"/>
                <w:b w:val="0"/>
                <w:color w:val="auto"/>
                <w:sz w:val="22"/>
                <w:szCs w:val="22"/>
              </w:rPr>
              <w:tab/>
            </w:r>
            <w:r w:rsidR="0061256A" w:rsidRPr="00120F1A">
              <w:rPr>
                <w:rStyle w:val="Hyperlink"/>
              </w:rPr>
              <w:t>References</w:t>
            </w:r>
            <w:r w:rsidR="0061256A">
              <w:rPr>
                <w:webHidden/>
              </w:rPr>
              <w:tab/>
            </w:r>
            <w:r w:rsidR="0061256A">
              <w:rPr>
                <w:webHidden/>
              </w:rPr>
              <w:fldChar w:fldCharType="begin"/>
            </w:r>
            <w:r w:rsidR="0061256A">
              <w:rPr>
                <w:webHidden/>
              </w:rPr>
              <w:instrText xml:space="preserve"> PAGEREF _Toc121339176 \h </w:instrText>
            </w:r>
            <w:r w:rsidR="0061256A">
              <w:rPr>
                <w:webHidden/>
              </w:rPr>
            </w:r>
            <w:r w:rsidR="0061256A">
              <w:rPr>
                <w:webHidden/>
              </w:rPr>
              <w:fldChar w:fldCharType="separate"/>
            </w:r>
            <w:r w:rsidR="00C22A9E">
              <w:rPr>
                <w:webHidden/>
              </w:rPr>
              <w:t>101</w:t>
            </w:r>
            <w:r w:rsidR="0061256A">
              <w:rPr>
                <w:webHidden/>
              </w:rPr>
              <w:fldChar w:fldCharType="end"/>
            </w:r>
          </w:hyperlink>
        </w:p>
        <w:p w14:paraId="52BCE258" w14:textId="0FA5D0ED" w:rsidR="00CF520A" w:rsidRDefault="00CF520A">
          <w:r>
            <w:rPr>
              <w:b/>
              <w:bCs/>
              <w:noProof/>
            </w:rPr>
            <w:fldChar w:fldCharType="end"/>
          </w:r>
        </w:p>
      </w:sdtContent>
    </w:sdt>
    <w:p w14:paraId="2A67025E" w14:textId="77777777" w:rsidR="000C6958" w:rsidRPr="0061256A" w:rsidRDefault="000C6958" w:rsidP="0061256A">
      <w:pPr>
        <w:pStyle w:val="STPR2BodyText"/>
        <w:rPr>
          <w:b/>
          <w:bCs/>
          <w:color w:val="808080" w:themeColor="background1" w:themeShade="80"/>
        </w:rPr>
      </w:pPr>
      <w:r w:rsidRPr="0061256A">
        <w:rPr>
          <w:b/>
          <w:bCs/>
          <w:color w:val="808080" w:themeColor="background1" w:themeShade="80"/>
        </w:rPr>
        <w:t>Appendices</w:t>
      </w:r>
    </w:p>
    <w:p w14:paraId="4CD2A08C" w14:textId="73B1C2F8" w:rsidR="000C6958" w:rsidRPr="00775A5E" w:rsidRDefault="000C6958" w:rsidP="00D93256">
      <w:pPr>
        <w:pStyle w:val="STPR2BodyText"/>
      </w:pPr>
      <w:r w:rsidRPr="00775A5E">
        <w:t xml:space="preserve">Appendix A: </w:t>
      </w:r>
      <w:r w:rsidR="00E130FE">
        <w:t>SEA Figures</w:t>
      </w:r>
    </w:p>
    <w:p w14:paraId="4765F0E0" w14:textId="77777777" w:rsidR="000C6958" w:rsidRPr="00775A5E" w:rsidRDefault="000C6958" w:rsidP="00D93256">
      <w:pPr>
        <w:pStyle w:val="STPR2BodyText"/>
      </w:pPr>
      <w:r w:rsidRPr="00775A5E">
        <w:t>Appendix B: Plans, Programmes and Strategies</w:t>
      </w:r>
    </w:p>
    <w:p w14:paraId="2CD6AF4C" w14:textId="77777777" w:rsidR="000C6958" w:rsidRPr="00775A5E" w:rsidRDefault="000C6958" w:rsidP="00D93256">
      <w:pPr>
        <w:pStyle w:val="STPR2BodyText"/>
      </w:pPr>
      <w:r w:rsidRPr="00775A5E">
        <w:t>Appendix C: National Environmental Baseline</w:t>
      </w:r>
    </w:p>
    <w:p w14:paraId="430FBBFE" w14:textId="68AC9E81" w:rsidR="000C6958" w:rsidRPr="00775A5E" w:rsidRDefault="000C6958" w:rsidP="00D93256">
      <w:pPr>
        <w:pStyle w:val="STPR2BodyText"/>
      </w:pPr>
      <w:r w:rsidRPr="00775A5E">
        <w:t>Appendix D: Regional Environmental Summaries</w:t>
      </w:r>
    </w:p>
    <w:p w14:paraId="55DA3204" w14:textId="2720D039" w:rsidR="000C6958" w:rsidRDefault="000C6958" w:rsidP="00D93256">
      <w:pPr>
        <w:pStyle w:val="STPR2BodyText"/>
      </w:pPr>
      <w:r w:rsidRPr="00775A5E">
        <w:t xml:space="preserve">Appendix E: SEA Consultation </w:t>
      </w:r>
      <w:r w:rsidR="005015F3">
        <w:t>Feedback</w:t>
      </w:r>
    </w:p>
    <w:p w14:paraId="70CEA0F2" w14:textId="2A266415" w:rsidR="00C32444" w:rsidRDefault="00134C9F" w:rsidP="00D93256">
      <w:pPr>
        <w:pStyle w:val="STPR2BodyText"/>
      </w:pPr>
      <w:r>
        <w:t xml:space="preserve">Appendix F: </w:t>
      </w:r>
      <w:r w:rsidR="00856B70">
        <w:t>Assessment Matrices</w:t>
      </w:r>
    </w:p>
    <w:p w14:paraId="202DDD57" w14:textId="77777777" w:rsidR="00B53117" w:rsidRDefault="00B53117" w:rsidP="0061256A">
      <w:pPr>
        <w:pStyle w:val="STPR2BodyText"/>
        <w:rPr>
          <w:b/>
          <w:bCs/>
          <w:color w:val="808080" w:themeColor="background1" w:themeShade="80"/>
        </w:rPr>
      </w:pPr>
    </w:p>
    <w:p w14:paraId="2EBD9E7E" w14:textId="0655AF2C" w:rsidR="000C6958" w:rsidRPr="0061256A" w:rsidRDefault="000C6958" w:rsidP="0061256A">
      <w:pPr>
        <w:pStyle w:val="STPR2BodyText"/>
        <w:rPr>
          <w:b/>
          <w:bCs/>
          <w:color w:val="808080" w:themeColor="background1" w:themeShade="80"/>
        </w:rPr>
      </w:pPr>
      <w:r w:rsidRPr="0061256A">
        <w:rPr>
          <w:b/>
          <w:bCs/>
          <w:color w:val="808080" w:themeColor="background1" w:themeShade="80"/>
        </w:rPr>
        <w:t>List of Figures</w:t>
      </w:r>
    </w:p>
    <w:p w14:paraId="68681DD5" w14:textId="6C0E79A0" w:rsidR="00A55F5F" w:rsidRDefault="00974624">
      <w:pPr>
        <w:pStyle w:val="TableofFigures"/>
        <w:tabs>
          <w:tab w:val="right" w:leader="dot" w:pos="9628"/>
        </w:tabs>
        <w:rPr>
          <w:rFonts w:asciiTheme="minorHAnsi" w:hAnsiTheme="minorHAnsi"/>
          <w:noProof/>
          <w:sz w:val="22"/>
        </w:rPr>
      </w:pPr>
      <w:r w:rsidRPr="00974624">
        <w:rPr>
          <w:rFonts w:ascii="Times New Roman" w:hAnsi="Times New Roman" w:cs="Times New Roman"/>
          <w:szCs w:val="24"/>
        </w:rPr>
        <w:fldChar w:fldCharType="begin"/>
      </w:r>
      <w:r w:rsidRPr="00974624">
        <w:rPr>
          <w:rFonts w:ascii="Times New Roman" w:hAnsi="Times New Roman" w:cs="Times New Roman"/>
          <w:szCs w:val="24"/>
        </w:rPr>
        <w:instrText xml:space="preserve"> TOC \h \z \c "Figure" </w:instrText>
      </w:r>
      <w:r w:rsidRPr="00974624">
        <w:rPr>
          <w:rFonts w:ascii="Times New Roman" w:hAnsi="Times New Roman" w:cs="Times New Roman"/>
          <w:szCs w:val="24"/>
        </w:rPr>
        <w:fldChar w:fldCharType="separate"/>
      </w:r>
      <w:hyperlink w:anchor="_Toc121231965" w:history="1">
        <w:r w:rsidR="00A55F5F" w:rsidRPr="008C5E5A">
          <w:rPr>
            <w:rStyle w:val="Hyperlink"/>
            <w:noProof/>
          </w:rPr>
          <w:t>Figure 1: Relationship between the Impact Assessments and STAG</w:t>
        </w:r>
        <w:r w:rsidR="00A55F5F">
          <w:rPr>
            <w:noProof/>
            <w:webHidden/>
          </w:rPr>
          <w:tab/>
        </w:r>
        <w:r w:rsidR="00A55F5F">
          <w:rPr>
            <w:noProof/>
            <w:webHidden/>
          </w:rPr>
          <w:fldChar w:fldCharType="begin"/>
        </w:r>
        <w:r w:rsidR="00A55F5F">
          <w:rPr>
            <w:noProof/>
            <w:webHidden/>
          </w:rPr>
          <w:instrText xml:space="preserve"> PAGEREF _Toc121231965 \h </w:instrText>
        </w:r>
        <w:r w:rsidR="00A55F5F">
          <w:rPr>
            <w:noProof/>
            <w:webHidden/>
          </w:rPr>
        </w:r>
        <w:r w:rsidR="00A55F5F">
          <w:rPr>
            <w:noProof/>
            <w:webHidden/>
          </w:rPr>
          <w:fldChar w:fldCharType="separate"/>
        </w:r>
        <w:r w:rsidR="00C22A9E">
          <w:rPr>
            <w:noProof/>
            <w:webHidden/>
          </w:rPr>
          <w:t>3</w:t>
        </w:r>
        <w:r w:rsidR="00A55F5F">
          <w:rPr>
            <w:noProof/>
            <w:webHidden/>
          </w:rPr>
          <w:fldChar w:fldCharType="end"/>
        </w:r>
      </w:hyperlink>
    </w:p>
    <w:p w14:paraId="7D4D570E" w14:textId="3E4E499E" w:rsidR="00A55F5F" w:rsidRDefault="00CD44C3">
      <w:pPr>
        <w:pStyle w:val="TableofFigures"/>
        <w:tabs>
          <w:tab w:val="right" w:leader="dot" w:pos="9628"/>
        </w:tabs>
        <w:rPr>
          <w:rFonts w:asciiTheme="minorHAnsi" w:hAnsiTheme="minorHAnsi"/>
          <w:noProof/>
          <w:sz w:val="22"/>
        </w:rPr>
      </w:pPr>
      <w:hyperlink w:anchor="_Toc121231966" w:history="1">
        <w:r w:rsidR="00A55F5F" w:rsidRPr="008C5E5A">
          <w:rPr>
            <w:rStyle w:val="Hyperlink"/>
            <w:noProof/>
          </w:rPr>
          <w:t>Figure 2: The STPR2 regions</w:t>
        </w:r>
        <w:r w:rsidR="00A55F5F">
          <w:rPr>
            <w:noProof/>
            <w:webHidden/>
          </w:rPr>
          <w:tab/>
        </w:r>
        <w:r w:rsidR="00A55F5F">
          <w:rPr>
            <w:noProof/>
            <w:webHidden/>
          </w:rPr>
          <w:fldChar w:fldCharType="begin"/>
        </w:r>
        <w:r w:rsidR="00A55F5F">
          <w:rPr>
            <w:noProof/>
            <w:webHidden/>
          </w:rPr>
          <w:instrText xml:space="preserve"> PAGEREF _Toc121231966 \h </w:instrText>
        </w:r>
        <w:r w:rsidR="00A55F5F">
          <w:rPr>
            <w:noProof/>
            <w:webHidden/>
          </w:rPr>
        </w:r>
        <w:r w:rsidR="00A55F5F">
          <w:rPr>
            <w:noProof/>
            <w:webHidden/>
          </w:rPr>
          <w:fldChar w:fldCharType="separate"/>
        </w:r>
        <w:r w:rsidR="00C22A9E">
          <w:rPr>
            <w:noProof/>
            <w:webHidden/>
          </w:rPr>
          <w:t>7</w:t>
        </w:r>
        <w:r w:rsidR="00A55F5F">
          <w:rPr>
            <w:noProof/>
            <w:webHidden/>
          </w:rPr>
          <w:fldChar w:fldCharType="end"/>
        </w:r>
      </w:hyperlink>
    </w:p>
    <w:p w14:paraId="1B11BCC2" w14:textId="0F2F2674" w:rsidR="00A55F5F" w:rsidRDefault="00CD44C3">
      <w:pPr>
        <w:pStyle w:val="TableofFigures"/>
        <w:tabs>
          <w:tab w:val="right" w:leader="dot" w:pos="9628"/>
        </w:tabs>
        <w:rPr>
          <w:rFonts w:asciiTheme="minorHAnsi" w:hAnsiTheme="minorHAnsi"/>
          <w:noProof/>
          <w:sz w:val="22"/>
        </w:rPr>
      </w:pPr>
      <w:hyperlink w:anchor="_Toc121231967" w:history="1">
        <w:r w:rsidR="00A55F5F" w:rsidRPr="008C5E5A">
          <w:rPr>
            <w:rStyle w:val="Hyperlink"/>
            <w:noProof/>
          </w:rPr>
          <w:t>Figure 3: Sustainable Travel Hierarchy and Sustainable Investment Hierarchy</w:t>
        </w:r>
        <w:r w:rsidR="00A55F5F">
          <w:rPr>
            <w:noProof/>
            <w:webHidden/>
          </w:rPr>
          <w:tab/>
        </w:r>
        <w:r w:rsidR="00A55F5F">
          <w:rPr>
            <w:noProof/>
            <w:webHidden/>
          </w:rPr>
          <w:fldChar w:fldCharType="begin"/>
        </w:r>
        <w:r w:rsidR="00A55F5F">
          <w:rPr>
            <w:noProof/>
            <w:webHidden/>
          </w:rPr>
          <w:instrText xml:space="preserve"> PAGEREF _Toc121231967 \h </w:instrText>
        </w:r>
        <w:r w:rsidR="00A55F5F">
          <w:rPr>
            <w:noProof/>
            <w:webHidden/>
          </w:rPr>
        </w:r>
        <w:r w:rsidR="00A55F5F">
          <w:rPr>
            <w:noProof/>
            <w:webHidden/>
          </w:rPr>
          <w:fldChar w:fldCharType="separate"/>
        </w:r>
        <w:r w:rsidR="00C22A9E">
          <w:rPr>
            <w:noProof/>
            <w:webHidden/>
          </w:rPr>
          <w:t>16</w:t>
        </w:r>
        <w:r w:rsidR="00A55F5F">
          <w:rPr>
            <w:noProof/>
            <w:webHidden/>
          </w:rPr>
          <w:fldChar w:fldCharType="end"/>
        </w:r>
      </w:hyperlink>
    </w:p>
    <w:p w14:paraId="12831DF2" w14:textId="03485ECC" w:rsidR="00A55F5F" w:rsidRDefault="00CD44C3">
      <w:pPr>
        <w:pStyle w:val="TableofFigures"/>
        <w:tabs>
          <w:tab w:val="right" w:leader="dot" w:pos="9628"/>
        </w:tabs>
        <w:rPr>
          <w:rFonts w:asciiTheme="minorHAnsi" w:hAnsiTheme="minorHAnsi"/>
          <w:noProof/>
          <w:sz w:val="22"/>
        </w:rPr>
      </w:pPr>
      <w:hyperlink w:anchor="_Toc121231968" w:history="1">
        <w:r w:rsidR="00A55F5F" w:rsidRPr="008C5E5A">
          <w:rPr>
            <w:rStyle w:val="Hyperlink"/>
            <w:noProof/>
          </w:rPr>
          <w:t>Figure 4: SEA topic inter-relationships</w:t>
        </w:r>
        <w:r w:rsidR="00A55F5F">
          <w:rPr>
            <w:noProof/>
            <w:webHidden/>
          </w:rPr>
          <w:tab/>
        </w:r>
        <w:r w:rsidR="00A55F5F">
          <w:rPr>
            <w:noProof/>
            <w:webHidden/>
          </w:rPr>
          <w:fldChar w:fldCharType="begin"/>
        </w:r>
        <w:r w:rsidR="00A55F5F">
          <w:rPr>
            <w:noProof/>
            <w:webHidden/>
          </w:rPr>
          <w:instrText xml:space="preserve"> PAGEREF _Toc121231968 \h </w:instrText>
        </w:r>
        <w:r w:rsidR="00A55F5F">
          <w:rPr>
            <w:noProof/>
            <w:webHidden/>
          </w:rPr>
        </w:r>
        <w:r w:rsidR="00A55F5F">
          <w:rPr>
            <w:noProof/>
            <w:webHidden/>
          </w:rPr>
          <w:fldChar w:fldCharType="separate"/>
        </w:r>
        <w:r w:rsidR="00C22A9E">
          <w:rPr>
            <w:noProof/>
            <w:webHidden/>
          </w:rPr>
          <w:t>35</w:t>
        </w:r>
        <w:r w:rsidR="00A55F5F">
          <w:rPr>
            <w:noProof/>
            <w:webHidden/>
          </w:rPr>
          <w:fldChar w:fldCharType="end"/>
        </w:r>
      </w:hyperlink>
    </w:p>
    <w:p w14:paraId="4B207A9F" w14:textId="07518231" w:rsidR="00A55F5F" w:rsidRDefault="00CD44C3">
      <w:pPr>
        <w:pStyle w:val="TableofFigures"/>
        <w:tabs>
          <w:tab w:val="right" w:leader="dot" w:pos="9628"/>
        </w:tabs>
        <w:rPr>
          <w:rFonts w:asciiTheme="minorHAnsi" w:hAnsiTheme="minorHAnsi"/>
          <w:noProof/>
          <w:sz w:val="22"/>
        </w:rPr>
      </w:pPr>
      <w:hyperlink w:anchor="_Toc121231969" w:history="1">
        <w:r w:rsidR="00A55F5F" w:rsidRPr="008C5E5A">
          <w:rPr>
            <w:rStyle w:val="Hyperlink"/>
            <w:noProof/>
          </w:rPr>
          <w:t>Figure 5: Timing of carbon assessment and ability to influence (The Fifth Estate, 2020)</w:t>
        </w:r>
        <w:r w:rsidR="00A55F5F">
          <w:rPr>
            <w:noProof/>
            <w:webHidden/>
          </w:rPr>
          <w:tab/>
        </w:r>
        <w:r w:rsidR="00A55F5F">
          <w:rPr>
            <w:noProof/>
            <w:webHidden/>
          </w:rPr>
          <w:fldChar w:fldCharType="begin"/>
        </w:r>
        <w:r w:rsidR="00A55F5F">
          <w:rPr>
            <w:noProof/>
            <w:webHidden/>
          </w:rPr>
          <w:instrText xml:space="preserve"> PAGEREF _Toc121231969 \h </w:instrText>
        </w:r>
        <w:r w:rsidR="00A55F5F">
          <w:rPr>
            <w:noProof/>
            <w:webHidden/>
          </w:rPr>
        </w:r>
        <w:r w:rsidR="00A55F5F">
          <w:rPr>
            <w:noProof/>
            <w:webHidden/>
          </w:rPr>
          <w:fldChar w:fldCharType="separate"/>
        </w:r>
        <w:r w:rsidR="00C22A9E">
          <w:rPr>
            <w:noProof/>
            <w:webHidden/>
          </w:rPr>
          <w:t>65</w:t>
        </w:r>
        <w:r w:rsidR="00A55F5F">
          <w:rPr>
            <w:noProof/>
            <w:webHidden/>
          </w:rPr>
          <w:fldChar w:fldCharType="end"/>
        </w:r>
      </w:hyperlink>
    </w:p>
    <w:p w14:paraId="380CF7F5" w14:textId="534DDDC0" w:rsidR="00A55F5F" w:rsidRDefault="00CD44C3">
      <w:pPr>
        <w:pStyle w:val="TableofFigures"/>
        <w:tabs>
          <w:tab w:val="right" w:leader="dot" w:pos="9628"/>
        </w:tabs>
        <w:rPr>
          <w:rFonts w:asciiTheme="minorHAnsi" w:hAnsiTheme="minorHAnsi"/>
          <w:noProof/>
          <w:sz w:val="22"/>
        </w:rPr>
      </w:pPr>
      <w:hyperlink w:anchor="_Toc121231970" w:history="1">
        <w:r w:rsidR="00A55F5F" w:rsidRPr="008C5E5A">
          <w:rPr>
            <w:rStyle w:val="Hyperlink"/>
            <w:noProof/>
          </w:rPr>
          <w:t>Figure 6: Carbon Reduction Curve (The Fifth Estate, 2020)</w:t>
        </w:r>
        <w:r w:rsidR="00A55F5F">
          <w:rPr>
            <w:noProof/>
            <w:webHidden/>
          </w:rPr>
          <w:tab/>
        </w:r>
        <w:r w:rsidR="00A55F5F">
          <w:rPr>
            <w:noProof/>
            <w:webHidden/>
          </w:rPr>
          <w:fldChar w:fldCharType="begin"/>
        </w:r>
        <w:r w:rsidR="00A55F5F">
          <w:rPr>
            <w:noProof/>
            <w:webHidden/>
          </w:rPr>
          <w:instrText xml:space="preserve"> PAGEREF _Toc121231970 \h </w:instrText>
        </w:r>
        <w:r w:rsidR="00A55F5F">
          <w:rPr>
            <w:noProof/>
            <w:webHidden/>
          </w:rPr>
        </w:r>
        <w:r w:rsidR="00A55F5F">
          <w:rPr>
            <w:noProof/>
            <w:webHidden/>
          </w:rPr>
          <w:fldChar w:fldCharType="separate"/>
        </w:r>
        <w:r w:rsidR="00C22A9E">
          <w:rPr>
            <w:noProof/>
            <w:webHidden/>
          </w:rPr>
          <w:t>88</w:t>
        </w:r>
        <w:r w:rsidR="00A55F5F">
          <w:rPr>
            <w:noProof/>
            <w:webHidden/>
          </w:rPr>
          <w:fldChar w:fldCharType="end"/>
        </w:r>
      </w:hyperlink>
    </w:p>
    <w:p w14:paraId="649155CE" w14:textId="6EEB31BB" w:rsidR="00A55F5F" w:rsidRDefault="00CD44C3">
      <w:pPr>
        <w:pStyle w:val="TableofFigures"/>
        <w:tabs>
          <w:tab w:val="right" w:leader="dot" w:pos="9628"/>
        </w:tabs>
        <w:rPr>
          <w:rFonts w:asciiTheme="minorHAnsi" w:hAnsiTheme="minorHAnsi"/>
          <w:noProof/>
          <w:sz w:val="22"/>
        </w:rPr>
      </w:pPr>
      <w:hyperlink w:anchor="_Toc121231971" w:history="1">
        <w:r w:rsidR="00A55F5F" w:rsidRPr="008C5E5A">
          <w:rPr>
            <w:rStyle w:val="Hyperlink"/>
            <w:noProof/>
          </w:rPr>
          <w:t>Figure 7: Sources of carbon for construction materials (Carbon Leadership Forum, 2020)</w:t>
        </w:r>
        <w:r w:rsidR="00A55F5F">
          <w:rPr>
            <w:noProof/>
            <w:webHidden/>
          </w:rPr>
          <w:tab/>
        </w:r>
        <w:r w:rsidR="00A55F5F">
          <w:rPr>
            <w:noProof/>
            <w:webHidden/>
          </w:rPr>
          <w:fldChar w:fldCharType="begin"/>
        </w:r>
        <w:r w:rsidR="00A55F5F">
          <w:rPr>
            <w:noProof/>
            <w:webHidden/>
          </w:rPr>
          <w:instrText xml:space="preserve"> PAGEREF _Toc121231971 \h </w:instrText>
        </w:r>
        <w:r w:rsidR="00A55F5F">
          <w:rPr>
            <w:noProof/>
            <w:webHidden/>
          </w:rPr>
        </w:r>
        <w:r w:rsidR="00A55F5F">
          <w:rPr>
            <w:noProof/>
            <w:webHidden/>
          </w:rPr>
          <w:fldChar w:fldCharType="separate"/>
        </w:r>
        <w:r w:rsidR="00C22A9E">
          <w:rPr>
            <w:noProof/>
            <w:webHidden/>
          </w:rPr>
          <w:t>89</w:t>
        </w:r>
        <w:r w:rsidR="00A55F5F">
          <w:rPr>
            <w:noProof/>
            <w:webHidden/>
          </w:rPr>
          <w:fldChar w:fldCharType="end"/>
        </w:r>
      </w:hyperlink>
    </w:p>
    <w:p w14:paraId="48FF2129" w14:textId="77777777" w:rsidR="00B53117" w:rsidRDefault="00974624" w:rsidP="0061256A">
      <w:pPr>
        <w:pStyle w:val="STPR2BodyText"/>
        <w:rPr>
          <w:rFonts w:cs="Times New Roman"/>
          <w:szCs w:val="24"/>
        </w:rPr>
      </w:pPr>
      <w:r w:rsidRPr="00974624">
        <w:rPr>
          <w:rFonts w:cs="Times New Roman"/>
          <w:szCs w:val="24"/>
        </w:rPr>
        <w:fldChar w:fldCharType="end"/>
      </w:r>
    </w:p>
    <w:p w14:paraId="5754B7B7" w14:textId="77777777" w:rsidR="006C061F" w:rsidRDefault="006C061F">
      <w:pPr>
        <w:rPr>
          <w:rFonts w:ascii="Arial" w:hAnsi="Arial" w:cs="Arial"/>
          <w:b/>
          <w:bCs/>
          <w:color w:val="808080" w:themeColor="background1" w:themeShade="80"/>
          <w:sz w:val="24"/>
        </w:rPr>
      </w:pPr>
      <w:r>
        <w:rPr>
          <w:b/>
          <w:bCs/>
          <w:color w:val="808080" w:themeColor="background1" w:themeShade="80"/>
        </w:rPr>
        <w:br w:type="page"/>
      </w:r>
    </w:p>
    <w:p w14:paraId="531E3D06" w14:textId="150E0EA6" w:rsidR="000C6958" w:rsidRPr="0061256A" w:rsidRDefault="000C6958" w:rsidP="0061256A">
      <w:pPr>
        <w:pStyle w:val="STPR2BodyText"/>
        <w:rPr>
          <w:b/>
          <w:bCs/>
          <w:color w:val="808080" w:themeColor="background1" w:themeShade="80"/>
        </w:rPr>
      </w:pPr>
      <w:r w:rsidRPr="0061256A">
        <w:rPr>
          <w:b/>
          <w:bCs/>
          <w:color w:val="808080" w:themeColor="background1" w:themeShade="80"/>
        </w:rPr>
        <w:lastRenderedPageBreak/>
        <w:t>List of Tables</w:t>
      </w:r>
    </w:p>
    <w:p w14:paraId="3411A3FF" w14:textId="56E7CC27" w:rsidR="00A55F5F" w:rsidRDefault="008C53EA">
      <w:pPr>
        <w:pStyle w:val="TableofFigures"/>
        <w:tabs>
          <w:tab w:val="right" w:leader="dot" w:pos="9628"/>
        </w:tabs>
        <w:rPr>
          <w:rFonts w:asciiTheme="minorHAnsi" w:hAnsiTheme="minorHAnsi"/>
          <w:noProof/>
          <w:sz w:val="22"/>
        </w:rPr>
      </w:pPr>
      <w:r w:rsidRPr="008C53EA">
        <w:rPr>
          <w:rFonts w:ascii="Times New Roman" w:hAnsi="Times New Roman" w:cs="Times New Roman"/>
          <w:szCs w:val="24"/>
        </w:rPr>
        <w:fldChar w:fldCharType="begin"/>
      </w:r>
      <w:r w:rsidRPr="008C53EA">
        <w:rPr>
          <w:rFonts w:cs="Calibri"/>
          <w:szCs w:val="24"/>
        </w:rPr>
        <w:instrText xml:space="preserve"> TOC \h \z \c "Table" </w:instrText>
      </w:r>
      <w:r w:rsidRPr="008C53EA">
        <w:rPr>
          <w:rFonts w:ascii="Times New Roman" w:hAnsi="Times New Roman" w:cs="Times New Roman"/>
          <w:szCs w:val="24"/>
        </w:rPr>
        <w:fldChar w:fldCharType="separate"/>
      </w:r>
      <w:hyperlink w:anchor="_Toc121231972" w:history="1">
        <w:r w:rsidR="00A55F5F" w:rsidRPr="00F466C4">
          <w:rPr>
            <w:rStyle w:val="Hyperlink"/>
            <w:noProof/>
          </w:rPr>
          <w:t>Table 1: Key environmental requirements emerging from the PPS review</w:t>
        </w:r>
        <w:r w:rsidR="00A55F5F">
          <w:rPr>
            <w:noProof/>
            <w:webHidden/>
          </w:rPr>
          <w:tab/>
        </w:r>
        <w:r w:rsidR="00A55F5F">
          <w:rPr>
            <w:noProof/>
            <w:webHidden/>
          </w:rPr>
          <w:fldChar w:fldCharType="begin"/>
        </w:r>
        <w:r w:rsidR="00A55F5F">
          <w:rPr>
            <w:noProof/>
            <w:webHidden/>
          </w:rPr>
          <w:instrText xml:space="preserve"> PAGEREF _Toc121231972 \h </w:instrText>
        </w:r>
        <w:r w:rsidR="00A55F5F">
          <w:rPr>
            <w:noProof/>
            <w:webHidden/>
          </w:rPr>
        </w:r>
        <w:r w:rsidR="00A55F5F">
          <w:rPr>
            <w:noProof/>
            <w:webHidden/>
          </w:rPr>
          <w:fldChar w:fldCharType="separate"/>
        </w:r>
        <w:r w:rsidR="00C22A9E">
          <w:rPr>
            <w:noProof/>
            <w:webHidden/>
          </w:rPr>
          <w:t>27</w:t>
        </w:r>
        <w:r w:rsidR="00A55F5F">
          <w:rPr>
            <w:noProof/>
            <w:webHidden/>
          </w:rPr>
          <w:fldChar w:fldCharType="end"/>
        </w:r>
      </w:hyperlink>
    </w:p>
    <w:p w14:paraId="23CD35F2" w14:textId="4AECFCBB" w:rsidR="00A55F5F" w:rsidRDefault="00CD44C3">
      <w:pPr>
        <w:pStyle w:val="TableofFigures"/>
        <w:tabs>
          <w:tab w:val="right" w:leader="dot" w:pos="9628"/>
        </w:tabs>
        <w:rPr>
          <w:rFonts w:asciiTheme="minorHAnsi" w:hAnsiTheme="minorHAnsi"/>
          <w:noProof/>
          <w:sz w:val="22"/>
        </w:rPr>
      </w:pPr>
      <w:hyperlink w:anchor="_Toc121231973" w:history="1">
        <w:r w:rsidR="00A55F5F" w:rsidRPr="00F466C4">
          <w:rPr>
            <w:rStyle w:val="Hyperlink"/>
            <w:noProof/>
          </w:rPr>
          <w:t>Table 2: Scoping of SEA Topics</w:t>
        </w:r>
        <w:r w:rsidR="00A55F5F">
          <w:rPr>
            <w:noProof/>
            <w:webHidden/>
          </w:rPr>
          <w:tab/>
        </w:r>
        <w:r w:rsidR="00A55F5F">
          <w:rPr>
            <w:noProof/>
            <w:webHidden/>
          </w:rPr>
          <w:fldChar w:fldCharType="begin"/>
        </w:r>
        <w:r w:rsidR="00A55F5F">
          <w:rPr>
            <w:noProof/>
            <w:webHidden/>
          </w:rPr>
          <w:instrText xml:space="preserve"> PAGEREF _Toc121231973 \h </w:instrText>
        </w:r>
        <w:r w:rsidR="00A55F5F">
          <w:rPr>
            <w:noProof/>
            <w:webHidden/>
          </w:rPr>
        </w:r>
        <w:r w:rsidR="00A55F5F">
          <w:rPr>
            <w:noProof/>
            <w:webHidden/>
          </w:rPr>
          <w:fldChar w:fldCharType="separate"/>
        </w:r>
        <w:r w:rsidR="00C22A9E">
          <w:rPr>
            <w:noProof/>
            <w:webHidden/>
          </w:rPr>
          <w:t>45</w:t>
        </w:r>
        <w:r w:rsidR="00A55F5F">
          <w:rPr>
            <w:noProof/>
            <w:webHidden/>
          </w:rPr>
          <w:fldChar w:fldCharType="end"/>
        </w:r>
      </w:hyperlink>
    </w:p>
    <w:p w14:paraId="129B4342" w14:textId="5A2126BF" w:rsidR="00A55F5F" w:rsidRDefault="00CD44C3">
      <w:pPr>
        <w:pStyle w:val="TableofFigures"/>
        <w:tabs>
          <w:tab w:val="right" w:leader="dot" w:pos="9628"/>
        </w:tabs>
        <w:rPr>
          <w:rFonts w:asciiTheme="minorHAnsi" w:hAnsiTheme="minorHAnsi"/>
          <w:noProof/>
          <w:sz w:val="22"/>
        </w:rPr>
      </w:pPr>
      <w:hyperlink w:anchor="_Toc121231974" w:history="1">
        <w:r w:rsidR="00A55F5F" w:rsidRPr="00F466C4">
          <w:rPr>
            <w:rStyle w:val="Hyperlink"/>
            <w:noProof/>
          </w:rPr>
          <w:t>Table 3: SEA Objectives and Assessment Criteria</w:t>
        </w:r>
        <w:r w:rsidR="00A55F5F">
          <w:rPr>
            <w:noProof/>
            <w:webHidden/>
          </w:rPr>
          <w:tab/>
        </w:r>
        <w:r w:rsidR="00A55F5F">
          <w:rPr>
            <w:noProof/>
            <w:webHidden/>
          </w:rPr>
          <w:fldChar w:fldCharType="begin"/>
        </w:r>
        <w:r w:rsidR="00A55F5F">
          <w:rPr>
            <w:noProof/>
            <w:webHidden/>
          </w:rPr>
          <w:instrText xml:space="preserve"> PAGEREF _Toc121231974 \h </w:instrText>
        </w:r>
        <w:r w:rsidR="00A55F5F">
          <w:rPr>
            <w:noProof/>
            <w:webHidden/>
          </w:rPr>
        </w:r>
        <w:r w:rsidR="00A55F5F">
          <w:rPr>
            <w:noProof/>
            <w:webHidden/>
          </w:rPr>
          <w:fldChar w:fldCharType="separate"/>
        </w:r>
        <w:r w:rsidR="00C22A9E">
          <w:rPr>
            <w:noProof/>
            <w:webHidden/>
          </w:rPr>
          <w:t>49</w:t>
        </w:r>
        <w:r w:rsidR="00A55F5F">
          <w:rPr>
            <w:noProof/>
            <w:webHidden/>
          </w:rPr>
          <w:fldChar w:fldCharType="end"/>
        </w:r>
      </w:hyperlink>
    </w:p>
    <w:p w14:paraId="696FF33F" w14:textId="373D0433" w:rsidR="00A55F5F" w:rsidRDefault="00CD44C3">
      <w:pPr>
        <w:pStyle w:val="TableofFigures"/>
        <w:tabs>
          <w:tab w:val="right" w:leader="dot" w:pos="9628"/>
        </w:tabs>
        <w:rPr>
          <w:rFonts w:asciiTheme="minorHAnsi" w:hAnsiTheme="minorHAnsi"/>
          <w:noProof/>
          <w:sz w:val="22"/>
        </w:rPr>
      </w:pPr>
      <w:hyperlink w:anchor="_Toc121231975" w:history="1">
        <w:r w:rsidR="00A55F5F" w:rsidRPr="00F466C4">
          <w:rPr>
            <w:rStyle w:val="Hyperlink"/>
            <w:noProof/>
          </w:rPr>
          <w:t>Table 4: SEA inputs at each stage of STAG</w:t>
        </w:r>
        <w:r w:rsidR="00A55F5F">
          <w:rPr>
            <w:noProof/>
            <w:webHidden/>
          </w:rPr>
          <w:tab/>
        </w:r>
        <w:r w:rsidR="00A55F5F">
          <w:rPr>
            <w:noProof/>
            <w:webHidden/>
          </w:rPr>
          <w:fldChar w:fldCharType="begin"/>
        </w:r>
        <w:r w:rsidR="00A55F5F">
          <w:rPr>
            <w:noProof/>
            <w:webHidden/>
          </w:rPr>
          <w:instrText xml:space="preserve"> PAGEREF _Toc121231975 \h </w:instrText>
        </w:r>
        <w:r w:rsidR="00A55F5F">
          <w:rPr>
            <w:noProof/>
            <w:webHidden/>
          </w:rPr>
        </w:r>
        <w:r w:rsidR="00A55F5F">
          <w:rPr>
            <w:noProof/>
            <w:webHidden/>
          </w:rPr>
          <w:fldChar w:fldCharType="separate"/>
        </w:r>
        <w:r w:rsidR="00C22A9E">
          <w:rPr>
            <w:noProof/>
            <w:webHidden/>
          </w:rPr>
          <w:t>60</w:t>
        </w:r>
        <w:r w:rsidR="00A55F5F">
          <w:rPr>
            <w:noProof/>
            <w:webHidden/>
          </w:rPr>
          <w:fldChar w:fldCharType="end"/>
        </w:r>
      </w:hyperlink>
    </w:p>
    <w:p w14:paraId="06D3A18A" w14:textId="629897C4" w:rsidR="00A55F5F" w:rsidRDefault="00CD44C3">
      <w:pPr>
        <w:pStyle w:val="TableofFigures"/>
        <w:tabs>
          <w:tab w:val="right" w:leader="dot" w:pos="9628"/>
        </w:tabs>
        <w:rPr>
          <w:rFonts w:asciiTheme="minorHAnsi" w:hAnsiTheme="minorHAnsi"/>
          <w:noProof/>
          <w:sz w:val="22"/>
        </w:rPr>
      </w:pPr>
      <w:hyperlink w:anchor="_Toc121231976" w:history="1">
        <w:r w:rsidR="00A55F5F" w:rsidRPr="00F466C4">
          <w:rPr>
            <w:rStyle w:val="Hyperlink"/>
            <w:noProof/>
          </w:rPr>
          <w:t>Table 5: SEA scoring system for each stage of the STPR2</w:t>
        </w:r>
        <w:r w:rsidR="00A55F5F">
          <w:rPr>
            <w:noProof/>
            <w:webHidden/>
          </w:rPr>
          <w:tab/>
        </w:r>
        <w:r w:rsidR="00A55F5F">
          <w:rPr>
            <w:noProof/>
            <w:webHidden/>
          </w:rPr>
          <w:fldChar w:fldCharType="begin"/>
        </w:r>
        <w:r w:rsidR="00A55F5F">
          <w:rPr>
            <w:noProof/>
            <w:webHidden/>
          </w:rPr>
          <w:instrText xml:space="preserve"> PAGEREF _Toc121231976 \h </w:instrText>
        </w:r>
        <w:r w:rsidR="00A55F5F">
          <w:rPr>
            <w:noProof/>
            <w:webHidden/>
          </w:rPr>
        </w:r>
        <w:r w:rsidR="00A55F5F">
          <w:rPr>
            <w:noProof/>
            <w:webHidden/>
          </w:rPr>
          <w:fldChar w:fldCharType="separate"/>
        </w:r>
        <w:r w:rsidR="00C22A9E">
          <w:rPr>
            <w:noProof/>
            <w:webHidden/>
          </w:rPr>
          <w:t>62</w:t>
        </w:r>
        <w:r w:rsidR="00A55F5F">
          <w:rPr>
            <w:noProof/>
            <w:webHidden/>
          </w:rPr>
          <w:fldChar w:fldCharType="end"/>
        </w:r>
      </w:hyperlink>
    </w:p>
    <w:p w14:paraId="7FE8E2F3" w14:textId="7D7CFE1B" w:rsidR="00A55F5F" w:rsidRDefault="00CD44C3">
      <w:pPr>
        <w:pStyle w:val="TableofFigures"/>
        <w:tabs>
          <w:tab w:val="right" w:leader="dot" w:pos="9628"/>
        </w:tabs>
        <w:rPr>
          <w:rFonts w:asciiTheme="minorHAnsi" w:hAnsiTheme="minorHAnsi"/>
          <w:noProof/>
          <w:sz w:val="22"/>
        </w:rPr>
      </w:pPr>
      <w:hyperlink w:anchor="_Toc121231977" w:history="1">
        <w:r w:rsidR="00A55F5F" w:rsidRPr="00F466C4">
          <w:rPr>
            <w:rStyle w:val="Hyperlink"/>
            <w:noProof/>
          </w:rPr>
          <w:t>Table 6: STPR2 Phase 1 Themes and Recommendations</w:t>
        </w:r>
        <w:r w:rsidR="00A55F5F">
          <w:rPr>
            <w:noProof/>
            <w:webHidden/>
          </w:rPr>
          <w:tab/>
        </w:r>
        <w:r w:rsidR="00A55F5F">
          <w:rPr>
            <w:noProof/>
            <w:webHidden/>
          </w:rPr>
          <w:fldChar w:fldCharType="begin"/>
        </w:r>
        <w:r w:rsidR="00A55F5F">
          <w:rPr>
            <w:noProof/>
            <w:webHidden/>
          </w:rPr>
          <w:instrText xml:space="preserve"> PAGEREF _Toc121231977 \h </w:instrText>
        </w:r>
        <w:r w:rsidR="00A55F5F">
          <w:rPr>
            <w:noProof/>
            <w:webHidden/>
          </w:rPr>
        </w:r>
        <w:r w:rsidR="00A55F5F">
          <w:rPr>
            <w:noProof/>
            <w:webHidden/>
          </w:rPr>
          <w:fldChar w:fldCharType="separate"/>
        </w:r>
        <w:r w:rsidR="00C22A9E">
          <w:rPr>
            <w:noProof/>
            <w:webHidden/>
          </w:rPr>
          <w:t>69</w:t>
        </w:r>
        <w:r w:rsidR="00A55F5F">
          <w:rPr>
            <w:noProof/>
            <w:webHidden/>
          </w:rPr>
          <w:fldChar w:fldCharType="end"/>
        </w:r>
      </w:hyperlink>
    </w:p>
    <w:p w14:paraId="245790D8" w14:textId="47DB5868" w:rsidR="00A55F5F" w:rsidRDefault="00CD44C3">
      <w:pPr>
        <w:pStyle w:val="TableofFigures"/>
        <w:tabs>
          <w:tab w:val="right" w:leader="dot" w:pos="9628"/>
        </w:tabs>
        <w:rPr>
          <w:rFonts w:asciiTheme="minorHAnsi" w:hAnsiTheme="minorHAnsi"/>
          <w:noProof/>
          <w:sz w:val="22"/>
        </w:rPr>
      </w:pPr>
      <w:hyperlink w:anchor="_Toc121231978" w:history="1">
        <w:r w:rsidR="00A55F5F" w:rsidRPr="00F466C4">
          <w:rPr>
            <w:rStyle w:val="Hyperlink"/>
            <w:noProof/>
          </w:rPr>
          <w:t>Table 7: Compatibility Assessment of the STPR2 Recommendations and SEA Objectives</w:t>
        </w:r>
        <w:r w:rsidR="00A55F5F">
          <w:rPr>
            <w:noProof/>
            <w:webHidden/>
          </w:rPr>
          <w:tab/>
        </w:r>
        <w:r w:rsidR="00A55F5F">
          <w:rPr>
            <w:noProof/>
            <w:webHidden/>
          </w:rPr>
          <w:fldChar w:fldCharType="begin"/>
        </w:r>
        <w:r w:rsidR="00A55F5F">
          <w:rPr>
            <w:noProof/>
            <w:webHidden/>
          </w:rPr>
          <w:instrText xml:space="preserve"> PAGEREF _Toc121231978 \h </w:instrText>
        </w:r>
        <w:r w:rsidR="00A55F5F">
          <w:rPr>
            <w:noProof/>
            <w:webHidden/>
          </w:rPr>
        </w:r>
        <w:r w:rsidR="00A55F5F">
          <w:rPr>
            <w:noProof/>
            <w:webHidden/>
          </w:rPr>
          <w:fldChar w:fldCharType="separate"/>
        </w:r>
        <w:r w:rsidR="00C22A9E">
          <w:rPr>
            <w:noProof/>
            <w:webHidden/>
          </w:rPr>
          <w:t>77</w:t>
        </w:r>
        <w:r w:rsidR="00A55F5F">
          <w:rPr>
            <w:noProof/>
            <w:webHidden/>
          </w:rPr>
          <w:fldChar w:fldCharType="end"/>
        </w:r>
      </w:hyperlink>
    </w:p>
    <w:p w14:paraId="4E5C7F04" w14:textId="30D2688C" w:rsidR="00A55F5F" w:rsidRDefault="00CD44C3">
      <w:pPr>
        <w:pStyle w:val="TableofFigures"/>
        <w:tabs>
          <w:tab w:val="right" w:leader="dot" w:pos="9628"/>
        </w:tabs>
        <w:rPr>
          <w:rFonts w:asciiTheme="minorHAnsi" w:hAnsiTheme="minorHAnsi"/>
          <w:noProof/>
          <w:sz w:val="22"/>
        </w:rPr>
      </w:pPr>
      <w:hyperlink w:anchor="_Toc121231979" w:history="1">
        <w:r w:rsidR="00A55F5F" w:rsidRPr="00F466C4">
          <w:rPr>
            <w:rStyle w:val="Hyperlink"/>
            <w:noProof/>
          </w:rPr>
          <w:t>Table 8: STPR2 in-combination effects with other PPS</w:t>
        </w:r>
        <w:r w:rsidR="00A55F5F">
          <w:rPr>
            <w:noProof/>
            <w:webHidden/>
          </w:rPr>
          <w:tab/>
        </w:r>
        <w:r w:rsidR="00A55F5F">
          <w:rPr>
            <w:noProof/>
            <w:webHidden/>
          </w:rPr>
          <w:fldChar w:fldCharType="begin"/>
        </w:r>
        <w:r w:rsidR="00A55F5F">
          <w:rPr>
            <w:noProof/>
            <w:webHidden/>
          </w:rPr>
          <w:instrText xml:space="preserve"> PAGEREF _Toc121231979 \h </w:instrText>
        </w:r>
        <w:r w:rsidR="00A55F5F">
          <w:rPr>
            <w:noProof/>
            <w:webHidden/>
          </w:rPr>
        </w:r>
        <w:r w:rsidR="00A55F5F">
          <w:rPr>
            <w:noProof/>
            <w:webHidden/>
          </w:rPr>
          <w:fldChar w:fldCharType="separate"/>
        </w:r>
        <w:r w:rsidR="00C22A9E">
          <w:rPr>
            <w:noProof/>
            <w:webHidden/>
          </w:rPr>
          <w:t>80</w:t>
        </w:r>
        <w:r w:rsidR="00A55F5F">
          <w:rPr>
            <w:noProof/>
            <w:webHidden/>
          </w:rPr>
          <w:fldChar w:fldCharType="end"/>
        </w:r>
      </w:hyperlink>
    </w:p>
    <w:p w14:paraId="4D81A068" w14:textId="3CA69613" w:rsidR="00A55F5F" w:rsidRDefault="00CD44C3">
      <w:pPr>
        <w:pStyle w:val="TableofFigures"/>
        <w:tabs>
          <w:tab w:val="right" w:leader="dot" w:pos="9628"/>
        </w:tabs>
        <w:rPr>
          <w:rFonts w:asciiTheme="minorHAnsi" w:hAnsiTheme="minorHAnsi"/>
          <w:noProof/>
          <w:sz w:val="22"/>
        </w:rPr>
      </w:pPr>
      <w:hyperlink w:anchor="_Toc121231980" w:history="1">
        <w:r w:rsidR="00A55F5F" w:rsidRPr="00F466C4">
          <w:rPr>
            <w:rStyle w:val="Hyperlink"/>
            <w:noProof/>
          </w:rPr>
          <w:t>Table 9: Strategic opportunities in relation to climate change</w:t>
        </w:r>
        <w:r w:rsidR="00A55F5F">
          <w:rPr>
            <w:noProof/>
            <w:webHidden/>
          </w:rPr>
          <w:tab/>
        </w:r>
        <w:r w:rsidR="00A55F5F">
          <w:rPr>
            <w:noProof/>
            <w:webHidden/>
          </w:rPr>
          <w:fldChar w:fldCharType="begin"/>
        </w:r>
        <w:r w:rsidR="00A55F5F">
          <w:rPr>
            <w:noProof/>
            <w:webHidden/>
          </w:rPr>
          <w:instrText xml:space="preserve"> PAGEREF _Toc121231980 \h </w:instrText>
        </w:r>
        <w:r w:rsidR="00A55F5F">
          <w:rPr>
            <w:noProof/>
            <w:webHidden/>
          </w:rPr>
        </w:r>
        <w:r w:rsidR="00A55F5F">
          <w:rPr>
            <w:noProof/>
            <w:webHidden/>
          </w:rPr>
          <w:fldChar w:fldCharType="separate"/>
        </w:r>
        <w:r w:rsidR="00C22A9E">
          <w:rPr>
            <w:noProof/>
            <w:webHidden/>
          </w:rPr>
          <w:t>86</w:t>
        </w:r>
        <w:r w:rsidR="00A55F5F">
          <w:rPr>
            <w:noProof/>
            <w:webHidden/>
          </w:rPr>
          <w:fldChar w:fldCharType="end"/>
        </w:r>
      </w:hyperlink>
    </w:p>
    <w:p w14:paraId="00F39B77" w14:textId="4A03987F" w:rsidR="00A55F5F" w:rsidRDefault="00CD44C3">
      <w:pPr>
        <w:pStyle w:val="TableofFigures"/>
        <w:tabs>
          <w:tab w:val="right" w:leader="dot" w:pos="9628"/>
        </w:tabs>
        <w:rPr>
          <w:rFonts w:asciiTheme="minorHAnsi" w:hAnsiTheme="minorHAnsi"/>
          <w:noProof/>
          <w:sz w:val="22"/>
        </w:rPr>
      </w:pPr>
      <w:hyperlink w:anchor="_Toc121231981" w:history="1">
        <w:r w:rsidR="00A55F5F" w:rsidRPr="00F466C4">
          <w:rPr>
            <w:rStyle w:val="Hyperlink"/>
            <w:noProof/>
          </w:rPr>
          <w:t>Table 10: Existing monitoring programmes</w:t>
        </w:r>
        <w:r w:rsidR="00A55F5F">
          <w:rPr>
            <w:noProof/>
            <w:webHidden/>
          </w:rPr>
          <w:tab/>
        </w:r>
        <w:r w:rsidR="00A55F5F">
          <w:rPr>
            <w:noProof/>
            <w:webHidden/>
          </w:rPr>
          <w:fldChar w:fldCharType="begin"/>
        </w:r>
        <w:r w:rsidR="00A55F5F">
          <w:rPr>
            <w:noProof/>
            <w:webHidden/>
          </w:rPr>
          <w:instrText xml:space="preserve"> PAGEREF _Toc121231981 \h </w:instrText>
        </w:r>
        <w:r w:rsidR="00A55F5F">
          <w:rPr>
            <w:noProof/>
            <w:webHidden/>
          </w:rPr>
        </w:r>
        <w:r w:rsidR="00A55F5F">
          <w:rPr>
            <w:noProof/>
            <w:webHidden/>
          </w:rPr>
          <w:fldChar w:fldCharType="separate"/>
        </w:r>
        <w:r w:rsidR="00C22A9E">
          <w:rPr>
            <w:noProof/>
            <w:webHidden/>
          </w:rPr>
          <w:t>96</w:t>
        </w:r>
        <w:r w:rsidR="00A55F5F">
          <w:rPr>
            <w:noProof/>
            <w:webHidden/>
          </w:rPr>
          <w:fldChar w:fldCharType="end"/>
        </w:r>
      </w:hyperlink>
    </w:p>
    <w:p w14:paraId="7967570A" w14:textId="1C9FC401" w:rsidR="000C6958" w:rsidRDefault="008C53EA" w:rsidP="00D93256">
      <w:pPr>
        <w:pStyle w:val="STPR2BodyText"/>
        <w:sectPr w:rsidR="000C6958" w:rsidSect="004D2780">
          <w:headerReference w:type="default" r:id="rId16"/>
          <w:footerReference w:type="default" r:id="rId17"/>
          <w:pgSz w:w="11906" w:h="16838" w:code="9"/>
          <w:pgMar w:top="1701" w:right="1134" w:bottom="1134" w:left="1134" w:header="454" w:footer="567" w:gutter="0"/>
          <w:pgNumType w:fmt="lowerRoman" w:start="1"/>
          <w:cols w:space="720"/>
          <w:noEndnote/>
          <w:docGrid w:linePitch="299"/>
        </w:sectPr>
      </w:pPr>
      <w:r w:rsidRPr="008C53EA">
        <w:fldChar w:fldCharType="end"/>
      </w:r>
    </w:p>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3"/>
        <w:gridCol w:w="7221"/>
      </w:tblGrid>
      <w:tr w:rsidR="004B3264" w:rsidRPr="00331453" w14:paraId="414E71E7" w14:textId="77777777" w:rsidTr="004B3264">
        <w:trPr>
          <w:cantSplit/>
          <w:tblHeader/>
        </w:trPr>
        <w:tc>
          <w:tcPr>
            <w:tcW w:w="2413" w:type="dxa"/>
            <w:shd w:val="clear" w:color="auto" w:fill="007D55"/>
          </w:tcPr>
          <w:p w14:paraId="0C830855" w14:textId="77777777" w:rsidR="000C6958" w:rsidRPr="00331453" w:rsidRDefault="000C6958" w:rsidP="00D93256">
            <w:pPr>
              <w:pStyle w:val="STPR2WhiteTableHeading"/>
            </w:pPr>
            <w:r w:rsidRPr="00331453">
              <w:lastRenderedPageBreak/>
              <w:t>ABBREVIATIONS</w:t>
            </w:r>
          </w:p>
        </w:tc>
        <w:tc>
          <w:tcPr>
            <w:tcW w:w="7221" w:type="dxa"/>
            <w:shd w:val="clear" w:color="auto" w:fill="007D55"/>
          </w:tcPr>
          <w:p w14:paraId="19E3555C" w14:textId="77777777" w:rsidR="000C6958" w:rsidRPr="00331453" w:rsidRDefault="000C6958" w:rsidP="00D93256">
            <w:pPr>
              <w:pStyle w:val="STPR2WhiteTableHeading"/>
            </w:pPr>
          </w:p>
        </w:tc>
      </w:tr>
      <w:tr w:rsidR="00EB149E" w:rsidRPr="00E645D5" w14:paraId="7CAD2F83" w14:textId="77777777" w:rsidTr="004B3264">
        <w:trPr>
          <w:cantSplit/>
        </w:trPr>
        <w:tc>
          <w:tcPr>
            <w:tcW w:w="2413" w:type="dxa"/>
            <w:shd w:val="clear" w:color="auto" w:fill="DCEDC6"/>
          </w:tcPr>
          <w:p w14:paraId="336D1A0F" w14:textId="36203884" w:rsidR="00EB149E" w:rsidRDefault="00EB149E" w:rsidP="00D93256">
            <w:pPr>
              <w:pStyle w:val="STPR2TableBody"/>
            </w:pPr>
            <w:r>
              <w:t>APIS</w:t>
            </w:r>
          </w:p>
        </w:tc>
        <w:tc>
          <w:tcPr>
            <w:tcW w:w="7221" w:type="dxa"/>
            <w:shd w:val="clear" w:color="auto" w:fill="DCEDC6"/>
          </w:tcPr>
          <w:p w14:paraId="7B8D7422" w14:textId="40FBBBE5" w:rsidR="00EB149E" w:rsidRDefault="00047D73" w:rsidP="00D93256">
            <w:pPr>
              <w:pStyle w:val="STPR2TableBody"/>
            </w:pPr>
            <w:r w:rsidRPr="00047D73">
              <w:t xml:space="preserve">Air Pollution Information System </w:t>
            </w:r>
          </w:p>
        </w:tc>
      </w:tr>
      <w:tr w:rsidR="000C6958" w:rsidRPr="00E645D5" w14:paraId="733A673A" w14:textId="77777777" w:rsidTr="004B3264">
        <w:trPr>
          <w:cantSplit/>
        </w:trPr>
        <w:tc>
          <w:tcPr>
            <w:tcW w:w="2413" w:type="dxa"/>
            <w:shd w:val="clear" w:color="auto" w:fill="DCEDC6"/>
          </w:tcPr>
          <w:p w14:paraId="79748FB1" w14:textId="77777777" w:rsidR="000C6958" w:rsidRPr="00E645D5" w:rsidRDefault="000C6958" w:rsidP="00D93256">
            <w:pPr>
              <w:pStyle w:val="STPR2TableBody"/>
            </w:pPr>
            <w:r>
              <w:t>AQMA</w:t>
            </w:r>
          </w:p>
        </w:tc>
        <w:tc>
          <w:tcPr>
            <w:tcW w:w="7221" w:type="dxa"/>
            <w:shd w:val="clear" w:color="auto" w:fill="DCEDC6"/>
          </w:tcPr>
          <w:p w14:paraId="07B98545" w14:textId="77777777" w:rsidR="000C6958" w:rsidRPr="00E645D5" w:rsidRDefault="000C6958" w:rsidP="00D93256">
            <w:pPr>
              <w:pStyle w:val="STPR2TableBody"/>
            </w:pPr>
            <w:r>
              <w:t>Air Quality Management Area</w:t>
            </w:r>
          </w:p>
        </w:tc>
      </w:tr>
      <w:tr w:rsidR="000C6958" w:rsidRPr="00E645D5" w14:paraId="27ED3CB1" w14:textId="77777777" w:rsidTr="004B3264">
        <w:trPr>
          <w:cantSplit/>
        </w:trPr>
        <w:tc>
          <w:tcPr>
            <w:tcW w:w="2413" w:type="dxa"/>
            <w:shd w:val="clear" w:color="auto" w:fill="DCEDC6"/>
          </w:tcPr>
          <w:p w14:paraId="229720FF" w14:textId="77777777" w:rsidR="000C6958" w:rsidRPr="00E645D5" w:rsidRDefault="000C6958" w:rsidP="00D93256">
            <w:pPr>
              <w:pStyle w:val="STPR2TableBody"/>
            </w:pPr>
            <w:r>
              <w:t>AST</w:t>
            </w:r>
          </w:p>
        </w:tc>
        <w:tc>
          <w:tcPr>
            <w:tcW w:w="7221" w:type="dxa"/>
            <w:shd w:val="clear" w:color="auto" w:fill="DCEDC6"/>
          </w:tcPr>
          <w:p w14:paraId="1AD9931B" w14:textId="77777777" w:rsidR="000C6958" w:rsidRPr="00E645D5" w:rsidRDefault="000C6958" w:rsidP="00D93256">
            <w:pPr>
              <w:pStyle w:val="STPR2TableBody"/>
            </w:pPr>
            <w:r w:rsidRPr="00FB65E1">
              <w:t>Appraisal Summary Table</w:t>
            </w:r>
          </w:p>
        </w:tc>
      </w:tr>
      <w:tr w:rsidR="00E11D05" w:rsidRPr="00E645D5" w14:paraId="0E2C266B" w14:textId="77777777" w:rsidTr="004B3264">
        <w:trPr>
          <w:cantSplit/>
        </w:trPr>
        <w:tc>
          <w:tcPr>
            <w:tcW w:w="2413" w:type="dxa"/>
            <w:shd w:val="clear" w:color="auto" w:fill="DCEDC6"/>
          </w:tcPr>
          <w:p w14:paraId="0CF5B880" w14:textId="4C690A86" w:rsidR="00E11D05" w:rsidRDefault="00E11D05" w:rsidP="00D93256">
            <w:pPr>
              <w:pStyle w:val="STPR2TableBody"/>
            </w:pPr>
            <w:r>
              <w:t>BTO</w:t>
            </w:r>
          </w:p>
        </w:tc>
        <w:tc>
          <w:tcPr>
            <w:tcW w:w="7221" w:type="dxa"/>
            <w:shd w:val="clear" w:color="auto" w:fill="DCEDC6"/>
          </w:tcPr>
          <w:p w14:paraId="49B3B4CE" w14:textId="7236FC65" w:rsidR="00E11D05" w:rsidRPr="00FB65E1" w:rsidRDefault="000D4F64" w:rsidP="00D93256">
            <w:pPr>
              <w:pStyle w:val="STPR2TableBody"/>
            </w:pPr>
            <w:r w:rsidRPr="000D4F64">
              <w:t>British Trust for Ornithology</w:t>
            </w:r>
          </w:p>
        </w:tc>
      </w:tr>
      <w:tr w:rsidR="006300AA" w:rsidRPr="00E645D5" w14:paraId="4F4E16B4" w14:textId="77777777" w:rsidTr="004B3264">
        <w:trPr>
          <w:cantSplit/>
        </w:trPr>
        <w:tc>
          <w:tcPr>
            <w:tcW w:w="2413" w:type="dxa"/>
            <w:shd w:val="clear" w:color="auto" w:fill="DCEDC6"/>
          </w:tcPr>
          <w:p w14:paraId="3517B685" w14:textId="539B4F6F" w:rsidR="006300AA" w:rsidRDefault="006300AA" w:rsidP="00D93256">
            <w:pPr>
              <w:pStyle w:val="STPR2TableBody"/>
            </w:pPr>
            <w:r>
              <w:t>CAR</w:t>
            </w:r>
          </w:p>
        </w:tc>
        <w:tc>
          <w:tcPr>
            <w:tcW w:w="7221" w:type="dxa"/>
            <w:shd w:val="clear" w:color="auto" w:fill="DCEDC6"/>
          </w:tcPr>
          <w:p w14:paraId="69C1EA80" w14:textId="6EDA100F" w:rsidR="006300AA" w:rsidRPr="00FB65E1" w:rsidRDefault="006300AA" w:rsidP="00D93256">
            <w:pPr>
              <w:pStyle w:val="STPR2TableBody"/>
            </w:pPr>
            <w:r w:rsidRPr="006300AA">
              <w:t>(Controlled Activities) (Scotland) Regulations</w:t>
            </w:r>
          </w:p>
        </w:tc>
      </w:tr>
      <w:tr w:rsidR="000C1234" w:rsidRPr="00E645D5" w14:paraId="02B132B4" w14:textId="77777777" w:rsidTr="004B3264">
        <w:trPr>
          <w:cantSplit/>
        </w:trPr>
        <w:tc>
          <w:tcPr>
            <w:tcW w:w="2413" w:type="dxa"/>
            <w:shd w:val="clear" w:color="auto" w:fill="DCEDC6"/>
          </w:tcPr>
          <w:p w14:paraId="0CEBD5B3" w14:textId="3E436E49" w:rsidR="000C1234" w:rsidRDefault="000C1234" w:rsidP="00D93256">
            <w:pPr>
              <w:pStyle w:val="STPR2TableBody"/>
            </w:pPr>
            <w:r>
              <w:t>CHFS</w:t>
            </w:r>
          </w:p>
        </w:tc>
        <w:tc>
          <w:tcPr>
            <w:tcW w:w="7221" w:type="dxa"/>
            <w:shd w:val="clear" w:color="auto" w:fill="DCEDC6"/>
          </w:tcPr>
          <w:p w14:paraId="4E71E6D4" w14:textId="78382711" w:rsidR="000C1234" w:rsidRPr="00FB65E1" w:rsidRDefault="006368DD" w:rsidP="00D93256">
            <w:pPr>
              <w:pStyle w:val="STPR2TableBody"/>
            </w:pPr>
            <w:r w:rsidRPr="006368DD">
              <w:t>Clyde and Hebrides Ferry Services</w:t>
            </w:r>
          </w:p>
        </w:tc>
      </w:tr>
      <w:tr w:rsidR="000C6958" w:rsidRPr="00E645D5" w14:paraId="1240838F" w14:textId="77777777" w:rsidTr="004B3264">
        <w:trPr>
          <w:cantSplit/>
        </w:trPr>
        <w:tc>
          <w:tcPr>
            <w:tcW w:w="2413" w:type="dxa"/>
            <w:shd w:val="clear" w:color="auto" w:fill="DCEDC6"/>
          </w:tcPr>
          <w:p w14:paraId="26D37AA1" w14:textId="77777777" w:rsidR="000C6958" w:rsidRDefault="000C6958" w:rsidP="00D93256">
            <w:pPr>
              <w:pStyle w:val="STPR2TableBody"/>
            </w:pPr>
            <w:r>
              <w:t>CO</w:t>
            </w:r>
            <w:r w:rsidRPr="00174979">
              <w:rPr>
                <w:vertAlign w:val="subscript"/>
              </w:rPr>
              <w:t>2</w:t>
            </w:r>
          </w:p>
        </w:tc>
        <w:tc>
          <w:tcPr>
            <w:tcW w:w="7221" w:type="dxa"/>
            <w:shd w:val="clear" w:color="auto" w:fill="DCEDC6"/>
          </w:tcPr>
          <w:p w14:paraId="1A14279D" w14:textId="77777777" w:rsidR="000C6958" w:rsidRPr="00474405" w:rsidRDefault="000C6958" w:rsidP="00D93256">
            <w:pPr>
              <w:pStyle w:val="STPR2TableBody"/>
            </w:pPr>
            <w:r>
              <w:t xml:space="preserve">Carbon </w:t>
            </w:r>
            <w:r w:rsidRPr="00474405">
              <w:t>dioxide</w:t>
            </w:r>
          </w:p>
        </w:tc>
      </w:tr>
      <w:tr w:rsidR="00DC3D50" w:rsidRPr="00E645D5" w14:paraId="66FD2F0C" w14:textId="77777777" w:rsidTr="004B3264">
        <w:trPr>
          <w:cantSplit/>
        </w:trPr>
        <w:tc>
          <w:tcPr>
            <w:tcW w:w="2413" w:type="dxa"/>
            <w:shd w:val="clear" w:color="auto" w:fill="DCEDC6"/>
          </w:tcPr>
          <w:p w14:paraId="5F7346D5" w14:textId="09787E14" w:rsidR="00DC3D50" w:rsidRDefault="00DC3D50" w:rsidP="00D93256">
            <w:pPr>
              <w:pStyle w:val="STPR2TableBody"/>
            </w:pPr>
            <w:r>
              <w:t>CO</w:t>
            </w:r>
            <w:r w:rsidRPr="00174979">
              <w:rPr>
                <w:vertAlign w:val="subscript"/>
              </w:rPr>
              <w:t>2</w:t>
            </w:r>
            <w:r w:rsidR="00C722B6" w:rsidRPr="00A55F5F">
              <w:t>e</w:t>
            </w:r>
          </w:p>
        </w:tc>
        <w:tc>
          <w:tcPr>
            <w:tcW w:w="7221" w:type="dxa"/>
            <w:shd w:val="clear" w:color="auto" w:fill="DCEDC6"/>
          </w:tcPr>
          <w:p w14:paraId="64713B4F" w14:textId="7066A646" w:rsidR="00DC3D50" w:rsidRDefault="00DC3D50" w:rsidP="00D93256">
            <w:pPr>
              <w:pStyle w:val="STPR2TableBody"/>
            </w:pPr>
            <w:r>
              <w:t xml:space="preserve">Carbon </w:t>
            </w:r>
            <w:r w:rsidRPr="00474405">
              <w:t>dioxide</w:t>
            </w:r>
            <w:r>
              <w:t xml:space="preserve"> equivalent</w:t>
            </w:r>
          </w:p>
        </w:tc>
      </w:tr>
      <w:tr w:rsidR="000C6958" w:rsidRPr="00E645D5" w14:paraId="7A403077" w14:textId="77777777" w:rsidTr="004B3264">
        <w:trPr>
          <w:cantSplit/>
        </w:trPr>
        <w:tc>
          <w:tcPr>
            <w:tcW w:w="2413" w:type="dxa"/>
            <w:shd w:val="clear" w:color="auto" w:fill="DCEDC6"/>
          </w:tcPr>
          <w:p w14:paraId="5003D067" w14:textId="77777777" w:rsidR="000C6958" w:rsidRDefault="000C6958" w:rsidP="00D93256">
            <w:pPr>
              <w:pStyle w:val="STPR2TableBody"/>
            </w:pPr>
            <w:r>
              <w:t>CRWIA</w:t>
            </w:r>
          </w:p>
        </w:tc>
        <w:tc>
          <w:tcPr>
            <w:tcW w:w="7221" w:type="dxa"/>
            <w:shd w:val="clear" w:color="auto" w:fill="DCEDC6"/>
          </w:tcPr>
          <w:p w14:paraId="3D5ED5E3" w14:textId="77777777" w:rsidR="000C6958" w:rsidRDefault="000C6958" w:rsidP="00D93256">
            <w:pPr>
              <w:pStyle w:val="STPR2TableBody"/>
            </w:pPr>
            <w:r>
              <w:t>Child Rights and Wellbeing Impact Assessment</w:t>
            </w:r>
          </w:p>
        </w:tc>
      </w:tr>
      <w:tr w:rsidR="006300AA" w:rsidRPr="00E645D5" w14:paraId="3602C1B5" w14:textId="77777777" w:rsidTr="004B3264">
        <w:trPr>
          <w:cantSplit/>
        </w:trPr>
        <w:tc>
          <w:tcPr>
            <w:tcW w:w="2413" w:type="dxa"/>
            <w:shd w:val="clear" w:color="auto" w:fill="DCEDC6"/>
          </w:tcPr>
          <w:p w14:paraId="3DBAF3F9" w14:textId="60252619" w:rsidR="006300AA" w:rsidRDefault="006300AA" w:rsidP="00D93256">
            <w:pPr>
              <w:pStyle w:val="STPR2TableBody"/>
            </w:pPr>
            <w:r>
              <w:t>DMRB</w:t>
            </w:r>
          </w:p>
        </w:tc>
        <w:tc>
          <w:tcPr>
            <w:tcW w:w="7221" w:type="dxa"/>
            <w:shd w:val="clear" w:color="auto" w:fill="DCEDC6"/>
          </w:tcPr>
          <w:p w14:paraId="482E5F17" w14:textId="3EC051B4" w:rsidR="006300AA" w:rsidRDefault="00670C15" w:rsidP="00D93256">
            <w:pPr>
              <w:pStyle w:val="STPR2TableBody"/>
            </w:pPr>
            <w:r w:rsidRPr="00670C15">
              <w:t>Design Manual for Roads and Bridges</w:t>
            </w:r>
          </w:p>
        </w:tc>
      </w:tr>
      <w:tr w:rsidR="000C6958" w:rsidRPr="00E645D5" w14:paraId="33275FFA" w14:textId="77777777" w:rsidTr="004B3264">
        <w:trPr>
          <w:cantSplit/>
        </w:trPr>
        <w:tc>
          <w:tcPr>
            <w:tcW w:w="2413" w:type="dxa"/>
            <w:shd w:val="clear" w:color="auto" w:fill="DCEDC6"/>
          </w:tcPr>
          <w:p w14:paraId="0B903E9E" w14:textId="77777777" w:rsidR="000C6958" w:rsidRDefault="000C6958" w:rsidP="00D93256">
            <w:pPr>
              <w:pStyle w:val="STPR2TableBody"/>
            </w:pPr>
            <w:r>
              <w:t>EqIA</w:t>
            </w:r>
          </w:p>
        </w:tc>
        <w:tc>
          <w:tcPr>
            <w:tcW w:w="7221" w:type="dxa"/>
            <w:shd w:val="clear" w:color="auto" w:fill="DCEDC6"/>
          </w:tcPr>
          <w:p w14:paraId="37BEF0C4" w14:textId="77777777" w:rsidR="000C6958" w:rsidRDefault="000C6958" w:rsidP="00D93256">
            <w:pPr>
              <w:pStyle w:val="STPR2TableBody"/>
            </w:pPr>
            <w:r>
              <w:t>Equalities Impact Assessment</w:t>
            </w:r>
          </w:p>
        </w:tc>
      </w:tr>
      <w:tr w:rsidR="000C6958" w:rsidRPr="00E645D5" w14:paraId="2901F848" w14:textId="77777777" w:rsidTr="004B3264">
        <w:trPr>
          <w:cantSplit/>
        </w:trPr>
        <w:tc>
          <w:tcPr>
            <w:tcW w:w="2413" w:type="dxa"/>
            <w:shd w:val="clear" w:color="auto" w:fill="DCEDC6"/>
          </w:tcPr>
          <w:p w14:paraId="0899CC52" w14:textId="77777777" w:rsidR="000C6958" w:rsidRDefault="000C6958" w:rsidP="00D93256">
            <w:pPr>
              <w:pStyle w:val="STPR2TableBody"/>
            </w:pPr>
            <w:r>
              <w:t>EIA</w:t>
            </w:r>
          </w:p>
        </w:tc>
        <w:tc>
          <w:tcPr>
            <w:tcW w:w="7221" w:type="dxa"/>
            <w:shd w:val="clear" w:color="auto" w:fill="DCEDC6"/>
          </w:tcPr>
          <w:p w14:paraId="0F4018BE" w14:textId="77777777" w:rsidR="000C6958" w:rsidRDefault="000C6958" w:rsidP="00D93256">
            <w:pPr>
              <w:pStyle w:val="STPR2TableBody"/>
            </w:pPr>
            <w:r w:rsidRPr="00084264">
              <w:t>E</w:t>
            </w:r>
            <w:r>
              <w:t>nvironmental</w:t>
            </w:r>
            <w:r w:rsidRPr="00084264">
              <w:t xml:space="preserve"> Impact Assessment</w:t>
            </w:r>
          </w:p>
        </w:tc>
      </w:tr>
      <w:tr w:rsidR="00BC54FF" w:rsidRPr="00E645D5" w14:paraId="315FB04A" w14:textId="77777777" w:rsidTr="004B3264">
        <w:trPr>
          <w:cantSplit/>
        </w:trPr>
        <w:tc>
          <w:tcPr>
            <w:tcW w:w="2413" w:type="dxa"/>
            <w:shd w:val="clear" w:color="auto" w:fill="DCEDC6"/>
          </w:tcPr>
          <w:p w14:paraId="0CBC4181" w14:textId="35A0B804" w:rsidR="00BC54FF" w:rsidRDefault="00BC54FF" w:rsidP="00D93256">
            <w:pPr>
              <w:pStyle w:val="STPR2TableBody"/>
            </w:pPr>
            <w:r>
              <w:t>EV</w:t>
            </w:r>
          </w:p>
        </w:tc>
        <w:tc>
          <w:tcPr>
            <w:tcW w:w="7221" w:type="dxa"/>
            <w:shd w:val="clear" w:color="auto" w:fill="DCEDC6"/>
          </w:tcPr>
          <w:p w14:paraId="2D29A305" w14:textId="338C2B0B" w:rsidR="00BC54FF" w:rsidRPr="00084264" w:rsidRDefault="00BC54FF" w:rsidP="00D93256">
            <w:pPr>
              <w:pStyle w:val="STPR2TableBody"/>
            </w:pPr>
            <w:r>
              <w:t>Electric Vehicle</w:t>
            </w:r>
          </w:p>
        </w:tc>
      </w:tr>
      <w:tr w:rsidR="006300AA" w:rsidRPr="00E645D5" w14:paraId="4CF00C58" w14:textId="77777777" w:rsidTr="004B3264">
        <w:trPr>
          <w:cantSplit/>
        </w:trPr>
        <w:tc>
          <w:tcPr>
            <w:tcW w:w="2413" w:type="dxa"/>
            <w:shd w:val="clear" w:color="auto" w:fill="DCEDC6"/>
          </w:tcPr>
          <w:p w14:paraId="36233C61" w14:textId="2C9CE742" w:rsidR="006300AA" w:rsidRDefault="006300AA" w:rsidP="00D93256">
            <w:pPr>
              <w:pStyle w:val="STPR2TableBody"/>
            </w:pPr>
            <w:r>
              <w:t>GCR</w:t>
            </w:r>
          </w:p>
        </w:tc>
        <w:tc>
          <w:tcPr>
            <w:tcW w:w="7221" w:type="dxa"/>
            <w:shd w:val="clear" w:color="auto" w:fill="DCEDC6"/>
          </w:tcPr>
          <w:p w14:paraId="00D02A36" w14:textId="79576311" w:rsidR="006300AA" w:rsidRDefault="006300AA" w:rsidP="00D93256">
            <w:pPr>
              <w:pStyle w:val="STPR2TableBody"/>
            </w:pPr>
            <w:r>
              <w:t>Geological Conservation Review (designated sites)</w:t>
            </w:r>
          </w:p>
        </w:tc>
      </w:tr>
      <w:tr w:rsidR="000C6958" w:rsidRPr="00E645D5" w14:paraId="59ED67A1" w14:textId="77777777" w:rsidTr="004B3264">
        <w:trPr>
          <w:cantSplit/>
        </w:trPr>
        <w:tc>
          <w:tcPr>
            <w:tcW w:w="2413" w:type="dxa"/>
            <w:shd w:val="clear" w:color="auto" w:fill="DCEDC6"/>
          </w:tcPr>
          <w:p w14:paraId="4B9EB208" w14:textId="77777777" w:rsidR="000C6958" w:rsidRDefault="000C6958" w:rsidP="00D93256">
            <w:pPr>
              <w:pStyle w:val="STPR2TableBody"/>
            </w:pPr>
            <w:r>
              <w:t>GHG</w:t>
            </w:r>
          </w:p>
        </w:tc>
        <w:tc>
          <w:tcPr>
            <w:tcW w:w="7221" w:type="dxa"/>
            <w:shd w:val="clear" w:color="auto" w:fill="DCEDC6"/>
          </w:tcPr>
          <w:p w14:paraId="2220A883" w14:textId="77777777" w:rsidR="000C6958" w:rsidRPr="00084264" w:rsidRDefault="000C6958" w:rsidP="00D93256">
            <w:pPr>
              <w:pStyle w:val="STPR2TableBody"/>
            </w:pPr>
            <w:r w:rsidRPr="00084264">
              <w:t>Greenhouse Gas</w:t>
            </w:r>
          </w:p>
        </w:tc>
      </w:tr>
      <w:tr w:rsidR="00EF102D" w:rsidRPr="00E645D5" w14:paraId="4DD530F6" w14:textId="77777777" w:rsidTr="004B3264">
        <w:trPr>
          <w:cantSplit/>
        </w:trPr>
        <w:tc>
          <w:tcPr>
            <w:tcW w:w="2413" w:type="dxa"/>
            <w:shd w:val="clear" w:color="auto" w:fill="DCEDC6"/>
          </w:tcPr>
          <w:p w14:paraId="4D4CD932" w14:textId="29165ECA" w:rsidR="00EF102D" w:rsidRDefault="00EF102D" w:rsidP="00D93256">
            <w:pPr>
              <w:pStyle w:val="STPR2TableBody"/>
            </w:pPr>
            <w:r>
              <w:t>HabMoS</w:t>
            </w:r>
          </w:p>
        </w:tc>
        <w:tc>
          <w:tcPr>
            <w:tcW w:w="7221" w:type="dxa"/>
            <w:shd w:val="clear" w:color="auto" w:fill="DCEDC6"/>
          </w:tcPr>
          <w:p w14:paraId="18353F97" w14:textId="0E7334E1" w:rsidR="00EF102D" w:rsidRPr="00084264" w:rsidRDefault="00EF102D" w:rsidP="00D93256">
            <w:pPr>
              <w:pStyle w:val="STPR2TableBody"/>
            </w:pPr>
            <w:r w:rsidRPr="00EF102D">
              <w:t>Habitat Map of Scotland</w:t>
            </w:r>
          </w:p>
        </w:tc>
      </w:tr>
      <w:tr w:rsidR="000C6958" w:rsidRPr="00E645D5" w14:paraId="5A908185" w14:textId="77777777" w:rsidTr="004B3264">
        <w:trPr>
          <w:cantSplit/>
        </w:trPr>
        <w:tc>
          <w:tcPr>
            <w:tcW w:w="2413" w:type="dxa"/>
            <w:shd w:val="clear" w:color="auto" w:fill="DCEDC6"/>
          </w:tcPr>
          <w:p w14:paraId="03AD749E" w14:textId="77777777" w:rsidR="000C6958" w:rsidRDefault="000C6958" w:rsidP="00D93256">
            <w:pPr>
              <w:pStyle w:val="STPR2TableBody"/>
            </w:pPr>
            <w:r>
              <w:t>HES</w:t>
            </w:r>
          </w:p>
        </w:tc>
        <w:tc>
          <w:tcPr>
            <w:tcW w:w="7221" w:type="dxa"/>
            <w:shd w:val="clear" w:color="auto" w:fill="DCEDC6"/>
          </w:tcPr>
          <w:p w14:paraId="305F7ECE" w14:textId="77777777" w:rsidR="000C6958" w:rsidRPr="00084264" w:rsidRDefault="000C6958" w:rsidP="00D93256">
            <w:pPr>
              <w:pStyle w:val="STPR2TableBody"/>
            </w:pPr>
            <w:r>
              <w:t xml:space="preserve">Historic Environment Scotland </w:t>
            </w:r>
          </w:p>
        </w:tc>
      </w:tr>
      <w:tr w:rsidR="000C6958" w:rsidRPr="00E645D5" w14:paraId="7FE1C4C1" w14:textId="77777777" w:rsidTr="004B3264">
        <w:trPr>
          <w:cantSplit/>
        </w:trPr>
        <w:tc>
          <w:tcPr>
            <w:tcW w:w="2413" w:type="dxa"/>
            <w:shd w:val="clear" w:color="auto" w:fill="DCEDC6"/>
          </w:tcPr>
          <w:p w14:paraId="74C5BF9A" w14:textId="77777777" w:rsidR="000C6958" w:rsidRDefault="000C6958" w:rsidP="00D93256">
            <w:pPr>
              <w:pStyle w:val="STPR2TableBody"/>
            </w:pPr>
            <w:r>
              <w:t>HRA</w:t>
            </w:r>
          </w:p>
        </w:tc>
        <w:tc>
          <w:tcPr>
            <w:tcW w:w="7221" w:type="dxa"/>
            <w:shd w:val="clear" w:color="auto" w:fill="DCEDC6"/>
          </w:tcPr>
          <w:p w14:paraId="6154738D" w14:textId="77777777" w:rsidR="000C6958" w:rsidRDefault="000C6958" w:rsidP="00D93256">
            <w:pPr>
              <w:pStyle w:val="STPR2TableBody"/>
            </w:pPr>
            <w:r w:rsidRPr="00474405">
              <w:t>Habitats Regulations Appraisal</w:t>
            </w:r>
          </w:p>
        </w:tc>
      </w:tr>
      <w:tr w:rsidR="000C6958" w:rsidRPr="00E645D5" w14:paraId="5F238CF4" w14:textId="77777777" w:rsidTr="004B3264">
        <w:trPr>
          <w:cantSplit/>
        </w:trPr>
        <w:tc>
          <w:tcPr>
            <w:tcW w:w="2413" w:type="dxa"/>
            <w:shd w:val="clear" w:color="auto" w:fill="DCEDC6"/>
          </w:tcPr>
          <w:p w14:paraId="13462CD5" w14:textId="77777777" w:rsidR="000C6958" w:rsidRDefault="000C6958" w:rsidP="00D93256">
            <w:pPr>
              <w:pStyle w:val="STPR2TableBody"/>
            </w:pPr>
            <w:r>
              <w:t>ICIA</w:t>
            </w:r>
          </w:p>
        </w:tc>
        <w:tc>
          <w:tcPr>
            <w:tcW w:w="7221" w:type="dxa"/>
            <w:shd w:val="clear" w:color="auto" w:fill="DCEDC6"/>
          </w:tcPr>
          <w:p w14:paraId="06329FA7" w14:textId="77777777" w:rsidR="000C6958" w:rsidRPr="00474405" w:rsidRDefault="000C6958" w:rsidP="00D93256">
            <w:pPr>
              <w:pStyle w:val="STPR2TableBody"/>
            </w:pPr>
            <w:r>
              <w:t>Island Communities Impact Assessment</w:t>
            </w:r>
          </w:p>
        </w:tc>
      </w:tr>
      <w:tr w:rsidR="000C6958" w:rsidRPr="00E645D5" w14:paraId="0508B01C" w14:textId="77777777" w:rsidTr="004B3264">
        <w:trPr>
          <w:cantSplit/>
        </w:trPr>
        <w:tc>
          <w:tcPr>
            <w:tcW w:w="2413" w:type="dxa"/>
            <w:shd w:val="clear" w:color="auto" w:fill="DCEDC6"/>
          </w:tcPr>
          <w:p w14:paraId="71E34AD3" w14:textId="77777777" w:rsidR="000C6958" w:rsidRDefault="000C6958" w:rsidP="00D93256">
            <w:pPr>
              <w:pStyle w:val="STPR2TableBody"/>
            </w:pPr>
            <w:r w:rsidRPr="00A1708A">
              <w:t>IIP</w:t>
            </w:r>
          </w:p>
        </w:tc>
        <w:tc>
          <w:tcPr>
            <w:tcW w:w="7221" w:type="dxa"/>
            <w:shd w:val="clear" w:color="auto" w:fill="DCEDC6"/>
          </w:tcPr>
          <w:p w14:paraId="37BA66DB" w14:textId="77777777" w:rsidR="000C6958" w:rsidRDefault="000C6958" w:rsidP="00D93256">
            <w:pPr>
              <w:pStyle w:val="STPR2TableBody"/>
            </w:pPr>
            <w:r w:rsidRPr="00A1708A">
              <w:t>Infrastructure Investment Plan</w:t>
            </w:r>
          </w:p>
        </w:tc>
      </w:tr>
      <w:tr w:rsidR="000C6958" w:rsidRPr="00E645D5" w14:paraId="3E4BB173" w14:textId="77777777" w:rsidTr="00A925E8">
        <w:trPr>
          <w:cantSplit/>
          <w:trHeight w:val="58"/>
        </w:trPr>
        <w:tc>
          <w:tcPr>
            <w:tcW w:w="2413" w:type="dxa"/>
            <w:shd w:val="clear" w:color="auto" w:fill="DCEDC6"/>
          </w:tcPr>
          <w:p w14:paraId="3958DFC3" w14:textId="77777777" w:rsidR="000C6958" w:rsidRPr="00A1708A" w:rsidRDefault="000C6958" w:rsidP="00D93256">
            <w:pPr>
              <w:pStyle w:val="STPR2TableBody"/>
            </w:pPr>
            <w:r>
              <w:t>IPCC</w:t>
            </w:r>
          </w:p>
        </w:tc>
        <w:tc>
          <w:tcPr>
            <w:tcW w:w="7221" w:type="dxa"/>
            <w:shd w:val="clear" w:color="auto" w:fill="DCEDC6"/>
          </w:tcPr>
          <w:p w14:paraId="218D2185" w14:textId="77777777" w:rsidR="000C6958" w:rsidRPr="00A1708A" w:rsidRDefault="000C6958" w:rsidP="00D93256">
            <w:pPr>
              <w:pStyle w:val="STPR2TableBody"/>
            </w:pPr>
            <w:r>
              <w:t>I</w:t>
            </w:r>
            <w:r w:rsidRPr="00C03FC7">
              <w:t>ntergovernmental Panel on Climate Change</w:t>
            </w:r>
          </w:p>
        </w:tc>
      </w:tr>
      <w:tr w:rsidR="000C6958" w:rsidRPr="00E645D5" w14:paraId="3C40F034" w14:textId="77777777" w:rsidTr="004B3264">
        <w:trPr>
          <w:cantSplit/>
        </w:trPr>
        <w:tc>
          <w:tcPr>
            <w:tcW w:w="2413" w:type="dxa"/>
            <w:shd w:val="clear" w:color="auto" w:fill="DCEDC6"/>
          </w:tcPr>
          <w:p w14:paraId="78E36336" w14:textId="77777777" w:rsidR="000C6958" w:rsidRDefault="000C6958" w:rsidP="00D93256">
            <w:pPr>
              <w:pStyle w:val="STPR2TableBody"/>
            </w:pPr>
            <w:r>
              <w:t>ITS</w:t>
            </w:r>
          </w:p>
        </w:tc>
        <w:tc>
          <w:tcPr>
            <w:tcW w:w="7221" w:type="dxa"/>
            <w:shd w:val="clear" w:color="auto" w:fill="DCEDC6"/>
          </w:tcPr>
          <w:p w14:paraId="46621809" w14:textId="77777777" w:rsidR="000C6958" w:rsidRDefault="000C6958" w:rsidP="00D93256">
            <w:pPr>
              <w:pStyle w:val="STPR2TableBody"/>
            </w:pPr>
            <w:r>
              <w:t>Intelligent Transport System</w:t>
            </w:r>
          </w:p>
        </w:tc>
      </w:tr>
      <w:tr w:rsidR="000C6958" w:rsidRPr="00E645D5" w14:paraId="337900F0" w14:textId="77777777" w:rsidTr="004B3264">
        <w:trPr>
          <w:cantSplit/>
        </w:trPr>
        <w:tc>
          <w:tcPr>
            <w:tcW w:w="2413" w:type="dxa"/>
            <w:shd w:val="clear" w:color="auto" w:fill="DCEDC6"/>
          </w:tcPr>
          <w:p w14:paraId="224BDA0D" w14:textId="77777777" w:rsidR="000C6958" w:rsidRDefault="000C6958" w:rsidP="00D93256">
            <w:pPr>
              <w:pStyle w:val="STPR2TableBody"/>
            </w:pPr>
            <w:r>
              <w:t>MaaS</w:t>
            </w:r>
          </w:p>
        </w:tc>
        <w:tc>
          <w:tcPr>
            <w:tcW w:w="7221" w:type="dxa"/>
            <w:shd w:val="clear" w:color="auto" w:fill="DCEDC6"/>
          </w:tcPr>
          <w:p w14:paraId="52F8F26C" w14:textId="77777777" w:rsidR="000C6958" w:rsidRDefault="000C6958" w:rsidP="00D93256">
            <w:pPr>
              <w:pStyle w:val="STPR2TableBody"/>
            </w:pPr>
            <w:r>
              <w:t>Mobility as a Service</w:t>
            </w:r>
          </w:p>
        </w:tc>
      </w:tr>
      <w:tr w:rsidR="00BC54FF" w:rsidRPr="00E645D5" w14:paraId="7FA5BE49" w14:textId="77777777" w:rsidTr="004B3264">
        <w:trPr>
          <w:cantSplit/>
        </w:trPr>
        <w:tc>
          <w:tcPr>
            <w:tcW w:w="2413" w:type="dxa"/>
            <w:shd w:val="clear" w:color="auto" w:fill="DCEDC6"/>
          </w:tcPr>
          <w:p w14:paraId="00A4661F" w14:textId="74E6C955" w:rsidR="00BC54FF" w:rsidRDefault="00BC54FF" w:rsidP="00D93256">
            <w:pPr>
              <w:pStyle w:val="STPR2TableBody"/>
            </w:pPr>
            <w:r>
              <w:t>MPA</w:t>
            </w:r>
          </w:p>
        </w:tc>
        <w:tc>
          <w:tcPr>
            <w:tcW w:w="7221" w:type="dxa"/>
            <w:shd w:val="clear" w:color="auto" w:fill="DCEDC6"/>
          </w:tcPr>
          <w:p w14:paraId="3DEE725A" w14:textId="41011F7C" w:rsidR="00BC54FF" w:rsidRDefault="00BC54FF" w:rsidP="00D93256">
            <w:pPr>
              <w:pStyle w:val="STPR2TableBody"/>
            </w:pPr>
            <w:r>
              <w:t>Marine Protected Area</w:t>
            </w:r>
          </w:p>
        </w:tc>
      </w:tr>
      <w:tr w:rsidR="00E42277" w:rsidRPr="00E645D5" w14:paraId="51BC6739" w14:textId="77777777" w:rsidTr="004B3264">
        <w:trPr>
          <w:cantSplit/>
        </w:trPr>
        <w:tc>
          <w:tcPr>
            <w:tcW w:w="2413" w:type="dxa"/>
            <w:shd w:val="clear" w:color="auto" w:fill="DCEDC6"/>
          </w:tcPr>
          <w:p w14:paraId="12DB8833" w14:textId="7E97A0C9" w:rsidR="00E42277" w:rsidRDefault="006368DD" w:rsidP="00D93256">
            <w:pPr>
              <w:pStyle w:val="STPR2TableBody"/>
            </w:pPr>
            <w:r>
              <w:t>NIFS</w:t>
            </w:r>
          </w:p>
        </w:tc>
        <w:tc>
          <w:tcPr>
            <w:tcW w:w="7221" w:type="dxa"/>
            <w:shd w:val="clear" w:color="auto" w:fill="DCEDC6"/>
          </w:tcPr>
          <w:p w14:paraId="0B04C9BF" w14:textId="1A004D63" w:rsidR="00E42277" w:rsidRDefault="00E42277" w:rsidP="00D93256">
            <w:pPr>
              <w:pStyle w:val="STPR2TableBody"/>
            </w:pPr>
            <w:r w:rsidRPr="00E42277">
              <w:t xml:space="preserve">Northern Isles Ferry Services </w:t>
            </w:r>
          </w:p>
        </w:tc>
      </w:tr>
      <w:tr w:rsidR="000C6958" w:rsidRPr="00E645D5" w14:paraId="546F2B2E" w14:textId="77777777" w:rsidTr="004B3264">
        <w:trPr>
          <w:cantSplit/>
        </w:trPr>
        <w:tc>
          <w:tcPr>
            <w:tcW w:w="2413" w:type="dxa"/>
            <w:shd w:val="clear" w:color="auto" w:fill="DCEDC6"/>
          </w:tcPr>
          <w:p w14:paraId="2A45ABD5" w14:textId="77777777" w:rsidR="000C6958" w:rsidRDefault="000C6958" w:rsidP="00D93256">
            <w:pPr>
              <w:pStyle w:val="STPR2TableBody"/>
            </w:pPr>
            <w:r>
              <w:t>NLEF</w:t>
            </w:r>
          </w:p>
        </w:tc>
        <w:tc>
          <w:tcPr>
            <w:tcW w:w="7221" w:type="dxa"/>
            <w:shd w:val="clear" w:color="auto" w:fill="DCEDC6"/>
          </w:tcPr>
          <w:p w14:paraId="4DDDE38B" w14:textId="77777777" w:rsidR="000C6958" w:rsidRPr="00C03FC7" w:rsidRDefault="000C6958" w:rsidP="00D93256">
            <w:pPr>
              <w:pStyle w:val="STPR2TableBody"/>
            </w:pPr>
            <w:r w:rsidRPr="00EC3E04">
              <w:t>National Low Emission Framework</w:t>
            </w:r>
          </w:p>
        </w:tc>
      </w:tr>
      <w:tr w:rsidR="000C6958" w:rsidRPr="00E645D5" w14:paraId="20A69619" w14:textId="77777777" w:rsidTr="004B3264">
        <w:trPr>
          <w:cantSplit/>
        </w:trPr>
        <w:tc>
          <w:tcPr>
            <w:tcW w:w="2413" w:type="dxa"/>
            <w:shd w:val="clear" w:color="auto" w:fill="DCEDC6"/>
          </w:tcPr>
          <w:p w14:paraId="47D85BD4" w14:textId="77777777" w:rsidR="000C6958" w:rsidRDefault="000C6958" w:rsidP="00D93256">
            <w:pPr>
              <w:pStyle w:val="STPR2TableBody"/>
            </w:pPr>
            <w:r>
              <w:t>NO</w:t>
            </w:r>
            <w:r w:rsidRPr="00174979">
              <w:rPr>
                <w:vertAlign w:val="subscript"/>
              </w:rPr>
              <w:t>2</w:t>
            </w:r>
          </w:p>
        </w:tc>
        <w:tc>
          <w:tcPr>
            <w:tcW w:w="7221" w:type="dxa"/>
            <w:shd w:val="clear" w:color="auto" w:fill="DCEDC6"/>
          </w:tcPr>
          <w:p w14:paraId="52479EDE" w14:textId="77777777" w:rsidR="000C6958" w:rsidRPr="00EC3E04" w:rsidRDefault="000C6958" w:rsidP="00D93256">
            <w:pPr>
              <w:pStyle w:val="STPR2TableBody"/>
            </w:pPr>
            <w:r w:rsidRPr="00B42545">
              <w:t>Nitrogen dioxide</w:t>
            </w:r>
          </w:p>
        </w:tc>
      </w:tr>
      <w:tr w:rsidR="000C6958" w:rsidRPr="00E645D5" w14:paraId="270419B2" w14:textId="77777777" w:rsidTr="004B3264">
        <w:trPr>
          <w:cantSplit/>
        </w:trPr>
        <w:tc>
          <w:tcPr>
            <w:tcW w:w="2413" w:type="dxa"/>
            <w:shd w:val="clear" w:color="auto" w:fill="DCEDC6"/>
          </w:tcPr>
          <w:p w14:paraId="31D902B1" w14:textId="77777777" w:rsidR="000C6958" w:rsidRDefault="000C6958" w:rsidP="00D93256">
            <w:pPr>
              <w:pStyle w:val="STPR2TableBody"/>
            </w:pPr>
            <w:r>
              <w:t>NOx</w:t>
            </w:r>
          </w:p>
        </w:tc>
        <w:tc>
          <w:tcPr>
            <w:tcW w:w="7221" w:type="dxa"/>
            <w:shd w:val="clear" w:color="auto" w:fill="DCEDC6"/>
          </w:tcPr>
          <w:p w14:paraId="6D491052" w14:textId="77777777" w:rsidR="000C6958" w:rsidRPr="00B42545" w:rsidRDefault="000C6958" w:rsidP="00D93256">
            <w:pPr>
              <w:pStyle w:val="STPR2TableBody"/>
            </w:pPr>
            <w:r w:rsidRPr="00C03FC7">
              <w:t>Nitrogen oxides</w:t>
            </w:r>
          </w:p>
        </w:tc>
      </w:tr>
      <w:tr w:rsidR="000C6958" w:rsidRPr="00E645D5" w14:paraId="02FF56A5" w14:textId="77777777" w:rsidTr="004B3264">
        <w:trPr>
          <w:cantSplit/>
        </w:trPr>
        <w:tc>
          <w:tcPr>
            <w:tcW w:w="2413" w:type="dxa"/>
            <w:shd w:val="clear" w:color="auto" w:fill="DCEDC6"/>
          </w:tcPr>
          <w:p w14:paraId="635A7789" w14:textId="77777777" w:rsidR="000C6958" w:rsidRDefault="000C6958" w:rsidP="00D93256">
            <w:pPr>
              <w:pStyle w:val="STPR2TableBody"/>
            </w:pPr>
            <w:r>
              <w:t>NPF4</w:t>
            </w:r>
          </w:p>
        </w:tc>
        <w:tc>
          <w:tcPr>
            <w:tcW w:w="7221" w:type="dxa"/>
            <w:shd w:val="clear" w:color="auto" w:fill="DCEDC6"/>
          </w:tcPr>
          <w:p w14:paraId="20A8B39D" w14:textId="77777777" w:rsidR="000C6958" w:rsidRPr="00C03FC7" w:rsidRDefault="000C6958" w:rsidP="00D93256">
            <w:pPr>
              <w:pStyle w:val="STPR2TableBody"/>
            </w:pPr>
            <w:r>
              <w:t>National Planning Framework 4</w:t>
            </w:r>
          </w:p>
        </w:tc>
      </w:tr>
      <w:tr w:rsidR="000C6958" w:rsidRPr="00E645D5" w14:paraId="15614B58" w14:textId="77777777" w:rsidTr="004B3264">
        <w:trPr>
          <w:cantSplit/>
        </w:trPr>
        <w:tc>
          <w:tcPr>
            <w:tcW w:w="2413" w:type="dxa"/>
            <w:shd w:val="clear" w:color="auto" w:fill="DCEDC6"/>
          </w:tcPr>
          <w:p w14:paraId="18ABABCB" w14:textId="77777777" w:rsidR="000C6958" w:rsidRDefault="000C6958" w:rsidP="00D93256">
            <w:pPr>
              <w:pStyle w:val="STPR2TableBody"/>
            </w:pPr>
            <w:r>
              <w:t>NSA</w:t>
            </w:r>
          </w:p>
        </w:tc>
        <w:tc>
          <w:tcPr>
            <w:tcW w:w="7221" w:type="dxa"/>
            <w:shd w:val="clear" w:color="auto" w:fill="DCEDC6"/>
          </w:tcPr>
          <w:p w14:paraId="0CEA58E7" w14:textId="77777777" w:rsidR="000C6958" w:rsidRDefault="000C6958" w:rsidP="00D93256">
            <w:pPr>
              <w:pStyle w:val="STPR2TableBody"/>
            </w:pPr>
            <w:r>
              <w:t>National Scenic Area</w:t>
            </w:r>
          </w:p>
        </w:tc>
      </w:tr>
      <w:tr w:rsidR="000C6958" w:rsidRPr="00E645D5" w14:paraId="5269B7D8" w14:textId="77777777" w:rsidTr="004B3264">
        <w:trPr>
          <w:cantSplit/>
        </w:trPr>
        <w:tc>
          <w:tcPr>
            <w:tcW w:w="2413" w:type="dxa"/>
            <w:shd w:val="clear" w:color="auto" w:fill="DCEDC6"/>
          </w:tcPr>
          <w:p w14:paraId="50943600" w14:textId="77777777" w:rsidR="000C6958" w:rsidRDefault="000C6958" w:rsidP="00D93256">
            <w:pPr>
              <w:pStyle w:val="STPR2TableBody"/>
            </w:pPr>
            <w:r>
              <w:lastRenderedPageBreak/>
              <w:t>NTS</w:t>
            </w:r>
          </w:p>
        </w:tc>
        <w:tc>
          <w:tcPr>
            <w:tcW w:w="7221" w:type="dxa"/>
            <w:shd w:val="clear" w:color="auto" w:fill="DCEDC6"/>
          </w:tcPr>
          <w:p w14:paraId="60E87F55" w14:textId="77777777" w:rsidR="000C6958" w:rsidRDefault="000C6958" w:rsidP="00D93256">
            <w:pPr>
              <w:pStyle w:val="STPR2TableBody"/>
            </w:pPr>
            <w:r w:rsidRPr="00121123">
              <w:t>National</w:t>
            </w:r>
            <w:r>
              <w:t xml:space="preserve"> Transport Strategy</w:t>
            </w:r>
          </w:p>
        </w:tc>
      </w:tr>
      <w:tr w:rsidR="000C6958" w:rsidRPr="00E645D5" w14:paraId="3D7B65E9" w14:textId="77777777" w:rsidTr="004B3264">
        <w:trPr>
          <w:cantSplit/>
        </w:trPr>
        <w:tc>
          <w:tcPr>
            <w:tcW w:w="2413" w:type="dxa"/>
            <w:shd w:val="clear" w:color="auto" w:fill="DCEDC6"/>
          </w:tcPr>
          <w:p w14:paraId="2DF70884" w14:textId="77777777" w:rsidR="000C6958" w:rsidRDefault="000C6958" w:rsidP="00D93256">
            <w:pPr>
              <w:pStyle w:val="STPR2TableBody"/>
            </w:pPr>
            <w:r>
              <w:t>PfG</w:t>
            </w:r>
          </w:p>
        </w:tc>
        <w:tc>
          <w:tcPr>
            <w:tcW w:w="7221" w:type="dxa"/>
            <w:shd w:val="clear" w:color="auto" w:fill="DCEDC6"/>
          </w:tcPr>
          <w:p w14:paraId="790E87C4" w14:textId="77777777" w:rsidR="000C6958" w:rsidRPr="00024E7A" w:rsidRDefault="000C6958" w:rsidP="00D93256">
            <w:pPr>
              <w:pStyle w:val="STPR2TableBody"/>
            </w:pPr>
            <w:r>
              <w:t>Programme for Government</w:t>
            </w:r>
          </w:p>
        </w:tc>
      </w:tr>
      <w:tr w:rsidR="000C6958" w:rsidRPr="00E645D5" w14:paraId="30D32D5B" w14:textId="77777777" w:rsidTr="004B3264">
        <w:trPr>
          <w:cantSplit/>
        </w:trPr>
        <w:tc>
          <w:tcPr>
            <w:tcW w:w="2413" w:type="dxa"/>
            <w:shd w:val="clear" w:color="auto" w:fill="DCEDC6"/>
          </w:tcPr>
          <w:p w14:paraId="4201714A" w14:textId="77777777" w:rsidR="000C6958" w:rsidRDefault="000C6958" w:rsidP="00D93256">
            <w:pPr>
              <w:pStyle w:val="STPR2TableBody"/>
            </w:pPr>
            <w:r>
              <w:t>PM</w:t>
            </w:r>
            <w:r w:rsidRPr="00174979">
              <w:rPr>
                <w:vertAlign w:val="subscript"/>
              </w:rPr>
              <w:t>2.5</w:t>
            </w:r>
          </w:p>
        </w:tc>
        <w:tc>
          <w:tcPr>
            <w:tcW w:w="7221" w:type="dxa"/>
            <w:shd w:val="clear" w:color="auto" w:fill="DCEDC6"/>
          </w:tcPr>
          <w:p w14:paraId="4C63EEF6" w14:textId="531D01B4" w:rsidR="000C6958" w:rsidRDefault="000C6958" w:rsidP="00D93256">
            <w:pPr>
              <w:pStyle w:val="STPR2TableBody"/>
            </w:pPr>
            <w:r w:rsidRPr="005645A7">
              <w:t xml:space="preserve">Particulate Matter of Diameter Less Than or Equal to </w:t>
            </w:r>
            <w:r>
              <w:t>2.5</w:t>
            </w:r>
            <w:r w:rsidR="00331453">
              <w:t> </w:t>
            </w:r>
            <w:r w:rsidRPr="005645A7">
              <w:t>microns</w:t>
            </w:r>
            <w:r w:rsidR="00331453">
              <w:t> </w:t>
            </w:r>
            <w:r w:rsidRPr="005645A7">
              <w:t>(µm)</w:t>
            </w:r>
          </w:p>
        </w:tc>
      </w:tr>
      <w:tr w:rsidR="000C6958" w:rsidRPr="00E645D5" w14:paraId="0AE6260B" w14:textId="77777777" w:rsidTr="004B3264">
        <w:trPr>
          <w:cantSplit/>
        </w:trPr>
        <w:tc>
          <w:tcPr>
            <w:tcW w:w="2413" w:type="dxa"/>
            <w:shd w:val="clear" w:color="auto" w:fill="DCEDC6"/>
          </w:tcPr>
          <w:p w14:paraId="307FDBAB" w14:textId="77777777" w:rsidR="000C6958" w:rsidRDefault="000C6958" w:rsidP="00D93256">
            <w:pPr>
              <w:pStyle w:val="STPR2TableBody"/>
            </w:pPr>
            <w:r>
              <w:t>PM</w:t>
            </w:r>
            <w:r w:rsidRPr="00174979">
              <w:rPr>
                <w:vertAlign w:val="subscript"/>
              </w:rPr>
              <w:t>10</w:t>
            </w:r>
          </w:p>
        </w:tc>
        <w:tc>
          <w:tcPr>
            <w:tcW w:w="7221" w:type="dxa"/>
            <w:shd w:val="clear" w:color="auto" w:fill="DCEDC6"/>
          </w:tcPr>
          <w:p w14:paraId="341B0045" w14:textId="131DE2F0" w:rsidR="000C6958" w:rsidRPr="005645A7" w:rsidRDefault="000C6958" w:rsidP="00D93256">
            <w:pPr>
              <w:pStyle w:val="STPR2TableBody"/>
            </w:pPr>
            <w:r w:rsidRPr="005645A7">
              <w:t>Particulate Matter of Diameter Less Than or Equal to 10</w:t>
            </w:r>
            <w:r w:rsidR="00331453">
              <w:t> </w:t>
            </w:r>
            <w:r w:rsidRPr="005645A7">
              <w:t>microns</w:t>
            </w:r>
            <w:r w:rsidR="00331453">
              <w:t> </w:t>
            </w:r>
            <w:r w:rsidRPr="005645A7">
              <w:t>(µm)</w:t>
            </w:r>
          </w:p>
        </w:tc>
      </w:tr>
      <w:tr w:rsidR="002F27BA" w:rsidRPr="00E645D5" w14:paraId="6795C11D" w14:textId="77777777" w:rsidTr="004B3264">
        <w:trPr>
          <w:cantSplit/>
        </w:trPr>
        <w:tc>
          <w:tcPr>
            <w:tcW w:w="2413" w:type="dxa"/>
            <w:shd w:val="clear" w:color="auto" w:fill="DCEDC6"/>
          </w:tcPr>
          <w:p w14:paraId="0B3947B3" w14:textId="59896A58" w:rsidR="002F27BA" w:rsidRDefault="002F27BA" w:rsidP="00D93256">
            <w:pPr>
              <w:pStyle w:val="STPR2TableBody"/>
            </w:pPr>
            <w:r>
              <w:t>PPS</w:t>
            </w:r>
          </w:p>
        </w:tc>
        <w:tc>
          <w:tcPr>
            <w:tcW w:w="7221" w:type="dxa"/>
            <w:shd w:val="clear" w:color="auto" w:fill="DCEDC6"/>
          </w:tcPr>
          <w:p w14:paraId="2F8049A3" w14:textId="1D6DDEDD" w:rsidR="002F27BA" w:rsidRPr="005645A7" w:rsidRDefault="002F27BA" w:rsidP="00D93256">
            <w:pPr>
              <w:pStyle w:val="STPR2TableBody"/>
            </w:pPr>
            <w:r>
              <w:t>Plans, Programmes and Strategies</w:t>
            </w:r>
          </w:p>
        </w:tc>
      </w:tr>
      <w:tr w:rsidR="000C6958" w:rsidRPr="00E645D5" w14:paraId="33E002BB" w14:textId="77777777" w:rsidTr="004B3264">
        <w:trPr>
          <w:cantSplit/>
        </w:trPr>
        <w:tc>
          <w:tcPr>
            <w:tcW w:w="2413" w:type="dxa"/>
            <w:shd w:val="clear" w:color="auto" w:fill="DCEDC6"/>
          </w:tcPr>
          <w:p w14:paraId="3A4E38B5" w14:textId="77777777" w:rsidR="000C6958" w:rsidRDefault="000C6958" w:rsidP="00D93256">
            <w:pPr>
              <w:pStyle w:val="STPR2TableBody"/>
            </w:pPr>
            <w:r>
              <w:t>SAC</w:t>
            </w:r>
          </w:p>
        </w:tc>
        <w:tc>
          <w:tcPr>
            <w:tcW w:w="7221" w:type="dxa"/>
            <w:shd w:val="clear" w:color="auto" w:fill="DCEDC6"/>
          </w:tcPr>
          <w:p w14:paraId="65E240E2" w14:textId="77777777" w:rsidR="000C6958" w:rsidRPr="005645A7" w:rsidRDefault="000C6958" w:rsidP="00D93256">
            <w:pPr>
              <w:pStyle w:val="STPR2TableBody"/>
            </w:pPr>
            <w:r>
              <w:t>Special Area of Conservation</w:t>
            </w:r>
          </w:p>
        </w:tc>
      </w:tr>
      <w:tr w:rsidR="000C6958" w:rsidRPr="00E645D5" w14:paraId="55D17881" w14:textId="77777777" w:rsidTr="004B3264">
        <w:trPr>
          <w:cantSplit/>
        </w:trPr>
        <w:tc>
          <w:tcPr>
            <w:tcW w:w="2413" w:type="dxa"/>
            <w:shd w:val="clear" w:color="auto" w:fill="DCEDC6"/>
          </w:tcPr>
          <w:p w14:paraId="33D5979A" w14:textId="77777777" w:rsidR="000C6958" w:rsidRDefault="000C6958" w:rsidP="00D93256">
            <w:pPr>
              <w:pStyle w:val="STPR2TableBody"/>
            </w:pPr>
            <w:r>
              <w:t>SEA</w:t>
            </w:r>
          </w:p>
        </w:tc>
        <w:tc>
          <w:tcPr>
            <w:tcW w:w="7221" w:type="dxa"/>
            <w:shd w:val="clear" w:color="auto" w:fill="DCEDC6"/>
          </w:tcPr>
          <w:p w14:paraId="2425B65B" w14:textId="77777777" w:rsidR="000C6958" w:rsidRDefault="000C6958" w:rsidP="00D93256">
            <w:pPr>
              <w:pStyle w:val="STPR2TableBody"/>
            </w:pPr>
            <w:r>
              <w:t>Strategic Environmental Assessment</w:t>
            </w:r>
          </w:p>
        </w:tc>
      </w:tr>
      <w:tr w:rsidR="000C6958" w:rsidRPr="00E645D5" w14:paraId="4E072506" w14:textId="77777777" w:rsidTr="004B3264">
        <w:trPr>
          <w:cantSplit/>
        </w:trPr>
        <w:tc>
          <w:tcPr>
            <w:tcW w:w="2413" w:type="dxa"/>
            <w:shd w:val="clear" w:color="auto" w:fill="DCEDC6"/>
          </w:tcPr>
          <w:p w14:paraId="6008D696" w14:textId="77777777" w:rsidR="000C6958" w:rsidRDefault="000C6958" w:rsidP="00D93256">
            <w:pPr>
              <w:pStyle w:val="STPR2TableBody"/>
            </w:pPr>
            <w:r>
              <w:t>SEPA</w:t>
            </w:r>
          </w:p>
        </w:tc>
        <w:tc>
          <w:tcPr>
            <w:tcW w:w="7221" w:type="dxa"/>
            <w:shd w:val="clear" w:color="auto" w:fill="DCEDC6"/>
          </w:tcPr>
          <w:p w14:paraId="4E1D1DA5" w14:textId="77777777" w:rsidR="000C6958" w:rsidRDefault="000C6958" w:rsidP="00D93256">
            <w:pPr>
              <w:pStyle w:val="STPR2TableBody"/>
            </w:pPr>
            <w:r w:rsidRPr="00B42545">
              <w:t>Scottish Environment Protection Agency</w:t>
            </w:r>
          </w:p>
        </w:tc>
      </w:tr>
      <w:tr w:rsidR="000C6958" w:rsidRPr="00E645D5" w14:paraId="6E6F81CF" w14:textId="77777777" w:rsidTr="004B3264">
        <w:trPr>
          <w:cantSplit/>
        </w:trPr>
        <w:tc>
          <w:tcPr>
            <w:tcW w:w="2413" w:type="dxa"/>
            <w:shd w:val="clear" w:color="auto" w:fill="DCEDC6"/>
          </w:tcPr>
          <w:p w14:paraId="0324281B" w14:textId="77777777" w:rsidR="000C6958" w:rsidRDefault="000C6958" w:rsidP="00D93256">
            <w:pPr>
              <w:pStyle w:val="STPR2TableBody"/>
            </w:pPr>
            <w:r>
              <w:t>SIMD</w:t>
            </w:r>
          </w:p>
        </w:tc>
        <w:tc>
          <w:tcPr>
            <w:tcW w:w="7221" w:type="dxa"/>
            <w:shd w:val="clear" w:color="auto" w:fill="DCEDC6"/>
          </w:tcPr>
          <w:p w14:paraId="1D234DE1" w14:textId="77777777" w:rsidR="000C6958" w:rsidRPr="00B42545" w:rsidRDefault="000C6958" w:rsidP="00D93256">
            <w:pPr>
              <w:pStyle w:val="STPR2TableBody"/>
            </w:pPr>
            <w:r>
              <w:t>Scottish Indices of Multiple Deprivation</w:t>
            </w:r>
          </w:p>
        </w:tc>
      </w:tr>
      <w:tr w:rsidR="00165333" w:rsidRPr="00E645D5" w14:paraId="25AC5EDD" w14:textId="77777777" w:rsidTr="004B3264">
        <w:trPr>
          <w:cantSplit/>
        </w:trPr>
        <w:tc>
          <w:tcPr>
            <w:tcW w:w="2413" w:type="dxa"/>
            <w:shd w:val="clear" w:color="auto" w:fill="DCEDC6"/>
          </w:tcPr>
          <w:p w14:paraId="78F4B4AC" w14:textId="58FEC748" w:rsidR="00165333" w:rsidRDefault="00165333" w:rsidP="00D93256">
            <w:pPr>
              <w:pStyle w:val="STPR2TableBody"/>
            </w:pPr>
            <w:r>
              <w:t>SNH</w:t>
            </w:r>
          </w:p>
        </w:tc>
        <w:tc>
          <w:tcPr>
            <w:tcW w:w="7221" w:type="dxa"/>
            <w:shd w:val="clear" w:color="auto" w:fill="DCEDC6"/>
          </w:tcPr>
          <w:p w14:paraId="5EC4242B" w14:textId="2006EDAF" w:rsidR="00165333" w:rsidRDefault="00165333" w:rsidP="00D93256">
            <w:pPr>
              <w:pStyle w:val="STPR2TableBody"/>
            </w:pPr>
            <w:r>
              <w:t>Scottish Natural Heritage (now NatureScot)</w:t>
            </w:r>
          </w:p>
        </w:tc>
      </w:tr>
      <w:tr w:rsidR="002540A5" w:rsidRPr="00E645D5" w14:paraId="3F433062" w14:textId="77777777" w:rsidTr="004B3264">
        <w:trPr>
          <w:cantSplit/>
        </w:trPr>
        <w:tc>
          <w:tcPr>
            <w:tcW w:w="2413" w:type="dxa"/>
            <w:shd w:val="clear" w:color="auto" w:fill="DCEDC6"/>
          </w:tcPr>
          <w:p w14:paraId="1D2C5AE4" w14:textId="5B3E6D1F" w:rsidR="002540A5" w:rsidRDefault="002540A5" w:rsidP="00D93256">
            <w:pPr>
              <w:pStyle w:val="STPR2TableBody"/>
            </w:pPr>
            <w:r>
              <w:t>SoilMAP</w:t>
            </w:r>
          </w:p>
        </w:tc>
        <w:tc>
          <w:tcPr>
            <w:tcW w:w="7221" w:type="dxa"/>
            <w:shd w:val="clear" w:color="auto" w:fill="DCEDC6"/>
          </w:tcPr>
          <w:p w14:paraId="49A7A3C9" w14:textId="3CD761B1" w:rsidR="002540A5" w:rsidRDefault="00441C3A" w:rsidP="00D93256">
            <w:pPr>
              <w:pStyle w:val="STPR2TableBody"/>
            </w:pPr>
            <w:r w:rsidRPr="00441C3A">
              <w:t>Soil M</w:t>
            </w:r>
            <w:r w:rsidR="00E92572">
              <w:t>onitoring</w:t>
            </w:r>
            <w:r w:rsidRPr="00441C3A">
              <w:t xml:space="preserve"> Implementation Plan</w:t>
            </w:r>
          </w:p>
        </w:tc>
      </w:tr>
      <w:tr w:rsidR="000C6958" w:rsidRPr="00E645D5" w14:paraId="072AE534" w14:textId="77777777" w:rsidTr="004B3264">
        <w:trPr>
          <w:cantSplit/>
        </w:trPr>
        <w:tc>
          <w:tcPr>
            <w:tcW w:w="2413" w:type="dxa"/>
            <w:shd w:val="clear" w:color="auto" w:fill="DCEDC6"/>
          </w:tcPr>
          <w:p w14:paraId="46D3E792" w14:textId="77777777" w:rsidR="000C6958" w:rsidRDefault="000C6958" w:rsidP="00D93256">
            <w:pPr>
              <w:pStyle w:val="STPR2TableBody"/>
            </w:pPr>
            <w:r>
              <w:t>SO</w:t>
            </w:r>
            <w:r w:rsidRPr="00174979">
              <w:rPr>
                <w:vertAlign w:val="subscript"/>
              </w:rPr>
              <w:t>2</w:t>
            </w:r>
          </w:p>
        </w:tc>
        <w:tc>
          <w:tcPr>
            <w:tcW w:w="7221" w:type="dxa"/>
            <w:shd w:val="clear" w:color="auto" w:fill="DCEDC6"/>
          </w:tcPr>
          <w:p w14:paraId="4A67B22A" w14:textId="77777777" w:rsidR="000C6958" w:rsidRDefault="000C6958" w:rsidP="00D93256">
            <w:pPr>
              <w:pStyle w:val="STPR2TableBody"/>
            </w:pPr>
            <w:r>
              <w:t>Sulphur dioxide</w:t>
            </w:r>
          </w:p>
        </w:tc>
      </w:tr>
      <w:tr w:rsidR="000C6958" w:rsidRPr="00E645D5" w14:paraId="165A3AE8" w14:textId="77777777" w:rsidTr="004B3264">
        <w:trPr>
          <w:cantSplit/>
        </w:trPr>
        <w:tc>
          <w:tcPr>
            <w:tcW w:w="2413" w:type="dxa"/>
            <w:shd w:val="clear" w:color="auto" w:fill="DCEDC6"/>
          </w:tcPr>
          <w:p w14:paraId="13A7BD9B" w14:textId="77777777" w:rsidR="000C6958" w:rsidRDefault="000C6958" w:rsidP="00D93256">
            <w:pPr>
              <w:pStyle w:val="STPR2TableBody"/>
            </w:pPr>
            <w:r>
              <w:t>SPA</w:t>
            </w:r>
          </w:p>
        </w:tc>
        <w:tc>
          <w:tcPr>
            <w:tcW w:w="7221" w:type="dxa"/>
            <w:shd w:val="clear" w:color="auto" w:fill="DCEDC6"/>
          </w:tcPr>
          <w:p w14:paraId="2521A240" w14:textId="77777777" w:rsidR="000C6958" w:rsidRDefault="000C6958" w:rsidP="00D93256">
            <w:pPr>
              <w:pStyle w:val="STPR2TableBody"/>
            </w:pPr>
            <w:r>
              <w:t>Special Protection Area</w:t>
            </w:r>
          </w:p>
        </w:tc>
      </w:tr>
      <w:tr w:rsidR="000C6958" w:rsidRPr="00E645D5" w14:paraId="002BFF42" w14:textId="77777777" w:rsidTr="004B3264">
        <w:trPr>
          <w:cantSplit/>
        </w:trPr>
        <w:tc>
          <w:tcPr>
            <w:tcW w:w="2413" w:type="dxa"/>
            <w:shd w:val="clear" w:color="auto" w:fill="DCEDC6"/>
          </w:tcPr>
          <w:p w14:paraId="1E929EF7" w14:textId="77777777" w:rsidR="000C6958" w:rsidRDefault="000C6958" w:rsidP="00D93256">
            <w:pPr>
              <w:pStyle w:val="STPR2TableBody"/>
            </w:pPr>
            <w:r>
              <w:t>STAG</w:t>
            </w:r>
          </w:p>
        </w:tc>
        <w:tc>
          <w:tcPr>
            <w:tcW w:w="7221" w:type="dxa"/>
            <w:shd w:val="clear" w:color="auto" w:fill="DCEDC6"/>
          </w:tcPr>
          <w:p w14:paraId="79E9248C" w14:textId="77777777" w:rsidR="000C6958" w:rsidRDefault="000C6958" w:rsidP="00D93256">
            <w:pPr>
              <w:pStyle w:val="STPR2TableBody"/>
            </w:pPr>
            <w:r w:rsidRPr="007572C5">
              <w:t>Scottish Transport Appraisal Guidance</w:t>
            </w:r>
          </w:p>
        </w:tc>
      </w:tr>
      <w:tr w:rsidR="000C6958" w:rsidRPr="00E645D5" w14:paraId="3517FA84" w14:textId="77777777" w:rsidTr="004B3264">
        <w:trPr>
          <w:cantSplit/>
        </w:trPr>
        <w:tc>
          <w:tcPr>
            <w:tcW w:w="2413" w:type="dxa"/>
            <w:shd w:val="clear" w:color="auto" w:fill="DCEDC6"/>
          </w:tcPr>
          <w:p w14:paraId="32EC25C6" w14:textId="77777777" w:rsidR="000C6958" w:rsidRDefault="000C6958" w:rsidP="00D93256">
            <w:pPr>
              <w:pStyle w:val="STPR2TableBody"/>
            </w:pPr>
            <w:r>
              <w:t>STPR</w:t>
            </w:r>
          </w:p>
        </w:tc>
        <w:tc>
          <w:tcPr>
            <w:tcW w:w="7221" w:type="dxa"/>
            <w:shd w:val="clear" w:color="auto" w:fill="DCEDC6"/>
          </w:tcPr>
          <w:p w14:paraId="2871E982" w14:textId="77777777" w:rsidR="000C6958" w:rsidRPr="007572C5" w:rsidRDefault="000C6958" w:rsidP="00D93256">
            <w:pPr>
              <w:pStyle w:val="STPR2TableBody"/>
            </w:pPr>
            <w:r w:rsidRPr="00DF6AC3">
              <w:t>Strategic Transport Project</w:t>
            </w:r>
            <w:r>
              <w:t>s</w:t>
            </w:r>
            <w:r w:rsidRPr="00DF6AC3">
              <w:t xml:space="preserve"> Review</w:t>
            </w:r>
          </w:p>
        </w:tc>
      </w:tr>
      <w:tr w:rsidR="000C6958" w:rsidRPr="00E645D5" w14:paraId="16CF473A" w14:textId="77777777" w:rsidTr="004B3264">
        <w:trPr>
          <w:cantSplit/>
        </w:trPr>
        <w:tc>
          <w:tcPr>
            <w:tcW w:w="2413" w:type="dxa"/>
            <w:shd w:val="clear" w:color="auto" w:fill="DCEDC6"/>
          </w:tcPr>
          <w:p w14:paraId="73F26F12" w14:textId="77777777" w:rsidR="000C6958" w:rsidRDefault="000C6958" w:rsidP="00D93256">
            <w:pPr>
              <w:pStyle w:val="STPR2TableBody"/>
            </w:pPr>
            <w:r>
              <w:t>SSSI</w:t>
            </w:r>
          </w:p>
        </w:tc>
        <w:tc>
          <w:tcPr>
            <w:tcW w:w="7221" w:type="dxa"/>
            <w:shd w:val="clear" w:color="auto" w:fill="DCEDC6"/>
          </w:tcPr>
          <w:p w14:paraId="369BEC91" w14:textId="77777777" w:rsidR="000C6958" w:rsidRPr="00DF6AC3" w:rsidRDefault="000C6958" w:rsidP="00D93256">
            <w:pPr>
              <w:pStyle w:val="STPR2TableBody"/>
            </w:pPr>
            <w:r w:rsidRPr="00A124AB">
              <w:t>Site(s) of Special Scientific Interest</w:t>
            </w:r>
          </w:p>
        </w:tc>
      </w:tr>
      <w:tr w:rsidR="000C6958" w:rsidRPr="00E645D5" w14:paraId="3E0411FC" w14:textId="77777777" w:rsidTr="004B3264">
        <w:trPr>
          <w:cantSplit/>
        </w:trPr>
        <w:tc>
          <w:tcPr>
            <w:tcW w:w="2413" w:type="dxa"/>
            <w:shd w:val="clear" w:color="auto" w:fill="DCEDC6"/>
          </w:tcPr>
          <w:p w14:paraId="2591D4B6" w14:textId="77777777" w:rsidR="000C6958" w:rsidRDefault="000C6958" w:rsidP="00D93256">
            <w:pPr>
              <w:pStyle w:val="STPR2TableBody"/>
            </w:pPr>
            <w:r>
              <w:t>TPO</w:t>
            </w:r>
          </w:p>
        </w:tc>
        <w:tc>
          <w:tcPr>
            <w:tcW w:w="7221" w:type="dxa"/>
            <w:shd w:val="clear" w:color="auto" w:fill="DCEDC6"/>
          </w:tcPr>
          <w:p w14:paraId="669A06CF" w14:textId="77777777" w:rsidR="000C6958" w:rsidRDefault="000C6958" w:rsidP="00D93256">
            <w:pPr>
              <w:pStyle w:val="STPR2TableBody"/>
            </w:pPr>
            <w:r>
              <w:t>Transport Planning Objective</w:t>
            </w:r>
          </w:p>
        </w:tc>
      </w:tr>
      <w:tr w:rsidR="000C6958" w:rsidRPr="00E645D5" w14:paraId="60E542F8" w14:textId="77777777" w:rsidTr="004B3264">
        <w:trPr>
          <w:cantSplit/>
        </w:trPr>
        <w:tc>
          <w:tcPr>
            <w:tcW w:w="2413" w:type="dxa"/>
            <w:shd w:val="clear" w:color="auto" w:fill="DCEDC6"/>
          </w:tcPr>
          <w:p w14:paraId="295D1613" w14:textId="77777777" w:rsidR="000C6958" w:rsidRDefault="000C6958" w:rsidP="00D93256">
            <w:pPr>
              <w:pStyle w:val="STPR2TableBody"/>
            </w:pPr>
            <w:r>
              <w:t>WFD</w:t>
            </w:r>
          </w:p>
        </w:tc>
        <w:tc>
          <w:tcPr>
            <w:tcW w:w="7221" w:type="dxa"/>
            <w:shd w:val="clear" w:color="auto" w:fill="DCEDC6"/>
          </w:tcPr>
          <w:p w14:paraId="7324ABF1" w14:textId="77777777" w:rsidR="000C6958" w:rsidRDefault="000C6958" w:rsidP="00D93256">
            <w:pPr>
              <w:pStyle w:val="STPR2TableBody"/>
            </w:pPr>
            <w:r w:rsidRPr="00355FAA">
              <w:t>Water Framework Directive</w:t>
            </w:r>
          </w:p>
        </w:tc>
      </w:tr>
    </w:tbl>
    <w:p w14:paraId="59512721" w14:textId="77777777" w:rsidR="00BE33A1" w:rsidRPr="005A4249" w:rsidRDefault="00BE33A1">
      <w:pPr>
        <w:rPr>
          <w:rFonts w:ascii="Jacobs Chronos" w:hAnsi="Jacobs Chronos" w:cs="Jacobs Chronos"/>
          <w:color w:val="000000"/>
          <w:sz w:val="24"/>
        </w:rPr>
      </w:pPr>
      <w:r>
        <w:br w:type="page"/>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1"/>
        <w:gridCol w:w="7217"/>
      </w:tblGrid>
      <w:tr w:rsidR="00DB32EE" w:rsidRPr="00331453" w14:paraId="0748656E" w14:textId="77777777" w:rsidTr="00DB32EE">
        <w:trPr>
          <w:cantSplit/>
          <w:tblHeader/>
        </w:trPr>
        <w:tc>
          <w:tcPr>
            <w:tcW w:w="1252" w:type="pct"/>
            <w:shd w:val="clear" w:color="auto" w:fill="007D55"/>
          </w:tcPr>
          <w:p w14:paraId="7FDC752C" w14:textId="77777777" w:rsidR="00DB32EE" w:rsidRPr="00331453" w:rsidRDefault="00DB32EE" w:rsidP="00D93256">
            <w:pPr>
              <w:pStyle w:val="STPR2WhiteTableHeading"/>
            </w:pPr>
            <w:r w:rsidRPr="00331453">
              <w:lastRenderedPageBreak/>
              <w:t>GLOSSARY</w:t>
            </w:r>
          </w:p>
        </w:tc>
        <w:tc>
          <w:tcPr>
            <w:tcW w:w="3748" w:type="pct"/>
            <w:shd w:val="clear" w:color="auto" w:fill="007D55"/>
          </w:tcPr>
          <w:p w14:paraId="3C6B9BE5" w14:textId="21F99BD8" w:rsidR="00DB32EE" w:rsidRPr="00331453" w:rsidRDefault="00DB32EE" w:rsidP="00D93256">
            <w:pPr>
              <w:pStyle w:val="STPR2WhiteTableHeading"/>
            </w:pPr>
          </w:p>
        </w:tc>
      </w:tr>
      <w:tr w:rsidR="00331453" w:rsidRPr="00331453" w14:paraId="038BB626" w14:textId="77777777" w:rsidTr="004B3264">
        <w:trPr>
          <w:cantSplit/>
          <w:tblHeader/>
        </w:trPr>
        <w:tc>
          <w:tcPr>
            <w:tcW w:w="1252" w:type="pct"/>
            <w:shd w:val="clear" w:color="auto" w:fill="007D55"/>
          </w:tcPr>
          <w:p w14:paraId="7F67DA24" w14:textId="5C9C4B43" w:rsidR="000C6958" w:rsidRPr="00331453" w:rsidRDefault="00BE33A1" w:rsidP="00D93256">
            <w:pPr>
              <w:pStyle w:val="STPR2WhiteTableHeading"/>
            </w:pPr>
            <w:r w:rsidRPr="00331453">
              <w:t>TERMINOLOGY</w:t>
            </w:r>
          </w:p>
        </w:tc>
        <w:tc>
          <w:tcPr>
            <w:tcW w:w="3748" w:type="pct"/>
            <w:shd w:val="clear" w:color="auto" w:fill="007D55"/>
          </w:tcPr>
          <w:p w14:paraId="4E288539" w14:textId="69AE1239" w:rsidR="000C6958" w:rsidRPr="00331453" w:rsidRDefault="00BE33A1" w:rsidP="00D93256">
            <w:pPr>
              <w:pStyle w:val="STPR2WhiteTableHeading"/>
            </w:pPr>
            <w:r w:rsidRPr="00331453">
              <w:t>DESCRIPTION</w:t>
            </w:r>
          </w:p>
        </w:tc>
      </w:tr>
      <w:tr w:rsidR="000C6958" w:rsidRPr="00E645D5" w14:paraId="5A83A8F5" w14:textId="77777777" w:rsidTr="004B3264">
        <w:trPr>
          <w:cantSplit/>
        </w:trPr>
        <w:tc>
          <w:tcPr>
            <w:tcW w:w="1252" w:type="pct"/>
            <w:shd w:val="clear" w:color="auto" w:fill="DCEDC6"/>
          </w:tcPr>
          <w:p w14:paraId="21D78C80" w14:textId="77777777" w:rsidR="000C6958" w:rsidRPr="00BE33A1" w:rsidRDefault="000C6958" w:rsidP="00D93256">
            <w:pPr>
              <w:pStyle w:val="STPR2TableBody"/>
            </w:pPr>
            <w:r w:rsidRPr="00BE33A1">
              <w:t>Active Travel Hubs</w:t>
            </w:r>
          </w:p>
        </w:tc>
        <w:tc>
          <w:tcPr>
            <w:tcW w:w="3748" w:type="pct"/>
            <w:shd w:val="clear" w:color="auto" w:fill="DCEDC6"/>
          </w:tcPr>
          <w:p w14:paraId="6535C2EB" w14:textId="77777777" w:rsidR="000C6958" w:rsidRPr="00BE33A1" w:rsidRDefault="000C6958" w:rsidP="00D93256">
            <w:pPr>
              <w:pStyle w:val="STPR2TableBody"/>
            </w:pPr>
            <w:r w:rsidRPr="00BE33A1">
              <w:t>Specific locations which support/provide a base for active travel initiatives in a local community</w:t>
            </w:r>
          </w:p>
        </w:tc>
      </w:tr>
      <w:tr w:rsidR="000C6958" w:rsidRPr="00E645D5" w14:paraId="425B8427" w14:textId="77777777" w:rsidTr="004B3264">
        <w:trPr>
          <w:cantSplit/>
        </w:trPr>
        <w:tc>
          <w:tcPr>
            <w:tcW w:w="1252" w:type="pct"/>
            <w:shd w:val="clear" w:color="auto" w:fill="DCEDC6"/>
          </w:tcPr>
          <w:p w14:paraId="07F594F3" w14:textId="77777777" w:rsidR="000C6958" w:rsidRPr="00BE33A1" w:rsidRDefault="000C6958" w:rsidP="00D93256">
            <w:pPr>
              <w:pStyle w:val="STPR2TableBody"/>
            </w:pPr>
            <w:r w:rsidRPr="00BE33A1">
              <w:t>Air Quality Management Area (AQMA)</w:t>
            </w:r>
          </w:p>
        </w:tc>
        <w:tc>
          <w:tcPr>
            <w:tcW w:w="3748" w:type="pct"/>
            <w:shd w:val="clear" w:color="auto" w:fill="DCEDC6"/>
          </w:tcPr>
          <w:p w14:paraId="735FEEDD" w14:textId="77777777" w:rsidR="000C6958" w:rsidRPr="00BE33A1" w:rsidRDefault="000C6958" w:rsidP="00D93256">
            <w:pPr>
              <w:pStyle w:val="STPR2TableBody"/>
            </w:pPr>
            <w:r w:rsidRPr="00BE33A1">
              <w:t>A non-permanent designation created if monitoring reveals that statutory air quality thresholds are being exceeded or will be exceeded in the near future.</w:t>
            </w:r>
          </w:p>
        </w:tc>
      </w:tr>
      <w:tr w:rsidR="000C6958" w:rsidRPr="00E645D5" w14:paraId="0C49E7BC" w14:textId="77777777" w:rsidTr="004B3264">
        <w:trPr>
          <w:cantSplit/>
        </w:trPr>
        <w:tc>
          <w:tcPr>
            <w:tcW w:w="1252" w:type="pct"/>
            <w:shd w:val="clear" w:color="auto" w:fill="DCEDC6"/>
          </w:tcPr>
          <w:p w14:paraId="4BE9AD59" w14:textId="77777777" w:rsidR="000C6958" w:rsidRPr="00BE33A1" w:rsidRDefault="000C6958" w:rsidP="00D93256">
            <w:pPr>
              <w:pStyle w:val="STPR2TableBody"/>
            </w:pPr>
            <w:r w:rsidRPr="00BE33A1">
              <w:t>Appraisal Summary Table (AST)</w:t>
            </w:r>
          </w:p>
        </w:tc>
        <w:tc>
          <w:tcPr>
            <w:tcW w:w="3748" w:type="pct"/>
            <w:shd w:val="clear" w:color="auto" w:fill="DCEDC6"/>
          </w:tcPr>
          <w:p w14:paraId="5EAC1FB9" w14:textId="5FF31B99" w:rsidR="000C6958" w:rsidRPr="00BE33A1" w:rsidRDefault="008E14C2" w:rsidP="00D93256">
            <w:pPr>
              <w:pStyle w:val="STPR2TableBody"/>
            </w:pPr>
            <w:r w:rsidRPr="00BE33A1">
              <w:t>These pro</w:t>
            </w:r>
            <w:r w:rsidR="005B3FBD" w:rsidRPr="00BE33A1">
              <w:t xml:space="preserve">vide a </w:t>
            </w:r>
            <w:r w:rsidRPr="00BE33A1">
              <w:t xml:space="preserve">high-level summary of the appraisal performance of each Grouping </w:t>
            </w:r>
            <w:r w:rsidR="0016664C">
              <w:t>or Package</w:t>
            </w:r>
            <w:r w:rsidRPr="00BE33A1">
              <w:t xml:space="preserve"> in a format which is quick and easy to interpret</w:t>
            </w:r>
          </w:p>
        </w:tc>
      </w:tr>
      <w:tr w:rsidR="000C6958" w:rsidRPr="00E645D5" w14:paraId="4915B9B0" w14:textId="77777777" w:rsidTr="004B3264">
        <w:trPr>
          <w:cantSplit/>
        </w:trPr>
        <w:tc>
          <w:tcPr>
            <w:tcW w:w="1252" w:type="pct"/>
            <w:shd w:val="clear" w:color="auto" w:fill="DCEDC6"/>
          </w:tcPr>
          <w:p w14:paraId="0A4BBD84" w14:textId="77777777" w:rsidR="000C6958" w:rsidRPr="00BE33A1" w:rsidRDefault="000C6958" w:rsidP="00D93256">
            <w:pPr>
              <w:pStyle w:val="STPR2TableBody"/>
            </w:pPr>
            <w:r w:rsidRPr="00BE33A1">
              <w:t>Assessment</w:t>
            </w:r>
          </w:p>
        </w:tc>
        <w:tc>
          <w:tcPr>
            <w:tcW w:w="3748" w:type="pct"/>
            <w:shd w:val="clear" w:color="auto" w:fill="DCEDC6"/>
          </w:tcPr>
          <w:p w14:paraId="16B2167F" w14:textId="77777777" w:rsidR="000C6958" w:rsidRPr="00BE33A1" w:rsidRDefault="000C6958" w:rsidP="00D93256">
            <w:pPr>
              <w:pStyle w:val="STPR2TableBody"/>
            </w:pPr>
            <w:r w:rsidRPr="00BE33A1">
              <w:t>An umbrella term for description, analysis, and evaluation.</w:t>
            </w:r>
          </w:p>
        </w:tc>
      </w:tr>
      <w:tr w:rsidR="000C6958" w:rsidRPr="00E645D5" w14:paraId="7B6778BB" w14:textId="77777777" w:rsidTr="004B3264">
        <w:trPr>
          <w:cantSplit/>
        </w:trPr>
        <w:tc>
          <w:tcPr>
            <w:tcW w:w="1252" w:type="pct"/>
            <w:shd w:val="clear" w:color="auto" w:fill="DCEDC6"/>
          </w:tcPr>
          <w:p w14:paraId="497FDA3E" w14:textId="77777777" w:rsidR="000C6958" w:rsidRPr="00BE33A1" w:rsidRDefault="000C6958" w:rsidP="00D93256">
            <w:pPr>
              <w:pStyle w:val="STPR2TableBody"/>
            </w:pPr>
            <w:r w:rsidRPr="00BE33A1">
              <w:t>Baseline</w:t>
            </w:r>
          </w:p>
        </w:tc>
        <w:tc>
          <w:tcPr>
            <w:tcW w:w="3748" w:type="pct"/>
            <w:shd w:val="clear" w:color="auto" w:fill="DCEDC6"/>
          </w:tcPr>
          <w:p w14:paraId="48E45A42" w14:textId="77777777" w:rsidR="000C6958" w:rsidRPr="00BE33A1" w:rsidRDefault="000C6958" w:rsidP="00D93256">
            <w:pPr>
              <w:pStyle w:val="STPR2TableBody"/>
            </w:pPr>
            <w:r w:rsidRPr="00BE33A1">
              <w:t>The existing conditions which form the basis or start point of the environmental assessment</w:t>
            </w:r>
          </w:p>
        </w:tc>
      </w:tr>
      <w:tr w:rsidR="000C6958" w:rsidRPr="00E645D5" w14:paraId="0C4CDAAF" w14:textId="77777777" w:rsidTr="004B3264">
        <w:trPr>
          <w:cantSplit/>
        </w:trPr>
        <w:tc>
          <w:tcPr>
            <w:tcW w:w="1252" w:type="pct"/>
            <w:shd w:val="clear" w:color="auto" w:fill="DCEDC6"/>
          </w:tcPr>
          <w:p w14:paraId="4B8F8735" w14:textId="77777777" w:rsidR="000C6958" w:rsidRPr="00BE33A1" w:rsidRDefault="000C6958" w:rsidP="00D93256">
            <w:pPr>
              <w:pStyle w:val="STPR2TableBody"/>
            </w:pPr>
            <w:r w:rsidRPr="00BE33A1">
              <w:t xml:space="preserve">Biodiversity </w:t>
            </w:r>
          </w:p>
        </w:tc>
        <w:tc>
          <w:tcPr>
            <w:tcW w:w="3748" w:type="pct"/>
            <w:shd w:val="clear" w:color="auto" w:fill="DCEDC6"/>
          </w:tcPr>
          <w:p w14:paraId="5C42DE09" w14:textId="77777777" w:rsidR="000C6958" w:rsidRPr="00BE33A1" w:rsidRDefault="000C6958" w:rsidP="00D93256">
            <w:pPr>
              <w:pStyle w:val="STPR2TableBody"/>
            </w:pPr>
            <w:r w:rsidRPr="00BE33A1">
              <w:t>Biological diversity, or richness of living organisms present in representative communities and populations.</w:t>
            </w:r>
          </w:p>
        </w:tc>
      </w:tr>
      <w:tr w:rsidR="000C6958" w:rsidRPr="00E645D5" w14:paraId="52CB5EB2" w14:textId="77777777" w:rsidTr="004B3264">
        <w:trPr>
          <w:cantSplit/>
        </w:trPr>
        <w:tc>
          <w:tcPr>
            <w:tcW w:w="1252" w:type="pct"/>
            <w:shd w:val="clear" w:color="auto" w:fill="DCEDC6"/>
          </w:tcPr>
          <w:p w14:paraId="29E9D4BF" w14:textId="77777777" w:rsidR="000C6958" w:rsidRPr="00BE33A1" w:rsidRDefault="000C6958" w:rsidP="00D93256">
            <w:pPr>
              <w:pStyle w:val="STPR2TableBody"/>
            </w:pPr>
            <w:r w:rsidRPr="00BE33A1">
              <w:t xml:space="preserve">Community Severance </w:t>
            </w:r>
          </w:p>
        </w:tc>
        <w:tc>
          <w:tcPr>
            <w:tcW w:w="3748" w:type="pct"/>
            <w:shd w:val="clear" w:color="auto" w:fill="DCEDC6"/>
          </w:tcPr>
          <w:p w14:paraId="0A935FB5" w14:textId="77777777" w:rsidR="000C6958" w:rsidRPr="00BE33A1" w:rsidRDefault="000C6958" w:rsidP="00D93256">
            <w:pPr>
              <w:pStyle w:val="STPR2TableBody"/>
            </w:pPr>
            <w:r w:rsidRPr="00BE33A1">
              <w:t>Community severance is defined here as the separation of residents from facilities and services they use within their community caused by new or improved roads or by changes in traffic flows.</w:t>
            </w:r>
          </w:p>
        </w:tc>
      </w:tr>
      <w:tr w:rsidR="000C6958" w:rsidRPr="00E645D5" w14:paraId="1AD469AB" w14:textId="77777777" w:rsidTr="004B3264">
        <w:trPr>
          <w:cantSplit/>
        </w:trPr>
        <w:tc>
          <w:tcPr>
            <w:tcW w:w="1252" w:type="pct"/>
            <w:shd w:val="clear" w:color="auto" w:fill="DCEDC6"/>
          </w:tcPr>
          <w:p w14:paraId="5EFCB87D" w14:textId="77777777" w:rsidR="000C6958" w:rsidRPr="00BE33A1" w:rsidRDefault="000C6958" w:rsidP="00D93256">
            <w:pPr>
              <w:pStyle w:val="STPR2TableBody"/>
            </w:pPr>
            <w:r w:rsidRPr="00BE33A1">
              <w:t>Conservation Area</w:t>
            </w:r>
          </w:p>
        </w:tc>
        <w:tc>
          <w:tcPr>
            <w:tcW w:w="3748" w:type="pct"/>
            <w:shd w:val="clear" w:color="auto" w:fill="DCEDC6"/>
          </w:tcPr>
          <w:p w14:paraId="203E8DD8" w14:textId="77777777" w:rsidR="000C6958" w:rsidRPr="00BE33A1" w:rsidRDefault="000C6958" w:rsidP="00D93256">
            <w:pPr>
              <w:pStyle w:val="STPR2TableBody"/>
            </w:pPr>
            <w:r w:rsidRPr="00BE33A1">
              <w:t>Area of special architectural or historic interest, the character or appearance of which it is desirable to preserve or enhance. Designated under section 61 Planning (Listed Buildings and Conservation Areas) (Scotland) Act 1997.</w:t>
            </w:r>
          </w:p>
        </w:tc>
      </w:tr>
      <w:tr w:rsidR="000C6958" w:rsidRPr="00E645D5" w14:paraId="1C8E3577" w14:textId="77777777" w:rsidTr="004B3264">
        <w:trPr>
          <w:cantSplit/>
        </w:trPr>
        <w:tc>
          <w:tcPr>
            <w:tcW w:w="1252" w:type="pct"/>
            <w:shd w:val="clear" w:color="auto" w:fill="DCEDC6"/>
          </w:tcPr>
          <w:p w14:paraId="61E68290" w14:textId="77777777" w:rsidR="000C6958" w:rsidRPr="00BE33A1" w:rsidRDefault="000C6958" w:rsidP="00D93256">
            <w:pPr>
              <w:pStyle w:val="STPR2TableBody"/>
            </w:pPr>
            <w:r w:rsidRPr="00BE33A1">
              <w:t>Consultation Authorities</w:t>
            </w:r>
          </w:p>
        </w:tc>
        <w:tc>
          <w:tcPr>
            <w:tcW w:w="3748" w:type="pct"/>
            <w:shd w:val="clear" w:color="auto" w:fill="DCEDC6"/>
          </w:tcPr>
          <w:p w14:paraId="632BA60D" w14:textId="77777777" w:rsidR="000C6958" w:rsidRPr="00BE33A1" w:rsidRDefault="000C6958" w:rsidP="00D93256">
            <w:pPr>
              <w:pStyle w:val="STPR2TableBody"/>
            </w:pPr>
            <w:r w:rsidRPr="00BE33A1">
              <w:t>Refers to the three statutory Consultation Authorities in Scotland: Historic Environment Scotland, NatureScot and the Scottish Environment Protection Agency</w:t>
            </w:r>
          </w:p>
        </w:tc>
      </w:tr>
      <w:tr w:rsidR="000C6958" w:rsidRPr="00E645D5" w14:paraId="2E68B935" w14:textId="77777777" w:rsidTr="004B3264">
        <w:trPr>
          <w:cantSplit/>
        </w:trPr>
        <w:tc>
          <w:tcPr>
            <w:tcW w:w="1252" w:type="pct"/>
            <w:shd w:val="clear" w:color="auto" w:fill="DCEDC6"/>
          </w:tcPr>
          <w:p w14:paraId="16A5C98F" w14:textId="77777777" w:rsidR="000C6958" w:rsidRPr="00BE33A1" w:rsidRDefault="000C6958" w:rsidP="00D93256">
            <w:pPr>
              <w:pStyle w:val="STPR2TableBody"/>
            </w:pPr>
            <w:r w:rsidRPr="00BE33A1">
              <w:t xml:space="preserve">Cultural heritage resource </w:t>
            </w:r>
          </w:p>
        </w:tc>
        <w:tc>
          <w:tcPr>
            <w:tcW w:w="3748" w:type="pct"/>
            <w:shd w:val="clear" w:color="auto" w:fill="DCEDC6"/>
          </w:tcPr>
          <w:p w14:paraId="713236AF" w14:textId="77777777" w:rsidR="000C6958" w:rsidRPr="00BE33A1" w:rsidRDefault="000C6958" w:rsidP="00D93256">
            <w:pPr>
              <w:pStyle w:val="STPR2TableBody"/>
            </w:pPr>
            <w:r w:rsidRPr="00BE33A1">
              <w:t>A building, monument, site, place, area or landscape identified as having a degree of significance meriting consideration in planning decisions, because of its heritage interest</w:t>
            </w:r>
          </w:p>
        </w:tc>
      </w:tr>
      <w:tr w:rsidR="000C6958" w:rsidRPr="00E645D5" w14:paraId="007881A8" w14:textId="77777777" w:rsidTr="004B3264">
        <w:trPr>
          <w:cantSplit/>
        </w:trPr>
        <w:tc>
          <w:tcPr>
            <w:tcW w:w="1252" w:type="pct"/>
            <w:shd w:val="clear" w:color="auto" w:fill="DCEDC6"/>
          </w:tcPr>
          <w:p w14:paraId="0295F3CF" w14:textId="77777777" w:rsidR="000C6958" w:rsidRPr="00BE33A1" w:rsidRDefault="000C6958" w:rsidP="00D93256">
            <w:pPr>
              <w:pStyle w:val="STPR2TableBody"/>
            </w:pPr>
            <w:r w:rsidRPr="00BE33A1">
              <w:t>Cumulative effects</w:t>
            </w:r>
          </w:p>
        </w:tc>
        <w:tc>
          <w:tcPr>
            <w:tcW w:w="3748" w:type="pct"/>
            <w:shd w:val="clear" w:color="auto" w:fill="DCEDC6"/>
          </w:tcPr>
          <w:p w14:paraId="4DB6FF99" w14:textId="6103EB64" w:rsidR="000C6958" w:rsidRPr="00BE33A1" w:rsidRDefault="000C6958" w:rsidP="00D93256">
            <w:pPr>
              <w:pStyle w:val="STPR2TableBody"/>
            </w:pPr>
            <w:r w:rsidRPr="00BE33A1">
              <w:t xml:space="preserve">Scottish SEA Guidance (2013) states that ‘Cumulative effects can be considered in terms of synergistic effects, additive impacts and secondary effects.’ For the purposes of this SEA, the term ‘cumulative effects’ also encompasses synergistic </w:t>
            </w:r>
            <w:r w:rsidR="008034E7">
              <w:t>and s</w:t>
            </w:r>
            <w:r w:rsidRPr="00BE33A1">
              <w:t>econdary</w:t>
            </w:r>
            <w:r w:rsidR="002D31A5">
              <w:t> </w:t>
            </w:r>
            <w:r w:rsidRPr="00BE33A1">
              <w:t>effects</w:t>
            </w:r>
            <w:r w:rsidR="008034E7">
              <w:t>.</w:t>
            </w:r>
            <w:r w:rsidR="00DF6ACA">
              <w:t xml:space="preserve"> </w:t>
            </w:r>
          </w:p>
        </w:tc>
      </w:tr>
      <w:tr w:rsidR="000C6958" w:rsidRPr="00E645D5" w14:paraId="6F89D680" w14:textId="77777777" w:rsidTr="004B3264">
        <w:trPr>
          <w:cantSplit/>
        </w:trPr>
        <w:tc>
          <w:tcPr>
            <w:tcW w:w="1252" w:type="pct"/>
            <w:shd w:val="clear" w:color="auto" w:fill="DCEDC6"/>
          </w:tcPr>
          <w:p w14:paraId="2A12B1D2" w14:textId="77777777" w:rsidR="000C6958" w:rsidRPr="00BE33A1" w:rsidRDefault="000C6958" w:rsidP="00D93256">
            <w:pPr>
              <w:pStyle w:val="STPR2TableBody"/>
            </w:pPr>
            <w:r w:rsidRPr="00BE33A1">
              <w:lastRenderedPageBreak/>
              <w:t>Detailed Options Appraisal</w:t>
            </w:r>
          </w:p>
        </w:tc>
        <w:tc>
          <w:tcPr>
            <w:tcW w:w="3748" w:type="pct"/>
            <w:shd w:val="clear" w:color="auto" w:fill="DCEDC6"/>
          </w:tcPr>
          <w:p w14:paraId="2A3C8A13" w14:textId="5FD1573F" w:rsidR="000C6958" w:rsidRPr="00BE33A1" w:rsidRDefault="000C6958" w:rsidP="00D93256">
            <w:pPr>
              <w:pStyle w:val="STPR2TableBody"/>
            </w:pPr>
            <w:r w:rsidRPr="00BE33A1">
              <w:t xml:space="preserve">The third stage of the STAG process, which involves quantitative assessment. The end output of this is a series of recommendations for future investment. This </w:t>
            </w:r>
            <w:r w:rsidR="00764A0D">
              <w:t>was</w:t>
            </w:r>
            <w:r w:rsidRPr="00BE33A1">
              <w:t xml:space="preserve"> informed by more detailed and quantified appraisal of </w:t>
            </w:r>
            <w:r w:rsidR="00396668">
              <w:t>G</w:t>
            </w:r>
            <w:r w:rsidRPr="00BE33A1">
              <w:t xml:space="preserve">roupings </w:t>
            </w:r>
            <w:r w:rsidR="00764A0D">
              <w:t>as</w:t>
            </w:r>
            <w:r w:rsidR="00764A0D" w:rsidRPr="00BE33A1">
              <w:t xml:space="preserve"> </w:t>
            </w:r>
            <w:r w:rsidRPr="00BE33A1">
              <w:t xml:space="preserve">far as </w:t>
            </w:r>
            <w:r w:rsidR="00764A0D">
              <w:t>was</w:t>
            </w:r>
            <w:r w:rsidRPr="00BE33A1">
              <w:t xml:space="preserve"> practicable, and consideration of </w:t>
            </w:r>
            <w:r w:rsidR="006918C4">
              <w:t>P</w:t>
            </w:r>
            <w:r w:rsidRPr="00BE33A1">
              <w:t xml:space="preserve">ackages of </w:t>
            </w:r>
            <w:r w:rsidR="006918C4">
              <w:t>G</w:t>
            </w:r>
            <w:r w:rsidRPr="00BE33A1">
              <w:t>roupings</w:t>
            </w:r>
            <w:r w:rsidR="00955AAD">
              <w:t>,</w:t>
            </w:r>
            <w:r w:rsidRPr="00BE33A1">
              <w:t xml:space="preserve"> </w:t>
            </w:r>
            <w:r w:rsidR="00167789">
              <w:t>for example</w:t>
            </w:r>
            <w:r w:rsidRPr="00BE33A1">
              <w:t xml:space="preserve"> multi-modal or geographically based </w:t>
            </w:r>
            <w:r w:rsidR="00391BA7">
              <w:t>P</w:t>
            </w:r>
            <w:r w:rsidRPr="00BE33A1">
              <w:t xml:space="preserve">ackages. The framework for </w:t>
            </w:r>
            <w:r w:rsidR="00391BA7">
              <w:t>D</w:t>
            </w:r>
            <w:r w:rsidRPr="00BE33A1">
              <w:t xml:space="preserve">etailed </w:t>
            </w:r>
            <w:r w:rsidR="00391BA7">
              <w:t>A</w:t>
            </w:r>
            <w:r w:rsidRPr="00BE33A1">
              <w:t xml:space="preserve">ppraisal has been </w:t>
            </w:r>
            <w:r w:rsidR="00BA0EBD">
              <w:t>developed through the spring and summer of</w:t>
            </w:r>
            <w:r w:rsidRPr="00BE33A1">
              <w:t xml:space="preserve"> 2021</w:t>
            </w:r>
            <w:r w:rsidR="00411021">
              <w:t xml:space="preserve"> and </w:t>
            </w:r>
            <w:r w:rsidR="00411021" w:rsidRPr="00411021">
              <w:t>takes cognisance of refreshed STAG guidance published in January 2022</w:t>
            </w:r>
            <w:r w:rsidRPr="00BE33A1">
              <w:t>.</w:t>
            </w:r>
          </w:p>
        </w:tc>
      </w:tr>
      <w:tr w:rsidR="000C6958" w:rsidRPr="00E645D5" w14:paraId="4B914C80" w14:textId="77777777" w:rsidTr="004B3264">
        <w:trPr>
          <w:cantSplit/>
        </w:trPr>
        <w:tc>
          <w:tcPr>
            <w:tcW w:w="1252" w:type="pct"/>
            <w:shd w:val="clear" w:color="auto" w:fill="DCEDC6"/>
          </w:tcPr>
          <w:p w14:paraId="3E1A69EF" w14:textId="77777777" w:rsidR="000C6958" w:rsidRPr="00BE33A1" w:rsidRDefault="000C6958" w:rsidP="00D93256">
            <w:pPr>
              <w:pStyle w:val="STPR2TableBody"/>
            </w:pPr>
            <w:r w:rsidRPr="00BE33A1">
              <w:t>Ecosystem</w:t>
            </w:r>
          </w:p>
        </w:tc>
        <w:tc>
          <w:tcPr>
            <w:tcW w:w="3748" w:type="pct"/>
            <w:shd w:val="clear" w:color="auto" w:fill="DCEDC6"/>
          </w:tcPr>
          <w:p w14:paraId="165EBD4F" w14:textId="77777777" w:rsidR="000C6958" w:rsidRPr="00BE33A1" w:rsidRDefault="000C6958" w:rsidP="00D93256">
            <w:pPr>
              <w:pStyle w:val="STPR2TableBody"/>
            </w:pPr>
            <w:r w:rsidRPr="00BE33A1">
              <w:t>A biological community of organisms interacting with one another and their physical environment.</w:t>
            </w:r>
          </w:p>
        </w:tc>
      </w:tr>
      <w:tr w:rsidR="000C6958" w:rsidRPr="00E645D5" w14:paraId="64D74803" w14:textId="77777777" w:rsidTr="004B3264">
        <w:trPr>
          <w:cantSplit/>
        </w:trPr>
        <w:tc>
          <w:tcPr>
            <w:tcW w:w="1252" w:type="pct"/>
            <w:shd w:val="clear" w:color="auto" w:fill="DCEDC6"/>
          </w:tcPr>
          <w:p w14:paraId="2030AB4F" w14:textId="77777777" w:rsidR="000C6958" w:rsidRPr="00BE33A1" w:rsidRDefault="000C6958" w:rsidP="00D93256">
            <w:pPr>
              <w:pStyle w:val="STPR2TableBody"/>
            </w:pPr>
            <w:r w:rsidRPr="00BE33A1">
              <w:t>Effect</w:t>
            </w:r>
          </w:p>
        </w:tc>
        <w:tc>
          <w:tcPr>
            <w:tcW w:w="3748" w:type="pct"/>
            <w:shd w:val="clear" w:color="auto" w:fill="DCEDC6"/>
          </w:tcPr>
          <w:p w14:paraId="0628C341" w14:textId="77777777" w:rsidR="000C6958" w:rsidRPr="00BE33A1" w:rsidRDefault="000C6958" w:rsidP="00D93256">
            <w:pPr>
              <w:pStyle w:val="STPR2TableBody"/>
            </w:pPr>
            <w:r w:rsidRPr="00BE33A1">
              <w:t>The result of change or changes on specific environmental resources or receptors.</w:t>
            </w:r>
          </w:p>
        </w:tc>
      </w:tr>
      <w:tr w:rsidR="000C6958" w:rsidRPr="00E645D5" w14:paraId="7A5C4BD8" w14:textId="77777777" w:rsidTr="004B3264">
        <w:trPr>
          <w:cantSplit/>
        </w:trPr>
        <w:tc>
          <w:tcPr>
            <w:tcW w:w="1252" w:type="pct"/>
            <w:shd w:val="clear" w:color="auto" w:fill="DCEDC6"/>
          </w:tcPr>
          <w:p w14:paraId="31F28C28" w14:textId="77777777" w:rsidR="000C6958" w:rsidRPr="00BE33A1" w:rsidRDefault="000C6958" w:rsidP="00D93256">
            <w:pPr>
              <w:pStyle w:val="STPR2TableBody"/>
            </w:pPr>
            <w:r w:rsidRPr="00BE33A1">
              <w:t>Environmental Impact Assessment (EIA)</w:t>
            </w:r>
          </w:p>
        </w:tc>
        <w:tc>
          <w:tcPr>
            <w:tcW w:w="3748" w:type="pct"/>
            <w:shd w:val="clear" w:color="auto" w:fill="DCEDC6"/>
          </w:tcPr>
          <w:p w14:paraId="40F7B80B" w14:textId="77777777" w:rsidR="000C6958" w:rsidRPr="00BE33A1" w:rsidRDefault="000C6958" w:rsidP="00D93256">
            <w:pPr>
              <w:pStyle w:val="STPR2TableBody"/>
            </w:pPr>
            <w:r w:rsidRPr="00BE33A1">
              <w:t>The process by which information about the environmental effects of a project is evaluated and mitigation measures are identified.</w:t>
            </w:r>
          </w:p>
        </w:tc>
      </w:tr>
      <w:tr w:rsidR="000C6958" w:rsidRPr="00E645D5" w14:paraId="3C4FC214" w14:textId="77777777" w:rsidTr="004B3264">
        <w:trPr>
          <w:cantSplit/>
        </w:trPr>
        <w:tc>
          <w:tcPr>
            <w:tcW w:w="1252" w:type="pct"/>
            <w:shd w:val="clear" w:color="auto" w:fill="DCEDC6"/>
          </w:tcPr>
          <w:p w14:paraId="41D6931B" w14:textId="77777777" w:rsidR="000C6958" w:rsidRPr="00BE33A1" w:rsidRDefault="000C6958" w:rsidP="00D93256">
            <w:pPr>
              <w:pStyle w:val="STPR2TableBody"/>
            </w:pPr>
            <w:r w:rsidRPr="00BE33A1">
              <w:t>Environmental Report</w:t>
            </w:r>
          </w:p>
        </w:tc>
        <w:tc>
          <w:tcPr>
            <w:tcW w:w="3748" w:type="pct"/>
            <w:shd w:val="clear" w:color="auto" w:fill="DCEDC6"/>
          </w:tcPr>
          <w:p w14:paraId="5FD6538A" w14:textId="77777777" w:rsidR="000C6958" w:rsidRPr="00BE33A1" w:rsidRDefault="000C6958" w:rsidP="00D93256">
            <w:pPr>
              <w:pStyle w:val="STPR2TableBody"/>
            </w:pPr>
            <w:r w:rsidRPr="00BE33A1">
              <w:t>An Environmental Report presents the findings of the SEA undertaken for a project</w:t>
            </w:r>
          </w:p>
        </w:tc>
      </w:tr>
      <w:tr w:rsidR="000C6958" w:rsidRPr="00E645D5" w14:paraId="70AD122B" w14:textId="77777777" w:rsidTr="004B3264">
        <w:trPr>
          <w:cantSplit/>
        </w:trPr>
        <w:tc>
          <w:tcPr>
            <w:tcW w:w="1252" w:type="pct"/>
            <w:shd w:val="clear" w:color="auto" w:fill="DCEDC6"/>
          </w:tcPr>
          <w:p w14:paraId="5AD55726" w14:textId="77777777" w:rsidR="000C6958" w:rsidRPr="00BE33A1" w:rsidRDefault="000C6958" w:rsidP="00D93256">
            <w:pPr>
              <w:pStyle w:val="STPR2TableBody"/>
            </w:pPr>
            <w:r w:rsidRPr="00BE33A1">
              <w:t>European Site</w:t>
            </w:r>
          </w:p>
        </w:tc>
        <w:tc>
          <w:tcPr>
            <w:tcW w:w="3748" w:type="pct"/>
            <w:shd w:val="clear" w:color="auto" w:fill="DCEDC6"/>
          </w:tcPr>
          <w:p w14:paraId="457D3D7F" w14:textId="77777777" w:rsidR="000C6958" w:rsidRPr="00BE33A1" w:rsidRDefault="000C6958" w:rsidP="00D93256">
            <w:pPr>
              <w:pStyle w:val="STPR2TableBody"/>
            </w:pPr>
            <w:r w:rsidRPr="00BE33A1">
              <w:t>Otherwise known as ‘Natura 2000’ sites. These include Special Areas of Conservation (SACs) designated under the Habitats Directive (92/43/EEC) and Special Protection Areas (SPAs) designated under the Birds Directive (2009/147/EEC). In addition, Candidate and Possible SACs, Potential SPAs and Ramsar wetlands (designated under the Convention on Wetlands of International Importance) should be included in appraisals as they are afforded the same level of protection as European sites under domestic policy. Natura 2000 sites are designated due to the presence of specific habitats and species of internationally important biodiversity value, otherwise known as ‘qualifying interest features.’</w:t>
            </w:r>
          </w:p>
        </w:tc>
      </w:tr>
      <w:tr w:rsidR="005B3FBD" w:rsidRPr="00E645D5" w14:paraId="6E536154" w14:textId="77777777" w:rsidTr="004B3264">
        <w:trPr>
          <w:cantSplit/>
        </w:trPr>
        <w:tc>
          <w:tcPr>
            <w:tcW w:w="1252" w:type="pct"/>
            <w:shd w:val="clear" w:color="auto" w:fill="DCEDC6"/>
          </w:tcPr>
          <w:p w14:paraId="185B2D47" w14:textId="2C1CFDD0" w:rsidR="005B3FBD" w:rsidRPr="00BE33A1" w:rsidRDefault="005B3FBD" w:rsidP="00D93256">
            <w:pPr>
              <w:pStyle w:val="STPR2TableBody"/>
            </w:pPr>
            <w:r w:rsidRPr="00BE33A1">
              <w:t>Grouping</w:t>
            </w:r>
          </w:p>
        </w:tc>
        <w:tc>
          <w:tcPr>
            <w:tcW w:w="3748" w:type="pct"/>
            <w:shd w:val="clear" w:color="auto" w:fill="DCEDC6"/>
          </w:tcPr>
          <w:p w14:paraId="3FECDA41" w14:textId="77777777" w:rsidR="008E1438" w:rsidRPr="00BE33A1" w:rsidRDefault="00370DD9" w:rsidP="00D93256">
            <w:pPr>
              <w:pStyle w:val="STPR2TableBody"/>
            </w:pPr>
            <w:r w:rsidRPr="00BE33A1">
              <w:t>A col</w:t>
            </w:r>
            <w:r w:rsidR="00D96B45" w:rsidRPr="00BE33A1">
              <w:t>lection of similar transport interventions</w:t>
            </w:r>
            <w:r w:rsidR="00F84840" w:rsidRPr="00BE33A1">
              <w:t xml:space="preserve"> under a common theme</w:t>
            </w:r>
            <w:r w:rsidR="008E1438" w:rsidRPr="00BE33A1">
              <w:t xml:space="preserve"> or region. Groupings were established to:</w:t>
            </w:r>
          </w:p>
          <w:p w14:paraId="7C7DC3C1" w14:textId="0C633603" w:rsidR="008E1438" w:rsidRPr="00BE33A1" w:rsidRDefault="008E1438" w:rsidP="00D93256">
            <w:pPr>
              <w:pStyle w:val="STPR2TableBody"/>
            </w:pPr>
            <w:r w:rsidRPr="00BE33A1">
              <w:t xml:space="preserve">Allow similar options to be collated together to provide a more manageable list for further appraisal; </w:t>
            </w:r>
          </w:p>
          <w:p w14:paraId="7FCBC2A3" w14:textId="4D4F693B" w:rsidR="008E1438" w:rsidRPr="00BE33A1" w:rsidRDefault="008E1438" w:rsidP="00D93256">
            <w:pPr>
              <w:pStyle w:val="STPR2TableBody"/>
            </w:pPr>
            <w:r w:rsidRPr="00BE33A1">
              <w:t>Collate similar options across regions, thus aiding consistency in definition and appraisal; and, where appropriate</w:t>
            </w:r>
          </w:p>
          <w:p w14:paraId="7CE4BDD4" w14:textId="56E6188A" w:rsidR="005B3FBD" w:rsidRPr="00BE33A1" w:rsidRDefault="008E1438" w:rsidP="00D93256">
            <w:pPr>
              <w:pStyle w:val="STPR2TableBody"/>
            </w:pPr>
            <w:r w:rsidRPr="00BE33A1">
              <w:t>Allow options that may, on their own merit, not be considered strategic, however when grouped address the identified national and regional Problems and Opportunities.</w:t>
            </w:r>
          </w:p>
        </w:tc>
      </w:tr>
      <w:tr w:rsidR="000C6958" w:rsidRPr="00E645D5" w14:paraId="431CCC02" w14:textId="77777777" w:rsidTr="004B3264">
        <w:trPr>
          <w:cantSplit/>
        </w:trPr>
        <w:tc>
          <w:tcPr>
            <w:tcW w:w="1252" w:type="pct"/>
            <w:shd w:val="clear" w:color="auto" w:fill="DCEDC6"/>
          </w:tcPr>
          <w:p w14:paraId="62227227" w14:textId="77777777" w:rsidR="000C6958" w:rsidRPr="00BE33A1" w:rsidRDefault="000C6958" w:rsidP="00D93256">
            <w:pPr>
              <w:pStyle w:val="STPR2TableBody"/>
              <w:rPr>
                <w:highlight w:val="yellow"/>
              </w:rPr>
            </w:pPr>
            <w:r w:rsidRPr="00BE33A1">
              <w:lastRenderedPageBreak/>
              <w:t>Habitat</w:t>
            </w:r>
          </w:p>
        </w:tc>
        <w:tc>
          <w:tcPr>
            <w:tcW w:w="3748" w:type="pct"/>
            <w:shd w:val="clear" w:color="auto" w:fill="DCEDC6"/>
          </w:tcPr>
          <w:p w14:paraId="5E822D9D" w14:textId="4D704CF3" w:rsidR="000C6958" w:rsidRPr="00BE33A1" w:rsidRDefault="000C6958" w:rsidP="00D93256">
            <w:pPr>
              <w:pStyle w:val="STPR2TableBody"/>
              <w:rPr>
                <w:highlight w:val="yellow"/>
              </w:rPr>
            </w:pPr>
            <w:r w:rsidRPr="00BE33A1">
              <w:t>Term most accurately meaning the place in which a species lives, but also used to describe plant communities or agglomerations of plant communities, as used, for example in a Phase 1 Habitat</w:t>
            </w:r>
            <w:r w:rsidR="00331453">
              <w:t> </w:t>
            </w:r>
            <w:r w:rsidRPr="00BE33A1">
              <w:t>Survey.</w:t>
            </w:r>
          </w:p>
        </w:tc>
      </w:tr>
      <w:tr w:rsidR="000C6958" w:rsidRPr="00E645D5" w14:paraId="68B7AE0B" w14:textId="77777777" w:rsidTr="004B3264">
        <w:trPr>
          <w:cantSplit/>
        </w:trPr>
        <w:tc>
          <w:tcPr>
            <w:tcW w:w="1252" w:type="pct"/>
            <w:shd w:val="clear" w:color="auto" w:fill="DCEDC6"/>
          </w:tcPr>
          <w:p w14:paraId="42CB38C0" w14:textId="77777777" w:rsidR="000C6958" w:rsidRPr="00BE33A1" w:rsidRDefault="000C6958" w:rsidP="00D93256">
            <w:pPr>
              <w:pStyle w:val="STPR2TableBody"/>
            </w:pPr>
            <w:r w:rsidRPr="00BE33A1">
              <w:t xml:space="preserve">Habitat fragmentation </w:t>
            </w:r>
          </w:p>
        </w:tc>
        <w:tc>
          <w:tcPr>
            <w:tcW w:w="3748" w:type="pct"/>
            <w:shd w:val="clear" w:color="auto" w:fill="DCEDC6"/>
          </w:tcPr>
          <w:p w14:paraId="094CF74B" w14:textId="2859A060" w:rsidR="000C6958" w:rsidRPr="00BE33A1" w:rsidRDefault="000C6958" w:rsidP="00D93256">
            <w:pPr>
              <w:pStyle w:val="STPR2TableBody"/>
            </w:pPr>
            <w:r w:rsidRPr="00BE33A1">
              <w:t>Describes the breaking up of an organism’s preferred environment/habitat. Occurs naturally through long-term geological processes, or through human activities, such as change of land use or infrastructure development.</w:t>
            </w:r>
            <w:r w:rsidR="00DF6ACA">
              <w:t xml:space="preserve"> </w:t>
            </w:r>
          </w:p>
        </w:tc>
      </w:tr>
      <w:tr w:rsidR="000C6958" w:rsidRPr="00E645D5" w14:paraId="7BA4D47F" w14:textId="77777777" w:rsidTr="004B3264">
        <w:trPr>
          <w:cantSplit/>
        </w:trPr>
        <w:tc>
          <w:tcPr>
            <w:tcW w:w="1252" w:type="pct"/>
            <w:shd w:val="clear" w:color="auto" w:fill="DCEDC6"/>
          </w:tcPr>
          <w:p w14:paraId="699CC5DE" w14:textId="77777777" w:rsidR="000C6958" w:rsidRPr="00BE33A1" w:rsidRDefault="000C6958" w:rsidP="00D93256">
            <w:pPr>
              <w:pStyle w:val="STPR2TableBody"/>
            </w:pPr>
            <w:r w:rsidRPr="00BE33A1">
              <w:t>Habitats Regulations Appraisal</w:t>
            </w:r>
          </w:p>
        </w:tc>
        <w:tc>
          <w:tcPr>
            <w:tcW w:w="3748" w:type="pct"/>
            <w:shd w:val="clear" w:color="auto" w:fill="DCEDC6"/>
          </w:tcPr>
          <w:p w14:paraId="3E5FC8BD" w14:textId="77777777" w:rsidR="000C6958" w:rsidRPr="00BE33A1" w:rsidRDefault="000C6958" w:rsidP="00D93256">
            <w:pPr>
              <w:pStyle w:val="STPR2TableBody"/>
            </w:pPr>
            <w:r w:rsidRPr="00BE33A1">
              <w:t>Under the Habitats Regulations, all competent authorities must consider whether any plan or project will have a ‘likely significant effect’ on a European site. If so, they must carry out carry out an ‘appropriate assessment’ (AA). This is known as Habitats Regulations Appraisal (HRA).</w:t>
            </w:r>
          </w:p>
        </w:tc>
      </w:tr>
      <w:tr w:rsidR="000C6958" w:rsidRPr="00E645D5" w14:paraId="2BEF21EB" w14:textId="77777777" w:rsidTr="004B3264">
        <w:trPr>
          <w:cantSplit/>
        </w:trPr>
        <w:tc>
          <w:tcPr>
            <w:tcW w:w="1252" w:type="pct"/>
            <w:shd w:val="clear" w:color="auto" w:fill="DCEDC6"/>
          </w:tcPr>
          <w:p w14:paraId="7D79042B" w14:textId="77777777" w:rsidR="000C6958" w:rsidRPr="00BE33A1" w:rsidRDefault="000C6958" w:rsidP="00D93256">
            <w:pPr>
              <w:pStyle w:val="STPR2TableBody"/>
            </w:pPr>
            <w:r w:rsidRPr="00BE33A1">
              <w:t xml:space="preserve">Habitats Directive </w:t>
            </w:r>
          </w:p>
        </w:tc>
        <w:tc>
          <w:tcPr>
            <w:tcW w:w="3748" w:type="pct"/>
            <w:shd w:val="clear" w:color="auto" w:fill="DCEDC6"/>
          </w:tcPr>
          <w:p w14:paraId="26A1E587" w14:textId="77777777" w:rsidR="000C6958" w:rsidRPr="00BE33A1" w:rsidRDefault="000C6958" w:rsidP="00D93256">
            <w:pPr>
              <w:pStyle w:val="STPR2TableBody"/>
            </w:pPr>
            <w:r w:rsidRPr="00BE33A1">
              <w:t>EC Directive 92/43/</w:t>
            </w:r>
            <w:smartTag w:uri="urn:schemas-microsoft-com:office:smarttags" w:element="stockticker">
              <w:r w:rsidRPr="00BE33A1">
                <w:t>EEC</w:t>
              </w:r>
            </w:smartTag>
            <w:r w:rsidRPr="00BE33A1">
              <w:t xml:space="preserve"> on the conservation of natural habitats and of wild fauna and flora. </w:t>
            </w:r>
          </w:p>
        </w:tc>
      </w:tr>
      <w:tr w:rsidR="000C6958" w:rsidRPr="00E645D5" w14:paraId="33883FD5" w14:textId="77777777" w:rsidTr="004B3264">
        <w:trPr>
          <w:cantSplit/>
        </w:trPr>
        <w:tc>
          <w:tcPr>
            <w:tcW w:w="1252" w:type="pct"/>
            <w:shd w:val="clear" w:color="auto" w:fill="DCEDC6"/>
          </w:tcPr>
          <w:p w14:paraId="30BD6BDB" w14:textId="77777777" w:rsidR="000C6958" w:rsidRPr="00BE33A1" w:rsidRDefault="000C6958" w:rsidP="00D93256">
            <w:pPr>
              <w:pStyle w:val="STPR2TableBody"/>
            </w:pPr>
            <w:r w:rsidRPr="00BE33A1">
              <w:t>Hydrological</w:t>
            </w:r>
          </w:p>
        </w:tc>
        <w:tc>
          <w:tcPr>
            <w:tcW w:w="3748" w:type="pct"/>
            <w:shd w:val="clear" w:color="auto" w:fill="DCEDC6"/>
          </w:tcPr>
          <w:p w14:paraId="6DDF8899" w14:textId="16A580D6" w:rsidR="000C6958" w:rsidRPr="00BE33A1" w:rsidRDefault="000C6958" w:rsidP="00D93256">
            <w:pPr>
              <w:pStyle w:val="STPR2TableBody"/>
            </w:pPr>
            <w:r w:rsidRPr="00BE33A1">
              <w:t>The exchange of water between the atmosphere, the land and the</w:t>
            </w:r>
            <w:r w:rsidR="00331453">
              <w:t> </w:t>
            </w:r>
            <w:r w:rsidRPr="00BE33A1">
              <w:t>oceans.</w:t>
            </w:r>
          </w:p>
        </w:tc>
      </w:tr>
      <w:tr w:rsidR="000C6958" w:rsidRPr="00E645D5" w14:paraId="11BBF8E6" w14:textId="77777777" w:rsidTr="004B3264">
        <w:trPr>
          <w:cantSplit/>
        </w:trPr>
        <w:tc>
          <w:tcPr>
            <w:tcW w:w="1252" w:type="pct"/>
            <w:shd w:val="clear" w:color="auto" w:fill="DCEDC6"/>
          </w:tcPr>
          <w:p w14:paraId="0D0597BD" w14:textId="77777777" w:rsidR="000C6958" w:rsidRPr="00BE33A1" w:rsidRDefault="000C6958" w:rsidP="00D93256">
            <w:pPr>
              <w:pStyle w:val="STPR2TableBody"/>
            </w:pPr>
            <w:r w:rsidRPr="00BE33A1">
              <w:t>Infrastructure Investment Plan (IIP)</w:t>
            </w:r>
          </w:p>
        </w:tc>
        <w:tc>
          <w:tcPr>
            <w:tcW w:w="3748" w:type="pct"/>
            <w:shd w:val="clear" w:color="auto" w:fill="DCEDC6"/>
          </w:tcPr>
          <w:p w14:paraId="2A230E04" w14:textId="77777777" w:rsidR="003404FA" w:rsidRDefault="003404FA" w:rsidP="00D93256">
            <w:pPr>
              <w:pStyle w:val="STPR2TableBody"/>
            </w:pPr>
            <w:r>
              <w:t>The Infrastructure Investment Plan 2021-22 to 2025-26, published on 4 February 2021, focuses on three core strategic themes for guiding investment decisions in Scotland:</w:t>
            </w:r>
          </w:p>
          <w:p w14:paraId="1DDD7E48" w14:textId="0D2F1C78" w:rsidR="003404FA" w:rsidRDefault="003404FA" w:rsidP="00D93256">
            <w:pPr>
              <w:pStyle w:val="STPR2TableBody"/>
              <w:numPr>
                <w:ilvl w:val="0"/>
                <w:numId w:val="48"/>
              </w:numPr>
            </w:pPr>
            <w:r>
              <w:t>enabling the transition to net zero emissions and environmental sustainability;</w:t>
            </w:r>
          </w:p>
          <w:p w14:paraId="554246EE" w14:textId="4C262C23" w:rsidR="003404FA" w:rsidRDefault="003404FA" w:rsidP="00D93256">
            <w:pPr>
              <w:pStyle w:val="STPR2TableBody"/>
              <w:numPr>
                <w:ilvl w:val="0"/>
                <w:numId w:val="48"/>
              </w:numPr>
            </w:pPr>
            <w:r>
              <w:t>driving inclusive economic growth;</w:t>
            </w:r>
          </w:p>
          <w:p w14:paraId="2A9ADA78" w14:textId="6DD31095" w:rsidR="000C6958" w:rsidRPr="00BE33A1" w:rsidRDefault="003404FA" w:rsidP="00D93256">
            <w:pPr>
              <w:pStyle w:val="STPR2TableBody"/>
              <w:numPr>
                <w:ilvl w:val="0"/>
                <w:numId w:val="48"/>
              </w:numPr>
            </w:pPr>
            <w:r>
              <w:t>building resilient and sustainable places.</w:t>
            </w:r>
          </w:p>
        </w:tc>
      </w:tr>
      <w:tr w:rsidR="000C6958" w:rsidRPr="00E645D5" w14:paraId="69505181" w14:textId="77777777" w:rsidTr="004B3264">
        <w:trPr>
          <w:cantSplit/>
        </w:trPr>
        <w:tc>
          <w:tcPr>
            <w:tcW w:w="1252" w:type="pct"/>
            <w:shd w:val="clear" w:color="auto" w:fill="DCEDC6"/>
          </w:tcPr>
          <w:p w14:paraId="73485815" w14:textId="77777777" w:rsidR="000C6958" w:rsidRPr="00BE33A1" w:rsidRDefault="000C6958" w:rsidP="00D93256">
            <w:pPr>
              <w:pStyle w:val="STPR2TableBody"/>
            </w:pPr>
            <w:r w:rsidRPr="00BE33A1">
              <w:t>Initial Appraisal: Case for Change</w:t>
            </w:r>
          </w:p>
        </w:tc>
        <w:tc>
          <w:tcPr>
            <w:tcW w:w="3748" w:type="pct"/>
            <w:shd w:val="clear" w:color="auto" w:fill="DCEDC6"/>
          </w:tcPr>
          <w:p w14:paraId="3968173D" w14:textId="55738E1E" w:rsidR="000C6958" w:rsidRPr="00BE33A1" w:rsidRDefault="000C6958" w:rsidP="00D93256">
            <w:pPr>
              <w:pStyle w:val="STPR2TableBody"/>
            </w:pPr>
            <w:r w:rsidRPr="00BE33A1">
              <w:t xml:space="preserve">The first stage of the STAG process which demonstrates the rationale for intervention. The end output of this is a Sifted List of options. This process is informed by problems and opportunities, development of transport planning objectives, option generation and development, and sifting. Due to the scale of options being considered by </w:t>
            </w:r>
            <w:r w:rsidR="00276EBC">
              <w:t xml:space="preserve">the </w:t>
            </w:r>
            <w:r w:rsidRPr="00BE33A1">
              <w:t xml:space="preserve">STPR2, the sifted list of options are grouped together to form ‘option groupings’ of a similar type or nature. Draft Initial Appraisal: Case for Change reports for </w:t>
            </w:r>
            <w:r w:rsidR="00276EBC">
              <w:t xml:space="preserve">the </w:t>
            </w:r>
            <w:r w:rsidRPr="00BE33A1">
              <w:t>STPR2 were published in February 2020</w:t>
            </w:r>
            <w:r w:rsidR="00E379FA">
              <w:t xml:space="preserve"> (</w:t>
            </w:r>
            <w:r w:rsidR="00E379FA" w:rsidRPr="00E379FA">
              <w:t>Transport Scotland (2021a)</w:t>
            </w:r>
            <w:r w:rsidRPr="00BE33A1">
              <w:t xml:space="preserve">. </w:t>
            </w:r>
            <w:r w:rsidR="00000316" w:rsidRPr="00000316">
              <w:t>Due to an enforced pause to the programme as a result of the COVID-19 pandemic</w:t>
            </w:r>
            <w:r w:rsidR="0066655C">
              <w:t>, t</w:t>
            </w:r>
            <w:r w:rsidR="00000316" w:rsidRPr="00000316">
              <w:t>he draft reports were subsequently updated to reflect the impacts that the pandemic was having on people’s travel behavio</w:t>
            </w:r>
            <w:r w:rsidR="0066655C">
              <w:t>u</w:t>
            </w:r>
            <w:r w:rsidR="00000316" w:rsidRPr="00000316">
              <w:t>r. The updated reports were re-published in February 2021 and</w:t>
            </w:r>
            <w:r w:rsidR="0002377B">
              <w:t xml:space="preserve"> these</w:t>
            </w:r>
            <w:r w:rsidR="00000316" w:rsidRPr="00000316">
              <w:t xml:space="preserve"> incorporated the outcomes from the option sifting and development processes. </w:t>
            </w:r>
          </w:p>
        </w:tc>
      </w:tr>
      <w:tr w:rsidR="000C6958" w:rsidRPr="00E645D5" w14:paraId="3B77A453" w14:textId="77777777" w:rsidTr="004B3264">
        <w:trPr>
          <w:cantSplit/>
        </w:trPr>
        <w:tc>
          <w:tcPr>
            <w:tcW w:w="1252" w:type="pct"/>
            <w:shd w:val="clear" w:color="auto" w:fill="DCEDC6"/>
          </w:tcPr>
          <w:p w14:paraId="4953B39B" w14:textId="77777777" w:rsidR="000C6958" w:rsidRPr="00BE33A1" w:rsidRDefault="000C6958" w:rsidP="00D93256">
            <w:pPr>
              <w:pStyle w:val="STPR2TableBody"/>
            </w:pPr>
            <w:r w:rsidRPr="00BE33A1">
              <w:lastRenderedPageBreak/>
              <w:t>Land Capability for Agriculture (LCA)</w:t>
            </w:r>
          </w:p>
        </w:tc>
        <w:tc>
          <w:tcPr>
            <w:tcW w:w="3748" w:type="pct"/>
            <w:shd w:val="clear" w:color="auto" w:fill="DCEDC6"/>
          </w:tcPr>
          <w:p w14:paraId="2B1E10CF" w14:textId="1A51FE2D" w:rsidR="000C6958" w:rsidRPr="00BE33A1" w:rsidRDefault="000C6958" w:rsidP="00D93256">
            <w:pPr>
              <w:pStyle w:val="STPR2TableBody"/>
            </w:pPr>
            <w:r w:rsidRPr="00BE33A1">
              <w:t>Land Capability for Agriculture (LCA) is derived from data published by The James Hutton Institute (2010) and its primary objective is to rank land based on its potential productivity and cropping flexibility determined by the extent to which its physical characteristics impose long term restrictions on its agricultural</w:t>
            </w:r>
            <w:r w:rsidR="00331453">
              <w:t> </w:t>
            </w:r>
            <w:r w:rsidRPr="00BE33A1">
              <w:t xml:space="preserve">use. </w:t>
            </w:r>
          </w:p>
        </w:tc>
      </w:tr>
      <w:tr w:rsidR="000C6958" w:rsidRPr="00E645D5" w14:paraId="65E0A9F3" w14:textId="77777777" w:rsidTr="004B3264">
        <w:trPr>
          <w:cantSplit/>
        </w:trPr>
        <w:tc>
          <w:tcPr>
            <w:tcW w:w="1252" w:type="pct"/>
            <w:shd w:val="clear" w:color="auto" w:fill="DCEDC6"/>
          </w:tcPr>
          <w:p w14:paraId="77E7D6CC" w14:textId="17C71BD0" w:rsidR="000C6958" w:rsidRPr="00BE33A1" w:rsidRDefault="000C6958" w:rsidP="00D93256">
            <w:pPr>
              <w:pStyle w:val="STPR2TableBody"/>
            </w:pPr>
            <w:r w:rsidRPr="00BE33A1">
              <w:t>Land Capability for Forestry (LCF)</w:t>
            </w:r>
          </w:p>
        </w:tc>
        <w:tc>
          <w:tcPr>
            <w:tcW w:w="3748" w:type="pct"/>
            <w:shd w:val="clear" w:color="auto" w:fill="DCEDC6"/>
          </w:tcPr>
          <w:p w14:paraId="1428375D" w14:textId="77777777" w:rsidR="000C6958" w:rsidRPr="00BE33A1" w:rsidRDefault="000C6958" w:rsidP="00D93256">
            <w:pPr>
              <w:pStyle w:val="STPR2TableBody"/>
            </w:pPr>
            <w:r w:rsidRPr="00BE33A1">
              <w:t xml:space="preserve">Land Capability for Forestry (LCF) describes the potential for land to grow trees based on a number of factors including soil, climate and topography. The seven classes of LCF range from Class F1 (land with excellent flexibility for the growth and management of tree crops) to Class F7 (land unsuitable for producing tree crops.) </w:t>
            </w:r>
          </w:p>
        </w:tc>
      </w:tr>
      <w:tr w:rsidR="000C6958" w:rsidRPr="00E645D5" w14:paraId="66EE8A9D" w14:textId="77777777" w:rsidTr="004B3264">
        <w:trPr>
          <w:cantSplit/>
        </w:trPr>
        <w:tc>
          <w:tcPr>
            <w:tcW w:w="1252" w:type="pct"/>
            <w:shd w:val="clear" w:color="auto" w:fill="DCEDC6"/>
          </w:tcPr>
          <w:p w14:paraId="76E4ADD5" w14:textId="77777777" w:rsidR="000C6958" w:rsidRPr="00BE33A1" w:rsidRDefault="000C6958" w:rsidP="00D93256">
            <w:pPr>
              <w:pStyle w:val="STPR2TableBody"/>
            </w:pPr>
            <w:r w:rsidRPr="00BE33A1">
              <w:t>Landscape</w:t>
            </w:r>
          </w:p>
        </w:tc>
        <w:tc>
          <w:tcPr>
            <w:tcW w:w="3748" w:type="pct"/>
            <w:shd w:val="clear" w:color="auto" w:fill="DCEDC6"/>
          </w:tcPr>
          <w:p w14:paraId="3DEDCD6C" w14:textId="77777777" w:rsidR="000C6958" w:rsidRPr="00BE33A1" w:rsidRDefault="000C6958" w:rsidP="00D93256">
            <w:pPr>
              <w:pStyle w:val="STPR2TableBody"/>
            </w:pPr>
            <w:r w:rsidRPr="00BE33A1">
              <w:t>Human perception of the land, conditioned by knowledge and identity with a place.</w:t>
            </w:r>
          </w:p>
        </w:tc>
      </w:tr>
      <w:tr w:rsidR="000C6958" w:rsidRPr="00E645D5" w14:paraId="40195516" w14:textId="77777777" w:rsidTr="004B3264">
        <w:trPr>
          <w:cantSplit/>
        </w:trPr>
        <w:tc>
          <w:tcPr>
            <w:tcW w:w="1252" w:type="pct"/>
            <w:shd w:val="clear" w:color="auto" w:fill="DCEDC6"/>
          </w:tcPr>
          <w:p w14:paraId="684895D4" w14:textId="77777777" w:rsidR="000C6958" w:rsidRPr="00BE33A1" w:rsidRDefault="000C6958" w:rsidP="00D93256">
            <w:pPr>
              <w:pStyle w:val="STPR2TableBody"/>
            </w:pPr>
            <w:r w:rsidRPr="00BE33A1">
              <w:t>Land-take</w:t>
            </w:r>
          </w:p>
        </w:tc>
        <w:tc>
          <w:tcPr>
            <w:tcW w:w="3748" w:type="pct"/>
            <w:shd w:val="clear" w:color="auto" w:fill="DCEDC6"/>
          </w:tcPr>
          <w:p w14:paraId="43A8DC54" w14:textId="77777777" w:rsidR="000C6958" w:rsidRPr="00BE33A1" w:rsidRDefault="000C6958" w:rsidP="00D93256">
            <w:pPr>
              <w:pStyle w:val="STPR2TableBody"/>
            </w:pPr>
            <w:r w:rsidRPr="00BE33A1">
              <w:t>Acquired land which is necessary to construct the project and associated infrastructure and to undertake the essential environmental mitigation measures.</w:t>
            </w:r>
          </w:p>
        </w:tc>
      </w:tr>
      <w:tr w:rsidR="000C6958" w:rsidRPr="00E645D5" w14:paraId="09E9BDB6" w14:textId="77777777" w:rsidTr="004B3264">
        <w:trPr>
          <w:cantSplit/>
        </w:trPr>
        <w:tc>
          <w:tcPr>
            <w:tcW w:w="1252" w:type="pct"/>
            <w:shd w:val="clear" w:color="auto" w:fill="DCEDC6"/>
          </w:tcPr>
          <w:p w14:paraId="26E20D47" w14:textId="77777777" w:rsidR="000C6958" w:rsidRPr="00BE33A1" w:rsidRDefault="000C6958" w:rsidP="00D93256">
            <w:pPr>
              <w:pStyle w:val="STPR2TableBody"/>
            </w:pPr>
            <w:r w:rsidRPr="00BE33A1">
              <w:t>Listed Building</w:t>
            </w:r>
          </w:p>
        </w:tc>
        <w:tc>
          <w:tcPr>
            <w:tcW w:w="3748" w:type="pct"/>
            <w:shd w:val="clear" w:color="auto" w:fill="DCEDC6"/>
          </w:tcPr>
          <w:p w14:paraId="49241FEE" w14:textId="0A86D8B4" w:rsidR="000C6958" w:rsidRPr="00BE33A1" w:rsidRDefault="000C6958" w:rsidP="00D93256">
            <w:pPr>
              <w:pStyle w:val="STPR2TableBody"/>
            </w:pPr>
            <w:r w:rsidRPr="00BE33A1">
              <w:t>Building included on the list of buildings of special architectural or historic interest and afforded statutory protection under the ‘Planning (Listed Buildings and Conservation Areas) (Scotland) Act 1997’ and other planning legislation. Classified categories</w:t>
            </w:r>
            <w:r w:rsidR="00C05393" w:rsidRPr="00BE33A1">
              <w:t xml:space="preserve"> are</w:t>
            </w:r>
            <w:r w:rsidR="00331453">
              <w:t> </w:t>
            </w:r>
            <w:r w:rsidRPr="00BE33A1">
              <w:t>A-C.</w:t>
            </w:r>
          </w:p>
        </w:tc>
      </w:tr>
      <w:tr w:rsidR="000C6958" w:rsidRPr="00E645D5" w14:paraId="65C12E26" w14:textId="77777777" w:rsidTr="004B3264">
        <w:trPr>
          <w:cantSplit/>
        </w:trPr>
        <w:tc>
          <w:tcPr>
            <w:tcW w:w="1252" w:type="pct"/>
            <w:shd w:val="clear" w:color="auto" w:fill="DCEDC6"/>
          </w:tcPr>
          <w:p w14:paraId="671FB732" w14:textId="77777777" w:rsidR="000C6958" w:rsidRPr="00BE33A1" w:rsidRDefault="000C6958" w:rsidP="00D93256">
            <w:pPr>
              <w:pStyle w:val="STPR2TableBody"/>
            </w:pPr>
            <w:r w:rsidRPr="00BE33A1">
              <w:t>Local Landscape Character Area (LLCA)</w:t>
            </w:r>
          </w:p>
        </w:tc>
        <w:tc>
          <w:tcPr>
            <w:tcW w:w="3748" w:type="pct"/>
            <w:shd w:val="clear" w:color="auto" w:fill="DCEDC6"/>
          </w:tcPr>
          <w:p w14:paraId="46C3EF53" w14:textId="77777777" w:rsidR="000C6958" w:rsidRPr="00BE33A1" w:rsidRDefault="000C6958" w:rsidP="00D93256">
            <w:pPr>
              <w:pStyle w:val="STPR2TableBody"/>
            </w:pPr>
            <w:r w:rsidRPr="00BE33A1">
              <w:t xml:space="preserve">An area outlined as having distinct characteristics based on landscape features. Derived from regional landscape studies available from NatureScot. </w:t>
            </w:r>
          </w:p>
        </w:tc>
      </w:tr>
      <w:tr w:rsidR="000C6958" w:rsidRPr="00E645D5" w14:paraId="14C3206D" w14:textId="77777777" w:rsidTr="004B3264">
        <w:trPr>
          <w:cantSplit/>
        </w:trPr>
        <w:tc>
          <w:tcPr>
            <w:tcW w:w="1252" w:type="pct"/>
            <w:shd w:val="clear" w:color="auto" w:fill="DCEDC6"/>
          </w:tcPr>
          <w:p w14:paraId="4247D391" w14:textId="77777777" w:rsidR="000C6958" w:rsidRPr="00BE33A1" w:rsidRDefault="000C6958" w:rsidP="00D93256">
            <w:pPr>
              <w:pStyle w:val="STPR2TableBody"/>
            </w:pPr>
            <w:r w:rsidRPr="00BE33A1">
              <w:t>MaaS</w:t>
            </w:r>
          </w:p>
        </w:tc>
        <w:tc>
          <w:tcPr>
            <w:tcW w:w="3748" w:type="pct"/>
            <w:shd w:val="clear" w:color="auto" w:fill="DCEDC6"/>
          </w:tcPr>
          <w:p w14:paraId="588C2DBA" w14:textId="66AB7FA9" w:rsidR="000C6958" w:rsidRPr="00BE33A1" w:rsidRDefault="000C6958" w:rsidP="00D93256">
            <w:pPr>
              <w:pStyle w:val="STPR2TableBody"/>
            </w:pPr>
            <w:r w:rsidRPr="00BE33A1">
              <w:t>MaaS is a type of service that through a joint digital channel enables users to plan, book, and pay for multiple types of mobility services (</w:t>
            </w:r>
            <w:r w:rsidR="00167789">
              <w:t>for example,</w:t>
            </w:r>
            <w:r w:rsidRPr="00BE33A1">
              <w:t xml:space="preserve"> bus and train journeys). The concept describes a shift away from privately-owned transport modes and towards mobility provided as a service. This is enabled by combining transportation services from public and private transportation providers through a unified gateway that creates and manages the trip</w:t>
            </w:r>
            <w:r w:rsidR="00F63813">
              <w:t>.</w:t>
            </w:r>
            <w:r w:rsidRPr="00BE33A1">
              <w:t xml:space="preserve"> Users can pay per trip or a monthly fee for a limited distance. The key concept behind MaaS is to tailor the transport service to travel</w:t>
            </w:r>
            <w:r w:rsidR="00494EB1">
              <w:t>l</w:t>
            </w:r>
            <w:r w:rsidRPr="00BE33A1">
              <w:t>er</w:t>
            </w:r>
            <w:r w:rsidR="00331453">
              <w:t> </w:t>
            </w:r>
            <w:r w:rsidRPr="00BE33A1">
              <w:t>needs.</w:t>
            </w:r>
          </w:p>
        </w:tc>
      </w:tr>
      <w:tr w:rsidR="000C6958" w:rsidRPr="00E645D5" w14:paraId="25A83592" w14:textId="77777777" w:rsidTr="004B3264">
        <w:trPr>
          <w:cantSplit/>
        </w:trPr>
        <w:tc>
          <w:tcPr>
            <w:tcW w:w="1252" w:type="pct"/>
            <w:shd w:val="clear" w:color="auto" w:fill="DCEDC6"/>
          </w:tcPr>
          <w:p w14:paraId="1CBF9FA3" w14:textId="77777777" w:rsidR="000C6958" w:rsidRPr="00BE33A1" w:rsidRDefault="000C6958" w:rsidP="00D93256">
            <w:pPr>
              <w:pStyle w:val="STPR2TableBody"/>
            </w:pPr>
            <w:r w:rsidRPr="00BE33A1">
              <w:t>Mitigation</w:t>
            </w:r>
          </w:p>
        </w:tc>
        <w:tc>
          <w:tcPr>
            <w:tcW w:w="3748" w:type="pct"/>
            <w:shd w:val="clear" w:color="auto" w:fill="DCEDC6"/>
          </w:tcPr>
          <w:p w14:paraId="7E5BDFDE" w14:textId="4B11BCC7" w:rsidR="000C6958" w:rsidRPr="00BE33A1" w:rsidRDefault="000C6958" w:rsidP="00D93256">
            <w:pPr>
              <w:pStyle w:val="STPR2TableBody"/>
            </w:pPr>
            <w:r w:rsidRPr="00BE33A1">
              <w:t xml:space="preserve">Measure to avoid, reduce or offset potential adverse </w:t>
            </w:r>
            <w:r w:rsidR="00343851">
              <w:t>effe</w:t>
            </w:r>
            <w:r w:rsidR="00343851" w:rsidRPr="00BE33A1">
              <w:t>cts</w:t>
            </w:r>
            <w:r w:rsidRPr="00BE33A1">
              <w:t>.</w:t>
            </w:r>
          </w:p>
        </w:tc>
      </w:tr>
      <w:tr w:rsidR="000C6958" w:rsidRPr="00E645D5" w14:paraId="44D0EB46" w14:textId="77777777" w:rsidTr="004B3264">
        <w:trPr>
          <w:cantSplit/>
        </w:trPr>
        <w:tc>
          <w:tcPr>
            <w:tcW w:w="1252" w:type="pct"/>
            <w:shd w:val="clear" w:color="auto" w:fill="DCEDC6"/>
          </w:tcPr>
          <w:p w14:paraId="411BE77F" w14:textId="77777777" w:rsidR="000C6958" w:rsidRPr="00BE33A1" w:rsidRDefault="000C6958" w:rsidP="00D93256">
            <w:pPr>
              <w:pStyle w:val="STPR2TableBody"/>
            </w:pPr>
            <w:r w:rsidRPr="00BE33A1">
              <w:t>Natural Capital</w:t>
            </w:r>
          </w:p>
        </w:tc>
        <w:tc>
          <w:tcPr>
            <w:tcW w:w="3748" w:type="pct"/>
            <w:shd w:val="clear" w:color="auto" w:fill="DCEDC6"/>
          </w:tcPr>
          <w:p w14:paraId="668CDB96" w14:textId="0644B9E0" w:rsidR="000C6958" w:rsidRPr="00BE33A1" w:rsidRDefault="000C6958" w:rsidP="00D93256">
            <w:pPr>
              <w:pStyle w:val="STPR2TableBody"/>
            </w:pPr>
            <w:r w:rsidRPr="00BE33A1">
              <w:t>Natural Capital can be defined as the world's stocks of natural assets which include geology, soil, air, water and all living things. It is from this natural capital that humans derive a wide range of services, often called ecosystem services, which make human life</w:t>
            </w:r>
            <w:r w:rsidR="00331453">
              <w:t> </w:t>
            </w:r>
            <w:r w:rsidRPr="00BE33A1">
              <w:t>possible.</w:t>
            </w:r>
          </w:p>
        </w:tc>
      </w:tr>
      <w:tr w:rsidR="000C6958" w:rsidRPr="00E645D5" w14:paraId="188449C2" w14:textId="77777777" w:rsidTr="004B3264">
        <w:trPr>
          <w:cantSplit/>
        </w:trPr>
        <w:tc>
          <w:tcPr>
            <w:tcW w:w="1252" w:type="pct"/>
            <w:shd w:val="clear" w:color="auto" w:fill="DCEDC6"/>
          </w:tcPr>
          <w:p w14:paraId="1DDEB7D8" w14:textId="77777777" w:rsidR="000C6958" w:rsidRPr="00BE33A1" w:rsidRDefault="000C6958" w:rsidP="00D93256">
            <w:pPr>
              <w:pStyle w:val="STPR2TableBody"/>
            </w:pPr>
            <w:r w:rsidRPr="00BE33A1">
              <w:lastRenderedPageBreak/>
              <w:t>Net Zero</w:t>
            </w:r>
          </w:p>
        </w:tc>
        <w:tc>
          <w:tcPr>
            <w:tcW w:w="3748" w:type="pct"/>
            <w:shd w:val="clear" w:color="auto" w:fill="DCEDC6"/>
          </w:tcPr>
          <w:p w14:paraId="043FA407" w14:textId="77777777" w:rsidR="000C6958" w:rsidRPr="00BE33A1" w:rsidRDefault="000C6958" w:rsidP="00D93256">
            <w:pPr>
              <w:pStyle w:val="STPR2TableBody"/>
            </w:pPr>
            <w:r w:rsidRPr="00BE33A1">
              <w:t>Net zero refers to achieving a balance between the amount of greenhouse gas emissions produced and the amount removed from the atmosphere. There are two different routes to achieving net zero, which work in tandem: reducing existing emissions and actively removing greenhouse gases.</w:t>
            </w:r>
          </w:p>
        </w:tc>
      </w:tr>
      <w:tr w:rsidR="000C6958" w:rsidRPr="00E645D5" w14:paraId="6AAEDBEB" w14:textId="77777777" w:rsidTr="004B3264">
        <w:trPr>
          <w:cantSplit/>
        </w:trPr>
        <w:tc>
          <w:tcPr>
            <w:tcW w:w="1252" w:type="pct"/>
            <w:shd w:val="clear" w:color="auto" w:fill="DCEDC6"/>
          </w:tcPr>
          <w:p w14:paraId="260E4735" w14:textId="77777777" w:rsidR="000C6958" w:rsidRPr="00BE33A1" w:rsidRDefault="000C6958" w:rsidP="00D93256">
            <w:pPr>
              <w:pStyle w:val="STPR2TableBody"/>
            </w:pPr>
            <w:r w:rsidRPr="00BE33A1">
              <w:t>Net Zero Targets</w:t>
            </w:r>
          </w:p>
        </w:tc>
        <w:tc>
          <w:tcPr>
            <w:tcW w:w="3748" w:type="pct"/>
            <w:shd w:val="clear" w:color="auto" w:fill="DCEDC6"/>
          </w:tcPr>
          <w:p w14:paraId="0CCE8AC8" w14:textId="7D0D05B8" w:rsidR="000C6958" w:rsidRPr="00BE33A1" w:rsidRDefault="000C6958" w:rsidP="00D93256">
            <w:pPr>
              <w:pStyle w:val="STPR2TableBody"/>
            </w:pPr>
            <w:r w:rsidRPr="00BE33A1">
              <w:t>Scotland has net</w:t>
            </w:r>
            <w:r w:rsidR="00C87BAE">
              <w:t xml:space="preserve"> </w:t>
            </w:r>
            <w:r w:rsidRPr="00BE33A1">
              <w:t>zero greenhouse gas emissions target for 2045 and an interim 2030 target to reduce emissions by 75</w:t>
            </w:r>
            <w:r w:rsidR="00CE3922">
              <w:t xml:space="preserve"> </w:t>
            </w:r>
            <w:r w:rsidR="00D81E71">
              <w:t>percent</w:t>
            </w:r>
            <w:r w:rsidRPr="00BE33A1">
              <w:t xml:space="preserve"> compared to 1990 levels. This covers all greenhouse gas</w:t>
            </w:r>
            <w:r w:rsidR="00331453">
              <w:t> </w:t>
            </w:r>
            <w:r w:rsidRPr="00BE33A1">
              <w:t>emissions.</w:t>
            </w:r>
          </w:p>
        </w:tc>
      </w:tr>
      <w:tr w:rsidR="000C6958" w:rsidRPr="00E645D5" w14:paraId="59817792" w14:textId="77777777" w:rsidTr="004B3264">
        <w:trPr>
          <w:cantSplit/>
        </w:trPr>
        <w:tc>
          <w:tcPr>
            <w:tcW w:w="1252" w:type="pct"/>
            <w:shd w:val="clear" w:color="auto" w:fill="DCEDC6"/>
          </w:tcPr>
          <w:p w14:paraId="5137A83A" w14:textId="77777777" w:rsidR="000C6958" w:rsidRPr="00BE33A1" w:rsidRDefault="000C6958" w:rsidP="00D93256">
            <w:pPr>
              <w:pStyle w:val="STPR2TableBody"/>
            </w:pPr>
            <w:r w:rsidRPr="00BE33A1">
              <w:t>Non-motorised users</w:t>
            </w:r>
          </w:p>
        </w:tc>
        <w:tc>
          <w:tcPr>
            <w:tcW w:w="3748" w:type="pct"/>
            <w:shd w:val="clear" w:color="auto" w:fill="DCEDC6"/>
          </w:tcPr>
          <w:p w14:paraId="5F3D9B73" w14:textId="0445ADF1" w:rsidR="000C6958" w:rsidRPr="00BE33A1" w:rsidRDefault="000C6958" w:rsidP="00D93256">
            <w:pPr>
              <w:pStyle w:val="STPR2TableBody"/>
            </w:pPr>
            <w:r w:rsidRPr="00BE33A1">
              <w:t>Pedestrians, cyclists</w:t>
            </w:r>
            <w:r w:rsidR="00B56547">
              <w:t xml:space="preserve">, </w:t>
            </w:r>
            <w:r w:rsidR="009C0DB8">
              <w:t xml:space="preserve">wheelers, </w:t>
            </w:r>
            <w:r w:rsidR="00B56547">
              <w:t>wheelchair users</w:t>
            </w:r>
            <w:r w:rsidRPr="00BE33A1">
              <w:t xml:space="preserve"> and equestrians.</w:t>
            </w:r>
          </w:p>
        </w:tc>
      </w:tr>
      <w:tr w:rsidR="000C6958" w:rsidRPr="00E645D5" w14:paraId="44F4E5FC" w14:textId="77777777" w:rsidTr="004B3264">
        <w:trPr>
          <w:cantSplit/>
        </w:trPr>
        <w:tc>
          <w:tcPr>
            <w:tcW w:w="1252" w:type="pct"/>
            <w:shd w:val="clear" w:color="auto" w:fill="DCEDC6"/>
          </w:tcPr>
          <w:p w14:paraId="56D5125A" w14:textId="77777777" w:rsidR="000C6958" w:rsidRPr="00BE33A1" w:rsidRDefault="000C6958" w:rsidP="00D93256">
            <w:pPr>
              <w:pStyle w:val="STPR2TableBody"/>
            </w:pPr>
            <w:r w:rsidRPr="00BE33A1">
              <w:t>Non-prime land</w:t>
            </w:r>
          </w:p>
        </w:tc>
        <w:tc>
          <w:tcPr>
            <w:tcW w:w="3748" w:type="pct"/>
            <w:shd w:val="clear" w:color="auto" w:fill="DCEDC6"/>
          </w:tcPr>
          <w:p w14:paraId="472DD944" w14:textId="77777777" w:rsidR="000C6958" w:rsidRPr="00BE33A1" w:rsidRDefault="000C6958" w:rsidP="00D93256">
            <w:pPr>
              <w:pStyle w:val="STPR2TableBody"/>
            </w:pPr>
            <w:r w:rsidRPr="00BE33A1">
              <w:t>Agricultural land of Land Capability for Agriculture (LCA) classes 3.2 to 7.</w:t>
            </w:r>
          </w:p>
        </w:tc>
      </w:tr>
      <w:tr w:rsidR="000C6958" w:rsidRPr="00E645D5" w14:paraId="5BFE569C" w14:textId="77777777" w:rsidTr="004B3264">
        <w:trPr>
          <w:cantSplit/>
        </w:trPr>
        <w:tc>
          <w:tcPr>
            <w:tcW w:w="1252" w:type="pct"/>
            <w:shd w:val="clear" w:color="auto" w:fill="DCEDC6"/>
          </w:tcPr>
          <w:p w14:paraId="6B182CEA" w14:textId="77777777" w:rsidR="000C6958" w:rsidRPr="00BE33A1" w:rsidRDefault="000C6958" w:rsidP="00D93256">
            <w:pPr>
              <w:pStyle w:val="STPR2TableBody"/>
            </w:pPr>
            <w:r w:rsidRPr="00BE33A1">
              <w:t>Open space</w:t>
            </w:r>
          </w:p>
        </w:tc>
        <w:tc>
          <w:tcPr>
            <w:tcW w:w="3748" w:type="pct"/>
            <w:shd w:val="clear" w:color="auto" w:fill="DCEDC6"/>
          </w:tcPr>
          <w:p w14:paraId="197FEEF1" w14:textId="38626AEE" w:rsidR="000C6958" w:rsidRPr="00BE33A1" w:rsidRDefault="000C6958" w:rsidP="00D93256">
            <w:pPr>
              <w:pStyle w:val="STPR2TableBody"/>
            </w:pPr>
            <w:r w:rsidRPr="00BE33A1">
              <w:t>Any land laid out as public parks or used for the purpose of public recreation, or land which is a disused burial ground.</w:t>
            </w:r>
            <w:r w:rsidR="00DF6ACA">
              <w:t xml:space="preserve"> </w:t>
            </w:r>
          </w:p>
        </w:tc>
      </w:tr>
      <w:tr w:rsidR="000C6958" w:rsidRPr="00E645D5" w14:paraId="566840E9" w14:textId="77777777" w:rsidTr="004B3264">
        <w:trPr>
          <w:cantSplit/>
        </w:trPr>
        <w:tc>
          <w:tcPr>
            <w:tcW w:w="1252" w:type="pct"/>
            <w:shd w:val="clear" w:color="auto" w:fill="DCEDC6"/>
          </w:tcPr>
          <w:p w14:paraId="474D8E51" w14:textId="77777777" w:rsidR="000C6958" w:rsidRPr="00BE33A1" w:rsidRDefault="000C6958" w:rsidP="00D93256">
            <w:pPr>
              <w:pStyle w:val="STPR2TableBody"/>
            </w:pPr>
            <w:r w:rsidRPr="00BE33A1">
              <w:t>Option Grouping</w:t>
            </w:r>
          </w:p>
        </w:tc>
        <w:tc>
          <w:tcPr>
            <w:tcW w:w="3748" w:type="pct"/>
            <w:shd w:val="clear" w:color="auto" w:fill="DCEDC6"/>
          </w:tcPr>
          <w:p w14:paraId="055985A2" w14:textId="1A3FFB2A" w:rsidR="000C6958" w:rsidRPr="00BE33A1" w:rsidRDefault="000C6958" w:rsidP="00D93256">
            <w:pPr>
              <w:pStyle w:val="STPR2TableBody"/>
            </w:pPr>
            <w:r w:rsidRPr="00BE33A1">
              <w:t>The ‘</w:t>
            </w:r>
            <w:r w:rsidR="00951904">
              <w:t>O</w:t>
            </w:r>
            <w:r w:rsidRPr="00BE33A1">
              <w:t xml:space="preserve">ption </w:t>
            </w:r>
            <w:r w:rsidR="00951904">
              <w:t>G</w:t>
            </w:r>
            <w:r w:rsidRPr="00BE33A1">
              <w:t xml:space="preserve">roupings’ terminology has been adopted to refer to an intermediate stage in the option development process to support a proportionate appraisal of options through the Preliminary Appraisal stage. The </w:t>
            </w:r>
            <w:r w:rsidR="00951904">
              <w:t>O</w:t>
            </w:r>
            <w:r w:rsidRPr="00BE33A1">
              <w:t xml:space="preserve">ption </w:t>
            </w:r>
            <w:r w:rsidR="00951904">
              <w:t>G</w:t>
            </w:r>
            <w:r w:rsidRPr="00BE33A1">
              <w:t>roupings have been identified based on consolidating a broad number of similar options and are designed to drive consistency in the appraisal of the significant number of options that remain following the Option Sifting stage (the Sifted Options List).</w:t>
            </w:r>
          </w:p>
        </w:tc>
      </w:tr>
      <w:tr w:rsidR="000C6958" w:rsidRPr="00E645D5" w14:paraId="3CDCC835" w14:textId="77777777" w:rsidTr="004B3264">
        <w:trPr>
          <w:cantSplit/>
        </w:trPr>
        <w:tc>
          <w:tcPr>
            <w:tcW w:w="1252" w:type="pct"/>
            <w:shd w:val="clear" w:color="auto" w:fill="DCEDC6"/>
          </w:tcPr>
          <w:p w14:paraId="788F1929" w14:textId="77777777" w:rsidR="000C6958" w:rsidRPr="00BE33A1" w:rsidRDefault="000C6958" w:rsidP="00D93256">
            <w:pPr>
              <w:pStyle w:val="STPR2TableBody"/>
            </w:pPr>
            <w:r w:rsidRPr="00BE33A1">
              <w:t>Option Sifting</w:t>
            </w:r>
          </w:p>
        </w:tc>
        <w:tc>
          <w:tcPr>
            <w:tcW w:w="3748" w:type="pct"/>
            <w:shd w:val="clear" w:color="auto" w:fill="DCEDC6"/>
          </w:tcPr>
          <w:p w14:paraId="24C53707" w14:textId="23934749" w:rsidR="000C6958" w:rsidRPr="00BE33A1" w:rsidRDefault="000C6958" w:rsidP="00D93256">
            <w:pPr>
              <w:pStyle w:val="STPR2TableBody"/>
            </w:pPr>
            <w:r w:rsidRPr="00BE33A1">
              <w:t xml:space="preserve">Option Sifting is a process that should be undertaken when an unmanageably large number of options have been generated or where there is general consensus that a particular option or options generated will clearly not achieve the intended objectives or meet the identified transport problems and/or opportunities. The approach or basis for sifting options </w:t>
            </w:r>
            <w:r w:rsidR="004E1571">
              <w:t>was</w:t>
            </w:r>
            <w:r w:rsidRPr="00BE33A1">
              <w:t xml:space="preserve"> agreed with decision-makers.</w:t>
            </w:r>
          </w:p>
        </w:tc>
      </w:tr>
      <w:tr w:rsidR="000C6958" w:rsidRPr="00E645D5" w14:paraId="1E2EEE76" w14:textId="77777777" w:rsidTr="004B3264">
        <w:trPr>
          <w:cantSplit/>
        </w:trPr>
        <w:tc>
          <w:tcPr>
            <w:tcW w:w="1252" w:type="pct"/>
            <w:shd w:val="clear" w:color="auto" w:fill="DCEDC6"/>
          </w:tcPr>
          <w:p w14:paraId="7CF969B9" w14:textId="0A40EFBA" w:rsidR="000C6958" w:rsidRPr="00BE33A1" w:rsidRDefault="000C6958" w:rsidP="00D93256">
            <w:pPr>
              <w:pStyle w:val="STPR2TableBody"/>
            </w:pPr>
            <w:r w:rsidRPr="00BE33A1">
              <w:t>Packag</w:t>
            </w:r>
            <w:r w:rsidR="007679C6">
              <w:t>es/ Packag</w:t>
            </w:r>
            <w:r w:rsidRPr="00BE33A1">
              <w:t>ing</w:t>
            </w:r>
          </w:p>
        </w:tc>
        <w:tc>
          <w:tcPr>
            <w:tcW w:w="3748" w:type="pct"/>
            <w:shd w:val="clear" w:color="auto" w:fill="DCEDC6"/>
          </w:tcPr>
          <w:p w14:paraId="0759E18F" w14:textId="0D8A779F" w:rsidR="000C6958" w:rsidRPr="00BE33A1" w:rsidRDefault="000C6958" w:rsidP="00D93256">
            <w:pPr>
              <w:pStyle w:val="STPR2TableBody"/>
            </w:pPr>
            <w:r w:rsidRPr="00BE33A1">
              <w:t xml:space="preserve">In STAG, packaging of transport </w:t>
            </w:r>
            <w:r w:rsidR="008E136D">
              <w:t>G</w:t>
            </w:r>
            <w:r w:rsidR="00F072FF">
              <w:t>rouping</w:t>
            </w:r>
            <w:r w:rsidRPr="00BE33A1">
              <w:t xml:space="preserve">s should be used to support achievement of the desired transport outcomes. By effectively packaging </w:t>
            </w:r>
            <w:r w:rsidR="008E136D">
              <w:t>G</w:t>
            </w:r>
            <w:r w:rsidRPr="00BE33A1">
              <w:t xml:space="preserve">roupings this can reinforce, extend or complement the </w:t>
            </w:r>
            <w:r w:rsidR="008E136D">
              <w:t>G</w:t>
            </w:r>
            <w:r w:rsidRPr="00BE33A1">
              <w:t xml:space="preserve">rouping’s impact, mitigate potential adverse </w:t>
            </w:r>
            <w:r w:rsidR="009A233F">
              <w:t>effe</w:t>
            </w:r>
            <w:r w:rsidRPr="00BE33A1">
              <w:t xml:space="preserve">cts or increase the public acceptability of a </w:t>
            </w:r>
            <w:r w:rsidR="008E136D">
              <w:t>G</w:t>
            </w:r>
            <w:r w:rsidRPr="00BE33A1">
              <w:t xml:space="preserve">rouping. This </w:t>
            </w:r>
            <w:r w:rsidR="00E23A38" w:rsidRPr="00BE33A1">
              <w:t>has been</w:t>
            </w:r>
            <w:r w:rsidRPr="00BE33A1">
              <w:t xml:space="preserve"> considered in the </w:t>
            </w:r>
            <w:r w:rsidR="008E136D">
              <w:t>D</w:t>
            </w:r>
            <w:r w:rsidRPr="00BE33A1">
              <w:t xml:space="preserve">etailed </w:t>
            </w:r>
            <w:r w:rsidR="008E136D">
              <w:t>A</w:t>
            </w:r>
            <w:r w:rsidRPr="00BE33A1">
              <w:t>ppraisal.</w:t>
            </w:r>
          </w:p>
        </w:tc>
      </w:tr>
      <w:tr w:rsidR="000C6958" w:rsidRPr="00E645D5" w14:paraId="3C7EC71F" w14:textId="77777777" w:rsidTr="004B3264">
        <w:trPr>
          <w:cantSplit/>
        </w:trPr>
        <w:tc>
          <w:tcPr>
            <w:tcW w:w="1252" w:type="pct"/>
            <w:shd w:val="clear" w:color="auto" w:fill="DCEDC6"/>
          </w:tcPr>
          <w:p w14:paraId="097EF199" w14:textId="77777777" w:rsidR="000C6958" w:rsidRPr="00BE33A1" w:rsidRDefault="000C6958" w:rsidP="00D93256">
            <w:pPr>
              <w:pStyle w:val="STPR2TableBody"/>
            </w:pPr>
            <w:r w:rsidRPr="00BE33A1">
              <w:lastRenderedPageBreak/>
              <w:t>Place</w:t>
            </w:r>
          </w:p>
        </w:tc>
        <w:tc>
          <w:tcPr>
            <w:tcW w:w="3748" w:type="pct"/>
            <w:shd w:val="clear" w:color="auto" w:fill="DCEDC6"/>
          </w:tcPr>
          <w:p w14:paraId="66072E0E" w14:textId="77777777" w:rsidR="000C6958" w:rsidRPr="00BE33A1" w:rsidRDefault="000C6958" w:rsidP="00D93256">
            <w:pPr>
              <w:pStyle w:val="STPR2TableBody"/>
            </w:pPr>
            <w:r w:rsidRPr="00BE33A1">
              <w:t>The Place Principle recognises that: Place is where people, location and resources combine to create a sense of identity and purpose and is at the heart of addressing the needs and realising the full potential of communities. Places are shaped by the way resources, services and assets are directed and used by the people who live in and invest in them. A more joined-up, collaborative, and participative approach to services, land and buildings, across all sectors within a place, enables better outcomes for everyone and increased opportunities for people and communities to shape their own lives.</w:t>
            </w:r>
          </w:p>
        </w:tc>
      </w:tr>
      <w:tr w:rsidR="000C6958" w:rsidRPr="00E645D5" w14:paraId="0118F1F3" w14:textId="77777777" w:rsidTr="004B3264">
        <w:trPr>
          <w:cantSplit/>
        </w:trPr>
        <w:tc>
          <w:tcPr>
            <w:tcW w:w="1252" w:type="pct"/>
            <w:shd w:val="clear" w:color="auto" w:fill="DCEDC6"/>
          </w:tcPr>
          <w:p w14:paraId="66A9C9A6" w14:textId="77777777" w:rsidR="000C6958" w:rsidRPr="00BE33A1" w:rsidRDefault="000C6958" w:rsidP="00D93256">
            <w:pPr>
              <w:pStyle w:val="STPR2TableBody"/>
            </w:pPr>
            <w:r w:rsidRPr="00BE33A1">
              <w:t>Positive effects for biodiversity</w:t>
            </w:r>
          </w:p>
        </w:tc>
        <w:tc>
          <w:tcPr>
            <w:tcW w:w="3748" w:type="pct"/>
            <w:shd w:val="clear" w:color="auto" w:fill="DCEDC6"/>
          </w:tcPr>
          <w:p w14:paraId="1AA9D9E5" w14:textId="77777777" w:rsidR="000C6958" w:rsidRPr="00BE33A1" w:rsidRDefault="000C6958" w:rsidP="00D93256">
            <w:pPr>
              <w:pStyle w:val="STPR2TableBody"/>
            </w:pPr>
            <w:r w:rsidRPr="00BE33A1">
              <w:t>Net positive effects on biodiversity that would be likely to result from a development. This terminology is taken from the Planning (Scotland) Act 2019.</w:t>
            </w:r>
          </w:p>
        </w:tc>
      </w:tr>
      <w:tr w:rsidR="000C6958" w:rsidRPr="00E645D5" w14:paraId="5E3DA123" w14:textId="77777777" w:rsidTr="004B3264">
        <w:trPr>
          <w:cantSplit/>
        </w:trPr>
        <w:tc>
          <w:tcPr>
            <w:tcW w:w="1252" w:type="pct"/>
            <w:shd w:val="clear" w:color="auto" w:fill="DCEDC6"/>
          </w:tcPr>
          <w:p w14:paraId="35069CE4" w14:textId="77777777" w:rsidR="000C6958" w:rsidRPr="00BE33A1" w:rsidRDefault="000C6958" w:rsidP="00D93256">
            <w:pPr>
              <w:pStyle w:val="STPR2TableBody"/>
            </w:pPr>
            <w:r w:rsidRPr="00BE33A1">
              <w:t>Potential Effect</w:t>
            </w:r>
          </w:p>
        </w:tc>
        <w:tc>
          <w:tcPr>
            <w:tcW w:w="3748" w:type="pct"/>
            <w:shd w:val="clear" w:color="auto" w:fill="DCEDC6"/>
          </w:tcPr>
          <w:p w14:paraId="59BDB7B6" w14:textId="77777777" w:rsidR="000C6958" w:rsidRPr="00BE33A1" w:rsidRDefault="000C6958" w:rsidP="00D93256">
            <w:pPr>
              <w:pStyle w:val="STPR2TableBody"/>
            </w:pPr>
            <w:r w:rsidRPr="00BE33A1">
              <w:t>The effect on an aspect of the environment that may occur in the absence of mitigation.</w:t>
            </w:r>
          </w:p>
        </w:tc>
      </w:tr>
      <w:tr w:rsidR="000C6958" w:rsidRPr="00E645D5" w14:paraId="1B544E3F" w14:textId="77777777" w:rsidTr="004B3264">
        <w:trPr>
          <w:cantSplit/>
        </w:trPr>
        <w:tc>
          <w:tcPr>
            <w:tcW w:w="1252" w:type="pct"/>
            <w:shd w:val="clear" w:color="auto" w:fill="DCEDC6"/>
          </w:tcPr>
          <w:p w14:paraId="7D5B9FF7" w14:textId="77777777" w:rsidR="000C6958" w:rsidRPr="00BE33A1" w:rsidRDefault="000C6958" w:rsidP="00D93256">
            <w:pPr>
              <w:pStyle w:val="STPR2TableBody"/>
            </w:pPr>
            <w:r w:rsidRPr="00BE33A1">
              <w:t>Preliminary Appraisal</w:t>
            </w:r>
          </w:p>
        </w:tc>
        <w:tc>
          <w:tcPr>
            <w:tcW w:w="3748" w:type="pct"/>
            <w:shd w:val="clear" w:color="auto" w:fill="DCEDC6"/>
          </w:tcPr>
          <w:p w14:paraId="3F14C848" w14:textId="4704AA7D" w:rsidR="000C6958" w:rsidRPr="00BE33A1" w:rsidRDefault="000C6958" w:rsidP="00D93256">
            <w:pPr>
              <w:pStyle w:val="STPR2TableBody"/>
            </w:pPr>
            <w:r w:rsidRPr="00BE33A1">
              <w:t xml:space="preserve">The second stage of the STAG process which involves qualitative assessment. The end output of this is a Short List of options. In this stage, </w:t>
            </w:r>
            <w:r w:rsidR="00276EBC">
              <w:t xml:space="preserve">the </w:t>
            </w:r>
            <w:r w:rsidRPr="00BE33A1">
              <w:t xml:space="preserve">STPR2 option </w:t>
            </w:r>
            <w:r w:rsidR="005C256B">
              <w:t>G</w:t>
            </w:r>
            <w:r w:rsidRPr="00BE33A1">
              <w:t xml:space="preserve">roupings are subject to further consideration against the STPR2 TPOs, the five STAG criteria of Environment, Safety, Economy, Integration, Social Inclusion &amp; Accessibility, relevant impact and duty assessments and deliverability. Consideration is also given to the synergies between different option </w:t>
            </w:r>
            <w:r w:rsidR="00B00F72">
              <w:t>G</w:t>
            </w:r>
            <w:r w:rsidRPr="00BE33A1">
              <w:t>roupings.</w:t>
            </w:r>
            <w:r w:rsidR="00DF6ACA">
              <w:t xml:space="preserve"> </w:t>
            </w:r>
          </w:p>
        </w:tc>
      </w:tr>
      <w:tr w:rsidR="000C6958" w:rsidRPr="00E645D5" w14:paraId="345055AA" w14:textId="77777777" w:rsidTr="004B3264">
        <w:trPr>
          <w:cantSplit/>
        </w:trPr>
        <w:tc>
          <w:tcPr>
            <w:tcW w:w="1252" w:type="pct"/>
            <w:shd w:val="clear" w:color="auto" w:fill="DCEDC6"/>
          </w:tcPr>
          <w:p w14:paraId="0C4A836F" w14:textId="77777777" w:rsidR="000C6958" w:rsidRPr="00BE33A1" w:rsidRDefault="000C6958" w:rsidP="00D93256">
            <w:pPr>
              <w:pStyle w:val="STPR2TableBody"/>
            </w:pPr>
            <w:r w:rsidRPr="00BE33A1">
              <w:t>Prime agricultural land</w:t>
            </w:r>
          </w:p>
        </w:tc>
        <w:tc>
          <w:tcPr>
            <w:tcW w:w="3748" w:type="pct"/>
            <w:shd w:val="clear" w:color="auto" w:fill="DCEDC6"/>
          </w:tcPr>
          <w:p w14:paraId="21A0E3D0" w14:textId="61E69CFB" w:rsidR="000C6958" w:rsidRPr="00BE33A1" w:rsidRDefault="000C6958" w:rsidP="00D93256">
            <w:pPr>
              <w:pStyle w:val="STPR2TableBody"/>
            </w:pPr>
            <w:r w:rsidRPr="00BE33A1">
              <w:t>Agricultural land of Land Capability for Agriculture (LCA) classes 1, 2 and 3.1.</w:t>
            </w:r>
            <w:r w:rsidR="00DF6ACA">
              <w:t xml:space="preserve"> </w:t>
            </w:r>
          </w:p>
        </w:tc>
      </w:tr>
      <w:tr w:rsidR="000C6958" w:rsidRPr="00E645D5" w14:paraId="7C186374" w14:textId="77777777" w:rsidTr="004B3264">
        <w:trPr>
          <w:cantSplit/>
        </w:trPr>
        <w:tc>
          <w:tcPr>
            <w:tcW w:w="1252" w:type="pct"/>
            <w:shd w:val="clear" w:color="auto" w:fill="DCEDC6"/>
          </w:tcPr>
          <w:p w14:paraId="0858ABB5" w14:textId="77777777" w:rsidR="000C6958" w:rsidRPr="00BE33A1" w:rsidRDefault="000C6958" w:rsidP="00D93256">
            <w:pPr>
              <w:pStyle w:val="STPR2TableBody"/>
            </w:pPr>
            <w:r w:rsidRPr="00BE33A1">
              <w:t>Public Transport Interchange</w:t>
            </w:r>
          </w:p>
        </w:tc>
        <w:tc>
          <w:tcPr>
            <w:tcW w:w="3748" w:type="pct"/>
            <w:shd w:val="clear" w:color="auto" w:fill="DCEDC6"/>
          </w:tcPr>
          <w:p w14:paraId="4CBFFB4C" w14:textId="77777777" w:rsidR="000C6958" w:rsidRPr="00BE33A1" w:rsidRDefault="000C6958" w:rsidP="00D93256">
            <w:pPr>
              <w:pStyle w:val="STPR2TableBody"/>
            </w:pPr>
            <w:r w:rsidRPr="00BE33A1">
              <w:t>Places which allow for the interchange between one or more different (public/sustainable) mode of transport.</w:t>
            </w:r>
          </w:p>
        </w:tc>
      </w:tr>
      <w:tr w:rsidR="00666219" w:rsidRPr="00E645D5" w14:paraId="7105654D" w14:textId="77777777" w:rsidTr="004B3264">
        <w:trPr>
          <w:cantSplit/>
        </w:trPr>
        <w:tc>
          <w:tcPr>
            <w:tcW w:w="1252" w:type="pct"/>
            <w:shd w:val="clear" w:color="auto" w:fill="DCEDC6"/>
          </w:tcPr>
          <w:p w14:paraId="32E49ADE" w14:textId="12D34ABC" w:rsidR="00666219" w:rsidRPr="00BE33A1" w:rsidRDefault="00666219" w:rsidP="00D93256">
            <w:pPr>
              <w:pStyle w:val="STPR2TableBody"/>
            </w:pPr>
            <w:r>
              <w:t>Ramsar</w:t>
            </w:r>
            <w:r w:rsidR="00710C97">
              <w:t xml:space="preserve"> site</w:t>
            </w:r>
          </w:p>
        </w:tc>
        <w:tc>
          <w:tcPr>
            <w:tcW w:w="3748" w:type="pct"/>
            <w:shd w:val="clear" w:color="auto" w:fill="DCEDC6"/>
          </w:tcPr>
          <w:p w14:paraId="0715F930" w14:textId="4A4C4A96" w:rsidR="00666219" w:rsidRPr="00BE33A1" w:rsidRDefault="00710C97" w:rsidP="00D93256">
            <w:pPr>
              <w:pStyle w:val="STPR2TableBody"/>
            </w:pPr>
            <w:r w:rsidRPr="00710C97">
              <w:t xml:space="preserve">Ramsar sites are wetlands of international importance, listed under the Convention on Wetlands of International Importance (Ramsar Convention 1971). It is </w:t>
            </w:r>
            <w:r>
              <w:t xml:space="preserve">Scottish </w:t>
            </w:r>
            <w:r w:rsidRPr="00710C97">
              <w:t>Government policy to afford them the same protection as European Sites.</w:t>
            </w:r>
          </w:p>
        </w:tc>
      </w:tr>
      <w:tr w:rsidR="000C6958" w:rsidRPr="00E645D5" w14:paraId="126A5942" w14:textId="77777777" w:rsidTr="004B3264">
        <w:trPr>
          <w:cantSplit/>
        </w:trPr>
        <w:tc>
          <w:tcPr>
            <w:tcW w:w="1252" w:type="pct"/>
            <w:shd w:val="clear" w:color="auto" w:fill="DCEDC6"/>
          </w:tcPr>
          <w:p w14:paraId="4EAC58F8" w14:textId="77777777" w:rsidR="000C6958" w:rsidRPr="00BE33A1" w:rsidRDefault="000C6958" w:rsidP="00D93256">
            <w:pPr>
              <w:pStyle w:val="STPR2TableBody"/>
            </w:pPr>
            <w:r w:rsidRPr="00BE33A1">
              <w:t>Receptor</w:t>
            </w:r>
          </w:p>
        </w:tc>
        <w:tc>
          <w:tcPr>
            <w:tcW w:w="3748" w:type="pct"/>
            <w:shd w:val="clear" w:color="auto" w:fill="DCEDC6"/>
          </w:tcPr>
          <w:p w14:paraId="44DDF770" w14:textId="692E5372" w:rsidR="000C6958" w:rsidRPr="00BE33A1" w:rsidRDefault="000C6958" w:rsidP="00D93256">
            <w:pPr>
              <w:pStyle w:val="STPR2TableBody"/>
            </w:pPr>
            <w:r w:rsidRPr="00BE33A1">
              <w:t>In this context, an element that is susceptible to being affected (either directly or indirectly) by the project. Examples include habitats, species, people, properties,</w:t>
            </w:r>
            <w:r w:rsidR="001B3C90">
              <w:t xml:space="preserve"> water bodies,</w:t>
            </w:r>
            <w:r w:rsidRPr="00BE33A1">
              <w:t xml:space="preserve"> landscape</w:t>
            </w:r>
            <w:r w:rsidR="001B3C90">
              <w:t xml:space="preserve"> and</w:t>
            </w:r>
            <w:r w:rsidRPr="00BE33A1">
              <w:t xml:space="preserve"> archaeological remains. </w:t>
            </w:r>
          </w:p>
        </w:tc>
      </w:tr>
      <w:tr w:rsidR="000C6958" w:rsidRPr="00E645D5" w14:paraId="27BDD15E" w14:textId="77777777" w:rsidTr="004B3264">
        <w:trPr>
          <w:cantSplit/>
        </w:trPr>
        <w:tc>
          <w:tcPr>
            <w:tcW w:w="1252" w:type="pct"/>
            <w:shd w:val="clear" w:color="auto" w:fill="DCEDC6"/>
          </w:tcPr>
          <w:p w14:paraId="175C06E2" w14:textId="77777777" w:rsidR="000C6958" w:rsidRPr="00BE33A1" w:rsidRDefault="000C6958" w:rsidP="00D93256">
            <w:pPr>
              <w:pStyle w:val="STPR2TableBody"/>
            </w:pPr>
            <w:r w:rsidRPr="00BE33A1">
              <w:t>Scoping Report</w:t>
            </w:r>
          </w:p>
        </w:tc>
        <w:tc>
          <w:tcPr>
            <w:tcW w:w="3748" w:type="pct"/>
            <w:shd w:val="clear" w:color="auto" w:fill="DCEDC6"/>
          </w:tcPr>
          <w:p w14:paraId="4080C978" w14:textId="77777777" w:rsidR="000C6958" w:rsidRPr="00BE33A1" w:rsidRDefault="000C6958" w:rsidP="00D93256">
            <w:pPr>
              <w:pStyle w:val="STPR2TableBody"/>
            </w:pPr>
            <w:r w:rsidRPr="00BE33A1">
              <w:t>Scoping Reports provide sufficient information about the potential environmental effects to allow the Consultation Authorities to provide an informed view regarding the environmental topics to be included in the SEA. Scoping Reports also provide a proposed methodology to be used for assessing potential environmental effects.</w:t>
            </w:r>
          </w:p>
        </w:tc>
      </w:tr>
      <w:tr w:rsidR="000C6958" w:rsidRPr="00E645D5" w14:paraId="11B3BA66" w14:textId="77777777" w:rsidTr="004B3264">
        <w:trPr>
          <w:cantSplit/>
        </w:trPr>
        <w:tc>
          <w:tcPr>
            <w:tcW w:w="1252" w:type="pct"/>
            <w:shd w:val="clear" w:color="auto" w:fill="DCEDC6"/>
          </w:tcPr>
          <w:p w14:paraId="409080AC" w14:textId="77777777" w:rsidR="000C6958" w:rsidRPr="00BE33A1" w:rsidRDefault="000C6958" w:rsidP="00D93256">
            <w:pPr>
              <w:pStyle w:val="STPR2TableBody"/>
            </w:pPr>
            <w:r w:rsidRPr="00BE33A1">
              <w:lastRenderedPageBreak/>
              <w:t>Scottish Transport Appraisal Guidance (STAG)</w:t>
            </w:r>
          </w:p>
        </w:tc>
        <w:tc>
          <w:tcPr>
            <w:tcW w:w="3748" w:type="pct"/>
            <w:shd w:val="clear" w:color="auto" w:fill="DCEDC6"/>
          </w:tcPr>
          <w:p w14:paraId="02A51217" w14:textId="77777777" w:rsidR="000C6958" w:rsidRPr="00BE33A1" w:rsidRDefault="000C6958" w:rsidP="00D93256">
            <w:pPr>
              <w:pStyle w:val="STPR2TableBody"/>
            </w:pPr>
            <w:r w:rsidRPr="00BE33A1">
              <w:t xml:space="preserve">Transport Scotland’s formal option appraisal toolkit and methodology to guide the development and assessment of transport options in Scotland. STAG provides an evidence-based and objective-led framework for: identifying transport problems and/or opportunities in a study area; setting objectives to address the transport problems/opportunities and identifying and appraising options in a consistent manner with the potential to meet the objectives. STAG is integral to the investment decision making process at the Strategic Business Case stage. The four stages of STAG are: Initial Appraisal Case for Change (formerly Pre-Appraisal), Preliminary Options Appraisal (formerly Part 1), Detailed Options Appraisal (formerly Part 2) and Post-Appraisal (Monitoring and Evaluation). </w:t>
            </w:r>
          </w:p>
        </w:tc>
      </w:tr>
      <w:tr w:rsidR="000C6958" w:rsidRPr="00E645D5" w14:paraId="4D17B7A6" w14:textId="77777777" w:rsidTr="004B3264">
        <w:trPr>
          <w:cantSplit/>
        </w:trPr>
        <w:tc>
          <w:tcPr>
            <w:tcW w:w="1252" w:type="pct"/>
            <w:shd w:val="clear" w:color="auto" w:fill="DCEDC6"/>
          </w:tcPr>
          <w:p w14:paraId="37029DD2" w14:textId="77777777" w:rsidR="000C6958" w:rsidRPr="00BE33A1" w:rsidRDefault="000C6958" w:rsidP="00D93256">
            <w:pPr>
              <w:pStyle w:val="STPR2TableBody"/>
            </w:pPr>
            <w:r w:rsidRPr="00BE33A1">
              <w:t>Secondary effects</w:t>
            </w:r>
          </w:p>
        </w:tc>
        <w:tc>
          <w:tcPr>
            <w:tcW w:w="3748" w:type="pct"/>
            <w:shd w:val="clear" w:color="auto" w:fill="DCEDC6"/>
          </w:tcPr>
          <w:p w14:paraId="7A6D45B2" w14:textId="77777777" w:rsidR="000C6958" w:rsidRPr="00BE33A1" w:rsidRDefault="000C6958" w:rsidP="00D93256">
            <w:pPr>
              <w:pStyle w:val="STPR2TableBody"/>
            </w:pPr>
            <w:r w:rsidRPr="00BE33A1">
              <w:t>Secondary or indirect effects are effects that are not a direct result of the plan but occur away from the original effect or as a result of a complex pathway.</w:t>
            </w:r>
          </w:p>
        </w:tc>
      </w:tr>
      <w:tr w:rsidR="000C6958" w:rsidRPr="00E645D5" w14:paraId="3835601B" w14:textId="77777777" w:rsidTr="004B3264">
        <w:trPr>
          <w:cantSplit/>
        </w:trPr>
        <w:tc>
          <w:tcPr>
            <w:tcW w:w="1252" w:type="pct"/>
            <w:shd w:val="clear" w:color="auto" w:fill="DCEDC6"/>
          </w:tcPr>
          <w:p w14:paraId="21ED2A0E" w14:textId="77777777" w:rsidR="000C6958" w:rsidRPr="00BE33A1" w:rsidRDefault="000C6958" w:rsidP="00D93256">
            <w:pPr>
              <w:pStyle w:val="STPR2TableBody"/>
            </w:pPr>
            <w:r w:rsidRPr="00BE33A1">
              <w:t>Severance</w:t>
            </w:r>
          </w:p>
        </w:tc>
        <w:tc>
          <w:tcPr>
            <w:tcW w:w="3748" w:type="pct"/>
            <w:shd w:val="clear" w:color="auto" w:fill="DCEDC6"/>
          </w:tcPr>
          <w:p w14:paraId="22733141" w14:textId="026833E2" w:rsidR="000C6958" w:rsidRPr="00BE33A1" w:rsidRDefault="000C6958" w:rsidP="00D93256">
            <w:pPr>
              <w:pStyle w:val="STPR2TableBody"/>
            </w:pPr>
            <w:r w:rsidRPr="00BE33A1">
              <w:t>The separation of communities from facilities and services used within their community.</w:t>
            </w:r>
            <w:r w:rsidR="00DF6ACA">
              <w:t xml:space="preserve"> </w:t>
            </w:r>
            <w:r w:rsidRPr="00BE33A1">
              <w:t>Alternatively, in relation to agricultural land, the division of land into separate areas, potentially affecting access or availability for agricultural use.</w:t>
            </w:r>
          </w:p>
        </w:tc>
      </w:tr>
      <w:tr w:rsidR="000C6958" w:rsidRPr="00E645D5" w14:paraId="2204A62F" w14:textId="77777777" w:rsidTr="004B3264">
        <w:trPr>
          <w:cantSplit/>
        </w:trPr>
        <w:tc>
          <w:tcPr>
            <w:tcW w:w="1252" w:type="pct"/>
            <w:shd w:val="clear" w:color="auto" w:fill="DCEDC6"/>
          </w:tcPr>
          <w:p w14:paraId="72B4CF50" w14:textId="77777777" w:rsidR="000C6958" w:rsidRPr="00BE33A1" w:rsidRDefault="000C6958" w:rsidP="00D93256">
            <w:pPr>
              <w:pStyle w:val="STPR2TableBody"/>
            </w:pPr>
            <w:r w:rsidRPr="00BE33A1">
              <w:t>Sites of Special Scientific Interest (SSSI)</w:t>
            </w:r>
          </w:p>
        </w:tc>
        <w:tc>
          <w:tcPr>
            <w:tcW w:w="3748" w:type="pct"/>
            <w:shd w:val="clear" w:color="auto" w:fill="DCEDC6"/>
          </w:tcPr>
          <w:p w14:paraId="1D82124C" w14:textId="4310772E" w:rsidR="000C6958" w:rsidRPr="00BE33A1" w:rsidRDefault="000C6958" w:rsidP="00D93256">
            <w:pPr>
              <w:pStyle w:val="STPR2TableBody"/>
            </w:pPr>
            <w:r w:rsidRPr="00BE33A1">
              <w:t>Designated areas of national importance. The aim of the SSSI network is to maintain an adequate representation of all natural and semi-natural habitats and native species in the UK.</w:t>
            </w:r>
            <w:r w:rsidR="00DF6ACA">
              <w:t xml:space="preserve"> </w:t>
            </w:r>
            <w:r w:rsidRPr="00BE33A1">
              <w:t>The site network is protected under the provisions of Sections 28 and 19 of the Wildlife and Countryside Act 1981 as well as the Amendment Act 1985 and the Environmental Protection Act</w:t>
            </w:r>
            <w:r w:rsidR="00331453">
              <w:t> </w:t>
            </w:r>
            <w:r w:rsidRPr="00BE33A1">
              <w:t>1990.</w:t>
            </w:r>
          </w:p>
        </w:tc>
      </w:tr>
      <w:tr w:rsidR="000C6958" w:rsidRPr="00E645D5" w14:paraId="4B84DED1" w14:textId="77777777" w:rsidTr="004B3264">
        <w:trPr>
          <w:cantSplit/>
        </w:trPr>
        <w:tc>
          <w:tcPr>
            <w:tcW w:w="1252" w:type="pct"/>
            <w:shd w:val="clear" w:color="auto" w:fill="DCEDC6"/>
          </w:tcPr>
          <w:p w14:paraId="276811DF" w14:textId="77777777" w:rsidR="000C6958" w:rsidRPr="00BE33A1" w:rsidRDefault="000C6958" w:rsidP="00D93256">
            <w:pPr>
              <w:pStyle w:val="STPR2TableBody"/>
            </w:pPr>
            <w:r w:rsidRPr="00BE33A1">
              <w:t>Special Area of Conservation (SAC)</w:t>
            </w:r>
          </w:p>
        </w:tc>
        <w:tc>
          <w:tcPr>
            <w:tcW w:w="3748" w:type="pct"/>
            <w:shd w:val="clear" w:color="auto" w:fill="DCEDC6"/>
          </w:tcPr>
          <w:p w14:paraId="5E8265B6" w14:textId="77777777" w:rsidR="000C6958" w:rsidRPr="00BE33A1" w:rsidRDefault="000C6958" w:rsidP="00D93256">
            <w:pPr>
              <w:pStyle w:val="STPR2TableBody"/>
            </w:pPr>
            <w:r w:rsidRPr="00BE33A1">
              <w:t>An area designated under the EC Habitats Directive to ensure that rare, endangered or vulnerable habitats or species of community interest are either maintained at or restored to a favourable conservation status.</w:t>
            </w:r>
          </w:p>
        </w:tc>
      </w:tr>
      <w:tr w:rsidR="000C6958" w:rsidRPr="00E645D5" w14:paraId="2B19ADE6" w14:textId="77777777" w:rsidTr="004B3264">
        <w:trPr>
          <w:cantSplit/>
        </w:trPr>
        <w:tc>
          <w:tcPr>
            <w:tcW w:w="1252" w:type="pct"/>
            <w:shd w:val="clear" w:color="auto" w:fill="DCEDC6"/>
          </w:tcPr>
          <w:p w14:paraId="4364E0C0" w14:textId="77777777" w:rsidR="000C6958" w:rsidRPr="00BE33A1" w:rsidRDefault="000C6958" w:rsidP="00D93256">
            <w:pPr>
              <w:pStyle w:val="STPR2TableBody"/>
            </w:pPr>
            <w:r w:rsidRPr="00BE33A1">
              <w:t>Special Protection Area (SPA)</w:t>
            </w:r>
          </w:p>
        </w:tc>
        <w:tc>
          <w:tcPr>
            <w:tcW w:w="3748" w:type="pct"/>
            <w:shd w:val="clear" w:color="auto" w:fill="DCEDC6"/>
          </w:tcPr>
          <w:p w14:paraId="100F0403" w14:textId="77777777" w:rsidR="000C6958" w:rsidRPr="00BE33A1" w:rsidRDefault="000C6958" w:rsidP="00D93256">
            <w:pPr>
              <w:pStyle w:val="STPR2TableBody"/>
            </w:pPr>
            <w:r w:rsidRPr="00BE33A1">
              <w:t>An area designated under the Wild Birds Directive (Directive 74/409/</w:t>
            </w:r>
            <w:smartTag w:uri="urn:schemas-microsoft-com:office:smarttags" w:element="stockticker">
              <w:r w:rsidRPr="00BE33A1">
                <w:t>EEC</w:t>
              </w:r>
            </w:smartTag>
            <w:r w:rsidRPr="00BE33A1">
              <w:t xml:space="preserve">) to protect important bird habitats. </w:t>
            </w:r>
          </w:p>
        </w:tc>
      </w:tr>
      <w:tr w:rsidR="000C6958" w:rsidRPr="00E645D5" w14:paraId="32DA5CBF" w14:textId="77777777" w:rsidTr="004B3264">
        <w:trPr>
          <w:cantSplit/>
        </w:trPr>
        <w:tc>
          <w:tcPr>
            <w:tcW w:w="1252" w:type="pct"/>
            <w:shd w:val="clear" w:color="auto" w:fill="DCEDC6"/>
          </w:tcPr>
          <w:p w14:paraId="13311CFC" w14:textId="77777777" w:rsidR="000C6958" w:rsidRPr="00BE33A1" w:rsidRDefault="000C6958" w:rsidP="00D93256">
            <w:pPr>
              <w:pStyle w:val="STPR2TableBody"/>
            </w:pPr>
            <w:r w:rsidRPr="00BE33A1">
              <w:t>Stakeholder</w:t>
            </w:r>
          </w:p>
        </w:tc>
        <w:tc>
          <w:tcPr>
            <w:tcW w:w="3748" w:type="pct"/>
            <w:shd w:val="clear" w:color="auto" w:fill="DCEDC6"/>
          </w:tcPr>
          <w:p w14:paraId="5E31AD83" w14:textId="77777777" w:rsidR="000C6958" w:rsidRPr="00BE33A1" w:rsidRDefault="000C6958" w:rsidP="00D93256">
            <w:pPr>
              <w:pStyle w:val="STPR2TableBody"/>
            </w:pPr>
            <w:r w:rsidRPr="00BE33A1">
              <w:t>A person or group that has an investment, share or interest in something.</w:t>
            </w:r>
          </w:p>
        </w:tc>
      </w:tr>
      <w:tr w:rsidR="002B5F31" w:rsidRPr="00E645D5" w14:paraId="7A911EE9" w14:textId="77777777" w:rsidTr="004B3264">
        <w:trPr>
          <w:cantSplit/>
        </w:trPr>
        <w:tc>
          <w:tcPr>
            <w:tcW w:w="1252" w:type="pct"/>
            <w:shd w:val="clear" w:color="auto" w:fill="DCEDC6"/>
          </w:tcPr>
          <w:p w14:paraId="7CD47341" w14:textId="15EB32C0" w:rsidR="002B5F31" w:rsidRPr="00BE33A1" w:rsidRDefault="002B5F31" w:rsidP="00D93256">
            <w:pPr>
              <w:pStyle w:val="STPR2TableBody"/>
            </w:pPr>
            <w:r w:rsidRPr="00BE33A1">
              <w:lastRenderedPageBreak/>
              <w:t>Statutory Assessments</w:t>
            </w:r>
          </w:p>
        </w:tc>
        <w:tc>
          <w:tcPr>
            <w:tcW w:w="3748" w:type="pct"/>
            <w:shd w:val="clear" w:color="auto" w:fill="DCEDC6"/>
          </w:tcPr>
          <w:p w14:paraId="7D56809E" w14:textId="0EF60919" w:rsidR="002B5F31" w:rsidRPr="00BE33A1" w:rsidRDefault="002B5F31" w:rsidP="00D93256">
            <w:pPr>
              <w:pStyle w:val="STPR2TableBody"/>
            </w:pPr>
            <w:r w:rsidRPr="00BE33A1">
              <w:t xml:space="preserve">A number of statutory assessments are being undertaken for </w:t>
            </w:r>
            <w:r w:rsidR="00276EBC">
              <w:t xml:space="preserve">the </w:t>
            </w:r>
            <w:r w:rsidRPr="00BE33A1">
              <w:t xml:space="preserve">STPR2. These comprise an Equalities Impact Assessment, Fairer Scotland Duty Assessment, Child Rights and Wellbeing Impact Assessment, and Island Communities Impact Assessment. A Strategic Environmental Assessment is also being undertaken to assess and mitigate the </w:t>
            </w:r>
            <w:r w:rsidR="00FD6EE5">
              <w:t>environmental</w:t>
            </w:r>
            <w:r w:rsidRPr="00BE33A1">
              <w:t xml:space="preserve"> impacts </w:t>
            </w:r>
            <w:r w:rsidR="00500FF6">
              <w:t xml:space="preserve">predicted </w:t>
            </w:r>
            <w:r w:rsidR="00406E79">
              <w:t>for</w:t>
            </w:r>
            <w:r w:rsidRPr="00BE33A1">
              <w:t xml:space="preserve"> STPR2. </w:t>
            </w:r>
            <w:r w:rsidRPr="00BE33A1" w:rsidDel="00171D5B">
              <w:t xml:space="preserve">The methods for these assessments have informed the </w:t>
            </w:r>
            <w:r w:rsidR="00035E2E">
              <w:t>development of</w:t>
            </w:r>
            <w:r w:rsidRPr="00BE33A1" w:rsidDel="00171D5B">
              <w:t xml:space="preserve"> </w:t>
            </w:r>
            <w:r w:rsidR="00276EBC">
              <w:t xml:space="preserve">the </w:t>
            </w:r>
            <w:r w:rsidRPr="00BE33A1" w:rsidDel="00171D5B">
              <w:t xml:space="preserve">STPR2 and </w:t>
            </w:r>
            <w:r w:rsidRPr="00BE33A1">
              <w:t>vi</w:t>
            </w:r>
            <w:r w:rsidR="00035E2E">
              <w:t>ce</w:t>
            </w:r>
            <w:r w:rsidRPr="00BE33A1" w:rsidDel="00171D5B">
              <w:t>-versa.</w:t>
            </w:r>
          </w:p>
        </w:tc>
      </w:tr>
      <w:tr w:rsidR="002B5F31" w:rsidRPr="00E645D5" w14:paraId="13279842" w14:textId="77777777" w:rsidTr="004B3264">
        <w:trPr>
          <w:cantSplit/>
        </w:trPr>
        <w:tc>
          <w:tcPr>
            <w:tcW w:w="1252" w:type="pct"/>
            <w:shd w:val="clear" w:color="auto" w:fill="DCEDC6"/>
          </w:tcPr>
          <w:p w14:paraId="7E24E346" w14:textId="77777777" w:rsidR="002B5F31" w:rsidRPr="00BE33A1" w:rsidRDefault="002B5F31" w:rsidP="00D93256">
            <w:pPr>
              <w:pStyle w:val="STPR2TableBody"/>
            </w:pPr>
            <w:r w:rsidRPr="00BE33A1">
              <w:t>Strategic Environmental Assessment (SEA)</w:t>
            </w:r>
          </w:p>
        </w:tc>
        <w:tc>
          <w:tcPr>
            <w:tcW w:w="3748" w:type="pct"/>
            <w:shd w:val="clear" w:color="auto" w:fill="DCEDC6"/>
          </w:tcPr>
          <w:p w14:paraId="682FF71A" w14:textId="77777777" w:rsidR="002B5F31" w:rsidRPr="00BE33A1" w:rsidRDefault="002B5F31" w:rsidP="00D93256">
            <w:pPr>
              <w:pStyle w:val="STPR2TableBody"/>
            </w:pPr>
            <w:r w:rsidRPr="00BE33A1">
              <w:t>The process by which information about the environmental effects of proposed plans, policies and programmes are evaluated.</w:t>
            </w:r>
          </w:p>
        </w:tc>
      </w:tr>
      <w:tr w:rsidR="002B5F31" w:rsidRPr="00E645D5" w14:paraId="6AE3F835" w14:textId="77777777" w:rsidTr="004B3264">
        <w:trPr>
          <w:cantSplit/>
        </w:trPr>
        <w:tc>
          <w:tcPr>
            <w:tcW w:w="1252" w:type="pct"/>
            <w:shd w:val="clear" w:color="auto" w:fill="DCEDC6"/>
          </w:tcPr>
          <w:p w14:paraId="7108E075" w14:textId="77777777" w:rsidR="002B5F31" w:rsidRPr="00BE33A1" w:rsidRDefault="002B5F31" w:rsidP="00D93256">
            <w:pPr>
              <w:pStyle w:val="STPR2TableBody"/>
            </w:pPr>
            <w:r w:rsidRPr="00BE33A1">
              <w:t>Strategic Transport Projects Review (STPR2)</w:t>
            </w:r>
          </w:p>
        </w:tc>
        <w:tc>
          <w:tcPr>
            <w:tcW w:w="3748" w:type="pct"/>
            <w:shd w:val="clear" w:color="auto" w:fill="DCEDC6"/>
          </w:tcPr>
          <w:p w14:paraId="7C97E974" w14:textId="17505264" w:rsidR="002B5F31" w:rsidRPr="00BE33A1" w:rsidRDefault="002B5F31" w:rsidP="00D93256">
            <w:pPr>
              <w:pStyle w:val="STPR2TableBody"/>
            </w:pPr>
            <w:r w:rsidRPr="00BE33A1">
              <w:t>A review of the Scottish transport network being undertaken by Transport Scotland. It aims to identify</w:t>
            </w:r>
            <w:r>
              <w:t xml:space="preserve"> a range of</w:t>
            </w:r>
            <w:r w:rsidRPr="00BE33A1">
              <w:t xml:space="preserve"> </w:t>
            </w:r>
            <w:r>
              <w:t>potential</w:t>
            </w:r>
            <w:r w:rsidRPr="00BE33A1">
              <w:t xml:space="preserve"> interventions of national significance, which will be taken forward to improve the </w:t>
            </w:r>
            <w:r>
              <w:t xml:space="preserve">strategic transport </w:t>
            </w:r>
            <w:r w:rsidRPr="00BE33A1">
              <w:t xml:space="preserve">network. Through selecting which transport projects of national significance should be progressed, the STPR would also affect regional and local transport networks. </w:t>
            </w:r>
          </w:p>
        </w:tc>
      </w:tr>
      <w:tr w:rsidR="002B5F31" w:rsidRPr="00E645D5" w14:paraId="036EBAEB" w14:textId="77777777" w:rsidTr="004B3264">
        <w:trPr>
          <w:cantSplit/>
        </w:trPr>
        <w:tc>
          <w:tcPr>
            <w:tcW w:w="1252" w:type="pct"/>
            <w:shd w:val="clear" w:color="auto" w:fill="DCEDC6"/>
          </w:tcPr>
          <w:p w14:paraId="311B7F19" w14:textId="77777777" w:rsidR="002B5F31" w:rsidRPr="00BE33A1" w:rsidRDefault="002B5F31" w:rsidP="00D93256">
            <w:pPr>
              <w:pStyle w:val="STPR2TableBody"/>
            </w:pPr>
            <w:r w:rsidRPr="00BE33A1">
              <w:t>Sustainable Drainage Systems (SuDS)</w:t>
            </w:r>
          </w:p>
        </w:tc>
        <w:tc>
          <w:tcPr>
            <w:tcW w:w="3748" w:type="pct"/>
            <w:shd w:val="clear" w:color="auto" w:fill="DCEDC6"/>
          </w:tcPr>
          <w:p w14:paraId="06E7BDF3" w14:textId="77777777" w:rsidR="002B5F31" w:rsidRPr="00BE33A1" w:rsidRDefault="002B5F31" w:rsidP="00D93256">
            <w:pPr>
              <w:pStyle w:val="STPR2TableBody"/>
            </w:pPr>
            <w:r w:rsidRPr="00BE33A1">
              <w:t xml:space="preserve">SuDS, or sustainable drainage systems are a sequence of water management practices and facilities designed to drain surface water in a manner that will provide a more sustainable approach than what has been the conventional practice of routing run-off through a pipe to a watercourse. </w:t>
            </w:r>
          </w:p>
        </w:tc>
      </w:tr>
      <w:tr w:rsidR="002B5F31" w:rsidRPr="00E645D5" w14:paraId="46976555" w14:textId="77777777" w:rsidTr="004B3264">
        <w:trPr>
          <w:cantSplit/>
        </w:trPr>
        <w:tc>
          <w:tcPr>
            <w:tcW w:w="1252" w:type="pct"/>
            <w:shd w:val="clear" w:color="auto" w:fill="DCEDC6"/>
          </w:tcPr>
          <w:p w14:paraId="4A058038" w14:textId="77777777" w:rsidR="002B5F31" w:rsidRPr="00BE33A1" w:rsidRDefault="002B5F31" w:rsidP="00D93256">
            <w:pPr>
              <w:pStyle w:val="STPR2TableBody"/>
            </w:pPr>
            <w:r w:rsidRPr="00BE33A1">
              <w:t>Synergistic effects</w:t>
            </w:r>
          </w:p>
        </w:tc>
        <w:tc>
          <w:tcPr>
            <w:tcW w:w="3748" w:type="pct"/>
            <w:shd w:val="clear" w:color="auto" w:fill="DCEDC6"/>
          </w:tcPr>
          <w:p w14:paraId="5014BCAF" w14:textId="33F68442" w:rsidR="002B5F31" w:rsidRPr="00BE33A1" w:rsidRDefault="002B5F31" w:rsidP="00D93256">
            <w:pPr>
              <w:pStyle w:val="STPR2TableBody"/>
            </w:pPr>
            <w:r w:rsidRPr="00BE33A1">
              <w:t>Synergistic effects interact to produce a total effect greater than the sum of the individual effects.</w:t>
            </w:r>
          </w:p>
        </w:tc>
      </w:tr>
      <w:tr w:rsidR="002B5F31" w:rsidRPr="00E645D5" w14:paraId="139AC5CD" w14:textId="77777777" w:rsidTr="004B3264">
        <w:trPr>
          <w:cantSplit/>
        </w:trPr>
        <w:tc>
          <w:tcPr>
            <w:tcW w:w="1252" w:type="pct"/>
            <w:shd w:val="clear" w:color="auto" w:fill="DCEDC6"/>
          </w:tcPr>
          <w:p w14:paraId="472F5063" w14:textId="77777777" w:rsidR="002B5F31" w:rsidRPr="00BE33A1" w:rsidRDefault="002B5F31" w:rsidP="00D93256">
            <w:pPr>
              <w:pStyle w:val="STPR2TableBody"/>
            </w:pPr>
            <w:r w:rsidRPr="00BE33A1">
              <w:t>Transport Planning Objectives (TPOs)</w:t>
            </w:r>
          </w:p>
        </w:tc>
        <w:tc>
          <w:tcPr>
            <w:tcW w:w="3748" w:type="pct"/>
            <w:shd w:val="clear" w:color="auto" w:fill="DCEDC6"/>
          </w:tcPr>
          <w:p w14:paraId="7D2BC7BE" w14:textId="69370CBF" w:rsidR="002B5F31" w:rsidRPr="00BE33A1" w:rsidRDefault="002B5F31" w:rsidP="00D93256">
            <w:pPr>
              <w:pStyle w:val="STPR2TableBody"/>
            </w:pPr>
            <w:r w:rsidRPr="00BE33A1">
              <w:t xml:space="preserve">These seek to capture the essence of the evidence-based problem to be addressed or opportunity being sought. </w:t>
            </w:r>
            <w:r w:rsidR="00276EBC">
              <w:t xml:space="preserve">The </w:t>
            </w:r>
            <w:r w:rsidRPr="00BE33A1">
              <w:t xml:space="preserve">STPR2 has five national TPOs which are common to all regions and which reflect the evidence set out within the Case for Change reports. Where appropriate each region has considered the specific regional aspects in supporting the development of SMART (Specific, Measurable, Attainable, Relevant and Timed) sub-objectives. </w:t>
            </w:r>
          </w:p>
        </w:tc>
      </w:tr>
    </w:tbl>
    <w:p w14:paraId="18351528" w14:textId="77777777" w:rsidR="000C6958" w:rsidRDefault="000C6958" w:rsidP="000C6958">
      <w:pPr>
        <w:pStyle w:val="STPR2Heading1Nonumbering"/>
        <w:sectPr w:rsidR="000C6958" w:rsidSect="000C6958">
          <w:pgSz w:w="11906" w:h="16838" w:code="9"/>
          <w:pgMar w:top="1701" w:right="1134" w:bottom="1134" w:left="1134" w:header="454" w:footer="567" w:gutter="0"/>
          <w:pgNumType w:fmt="lowerRoman"/>
          <w:cols w:space="720"/>
          <w:noEndnote/>
          <w:docGrid w:linePitch="299"/>
        </w:sectPr>
      </w:pPr>
      <w:bookmarkStart w:id="1" w:name="_Toc18332131"/>
      <w:bookmarkStart w:id="2" w:name="_Toc21015740"/>
    </w:p>
    <w:p w14:paraId="60BCF237" w14:textId="5E73001B" w:rsidR="000C6958" w:rsidRPr="00565BA9" w:rsidRDefault="000C6958" w:rsidP="00565BA9">
      <w:pPr>
        <w:pStyle w:val="Heading1"/>
      </w:pPr>
      <w:bookmarkStart w:id="3" w:name="_Toc81993565"/>
      <w:bookmarkStart w:id="4" w:name="_Ref90564369"/>
      <w:bookmarkStart w:id="5" w:name="_Ref90564597"/>
      <w:bookmarkStart w:id="6" w:name="_Toc121339080"/>
      <w:bookmarkEnd w:id="1"/>
      <w:bookmarkEnd w:id="2"/>
      <w:r w:rsidRPr="00565BA9">
        <w:lastRenderedPageBreak/>
        <w:t>Introduction</w:t>
      </w:r>
      <w:bookmarkEnd w:id="3"/>
      <w:bookmarkEnd w:id="4"/>
      <w:bookmarkEnd w:id="5"/>
      <w:bookmarkEnd w:id="6"/>
    </w:p>
    <w:p w14:paraId="4BA52243" w14:textId="06CD2955" w:rsidR="000C6958" w:rsidRPr="00565BA9" w:rsidRDefault="000C6958" w:rsidP="009F1842">
      <w:pPr>
        <w:pStyle w:val="Heading2"/>
      </w:pPr>
      <w:bookmarkStart w:id="7" w:name="_Toc81993566"/>
      <w:bookmarkStart w:id="8" w:name="_Ref90564498"/>
      <w:bookmarkStart w:id="9" w:name="_Toc121339081"/>
      <w:r w:rsidRPr="00565BA9">
        <w:t>Background</w:t>
      </w:r>
      <w:bookmarkEnd w:id="7"/>
      <w:bookmarkEnd w:id="8"/>
      <w:bookmarkEnd w:id="9"/>
    </w:p>
    <w:p w14:paraId="0AF8E7F1" w14:textId="2877632E" w:rsidR="00ED261B" w:rsidRPr="004E3F5D" w:rsidRDefault="00E56715" w:rsidP="00D93256">
      <w:pPr>
        <w:pStyle w:val="STPR2BodyText"/>
      </w:pPr>
      <w:r w:rsidRPr="00E56715">
        <w:t>In 2019, Transport Scotland commenced the second Strategic Transport Projects Review (STPR2) to help inform transport investment in Scotland for the next 20 years. STPR2 will help to deliver the vision, priorities and outcomes for transport set out in the National Transport Strategy (NTS2), aligning with other national plans such as the Climate Change Plan</w:t>
      </w:r>
      <w:r w:rsidR="0061493F">
        <w:t xml:space="preserve"> Update</w:t>
      </w:r>
      <w:r w:rsidR="001A41CA" w:rsidRPr="001A41CA">
        <w:t xml:space="preserve"> </w:t>
      </w:r>
      <w:r w:rsidR="001A41CA">
        <w:t>(</w:t>
      </w:r>
      <w:r w:rsidR="001A41CA" w:rsidRPr="001A41CA">
        <w:t>Scottish Government</w:t>
      </w:r>
      <w:r w:rsidR="001A41CA">
        <w:t xml:space="preserve">, </w:t>
      </w:r>
      <w:r w:rsidR="001A41CA" w:rsidRPr="001A41CA">
        <w:t>2020</w:t>
      </w:r>
      <w:r w:rsidR="00102830">
        <w:t>a</w:t>
      </w:r>
      <w:r w:rsidR="001A41CA" w:rsidRPr="001A41CA">
        <w:t>)</w:t>
      </w:r>
      <w:r w:rsidR="00600633">
        <w:t>, the National Strategy for Economic Transformation</w:t>
      </w:r>
      <w:r w:rsidR="0066611A">
        <w:t xml:space="preserve"> (NSET)</w:t>
      </w:r>
      <w:r w:rsidR="00823464">
        <w:t xml:space="preserve"> </w:t>
      </w:r>
      <w:r w:rsidR="00823464" w:rsidRPr="00823464">
        <w:t>(Scottish Government, 2022</w:t>
      </w:r>
      <w:r w:rsidR="00102830">
        <w:t>a</w:t>
      </w:r>
      <w:r w:rsidR="00823464" w:rsidRPr="00823464">
        <w:t>)</w:t>
      </w:r>
      <w:r w:rsidRPr="00E56715">
        <w:t xml:space="preserve"> and the </w:t>
      </w:r>
      <w:r w:rsidR="0094767C">
        <w:t xml:space="preserve">Revised Draft </w:t>
      </w:r>
      <w:r w:rsidRPr="00E56715">
        <w:t>fourth National Planning Framework (NPF4)</w:t>
      </w:r>
      <w:r w:rsidR="001B3B70">
        <w:t xml:space="preserve"> (Scottish Government, 2022</w:t>
      </w:r>
      <w:r w:rsidR="00655558">
        <w:t>b</w:t>
      </w:r>
      <w:r w:rsidRPr="00E56715">
        <w:t>).</w:t>
      </w:r>
    </w:p>
    <w:p w14:paraId="07821F6B" w14:textId="303B0E50" w:rsidR="000C6958" w:rsidRPr="004E3F5D" w:rsidRDefault="000C6958" w:rsidP="00D93256">
      <w:pPr>
        <w:pStyle w:val="STPR2BodyText"/>
      </w:pPr>
      <w:r w:rsidRPr="004E3F5D">
        <w:t xml:space="preserve">Further information on </w:t>
      </w:r>
      <w:r w:rsidR="005F3DCB">
        <w:t xml:space="preserve">the </w:t>
      </w:r>
      <w:r w:rsidRPr="004E3F5D">
        <w:t xml:space="preserve">NTS2 and STPR2 is provided </w:t>
      </w:r>
      <w:r w:rsidRPr="003B196E">
        <w:t xml:space="preserve">in </w:t>
      </w:r>
      <w:r w:rsidR="00B05128" w:rsidRPr="003B196E">
        <w:t xml:space="preserve">Chapters </w:t>
      </w:r>
      <w:r w:rsidR="00B05128" w:rsidRPr="003B196E">
        <w:fldChar w:fldCharType="begin"/>
      </w:r>
      <w:r w:rsidR="00B05128" w:rsidRPr="003B196E">
        <w:instrText xml:space="preserve"> REF _Ref90564440 \r \h </w:instrText>
      </w:r>
      <w:r w:rsidR="004E3F5D" w:rsidRPr="003B196E">
        <w:instrText xml:space="preserve"> \* MERGEFORMAT </w:instrText>
      </w:r>
      <w:r w:rsidR="00B05128" w:rsidRPr="003B196E">
        <w:fldChar w:fldCharType="separate"/>
      </w:r>
      <w:r w:rsidR="00C22A9E">
        <w:t>2</w:t>
      </w:r>
      <w:r w:rsidR="00B05128" w:rsidRPr="003B196E">
        <w:fldChar w:fldCharType="end"/>
      </w:r>
      <w:r w:rsidRPr="003B196E">
        <w:t xml:space="preserve"> </w:t>
      </w:r>
      <w:r w:rsidR="00594A1C" w:rsidRPr="003B196E">
        <w:t>(</w:t>
      </w:r>
      <w:r w:rsidR="00D5018B" w:rsidRPr="003B196E">
        <w:t xml:space="preserve">STPR2 Overview) </w:t>
      </w:r>
      <w:r w:rsidRPr="003B196E">
        <w:t xml:space="preserve">and </w:t>
      </w:r>
      <w:r w:rsidR="00B05128" w:rsidRPr="003B196E">
        <w:fldChar w:fldCharType="begin"/>
      </w:r>
      <w:r w:rsidR="00B05128" w:rsidRPr="003B196E">
        <w:instrText xml:space="preserve"> REF _Ref90564450 \r \h </w:instrText>
      </w:r>
      <w:r w:rsidR="004E3F5D" w:rsidRPr="003B196E">
        <w:instrText xml:space="preserve"> \* MERGEFORMAT </w:instrText>
      </w:r>
      <w:r w:rsidR="00B05128" w:rsidRPr="003B196E">
        <w:fldChar w:fldCharType="separate"/>
      </w:r>
      <w:r w:rsidR="00C22A9E">
        <w:t>3</w:t>
      </w:r>
      <w:r w:rsidR="00B05128" w:rsidRPr="003B196E">
        <w:fldChar w:fldCharType="end"/>
      </w:r>
      <w:r w:rsidR="00D5018B" w:rsidRPr="003B196E">
        <w:t xml:space="preserve"> (Policy Context)</w:t>
      </w:r>
      <w:r w:rsidR="00B05128" w:rsidRPr="004E3F5D">
        <w:t xml:space="preserve"> </w:t>
      </w:r>
      <w:r w:rsidRPr="004E3F5D">
        <w:t>of this report.</w:t>
      </w:r>
    </w:p>
    <w:p w14:paraId="438A9705" w14:textId="47AC9458" w:rsidR="00C877A7" w:rsidRPr="004E3F5D" w:rsidRDefault="00C877A7" w:rsidP="00D93256">
      <w:pPr>
        <w:pStyle w:val="STPR2BodyText"/>
        <w:rPr>
          <w:b/>
          <w:bCs/>
        </w:rPr>
      </w:pPr>
      <w:r w:rsidRPr="004E3F5D">
        <w:t xml:space="preserve">STPR2 involves conducting an evidence-based review of the performance of Scotland’s strategic transport network across </w:t>
      </w:r>
      <w:r w:rsidR="00FD0CCB">
        <w:t>walking, wheeling, cycling</w:t>
      </w:r>
      <w:r w:rsidRPr="004E3F5D">
        <w:t xml:space="preserve">, bus, ferry, rail and the trunk road network. The outcomes from </w:t>
      </w:r>
      <w:r w:rsidR="0010038E">
        <w:t xml:space="preserve">the </w:t>
      </w:r>
      <w:r w:rsidRPr="004E3F5D">
        <w:t>STPR2 will:</w:t>
      </w:r>
    </w:p>
    <w:p w14:paraId="36D06226" w14:textId="49B86000" w:rsidR="00C877A7" w:rsidRPr="009D7F69" w:rsidRDefault="002A30CA" w:rsidP="00D93256">
      <w:pPr>
        <w:pStyle w:val="STPR2BulletsLevel1"/>
      </w:pPr>
      <w:r w:rsidRPr="009D7F69">
        <w:t>e</w:t>
      </w:r>
      <w:r w:rsidR="00C877A7" w:rsidRPr="009D7F69">
        <w:t>nhance accessibility across Scotland for residents, visitors and businesses;</w:t>
      </w:r>
    </w:p>
    <w:p w14:paraId="735222A5" w14:textId="40A1F6E6" w:rsidR="00C877A7" w:rsidRPr="009D7F69" w:rsidRDefault="002A30CA" w:rsidP="00D93256">
      <w:pPr>
        <w:pStyle w:val="STPR2BulletsLevel1"/>
      </w:pPr>
      <w:r w:rsidRPr="009D7F69">
        <w:t>c</w:t>
      </w:r>
      <w:r w:rsidR="00C877A7" w:rsidRPr="009D7F69">
        <w:t xml:space="preserve">reate better connectivity with sustainable, smart and cleaner transport options; </w:t>
      </w:r>
    </w:p>
    <w:p w14:paraId="310801CA" w14:textId="7A3241EF" w:rsidR="00C877A7" w:rsidRPr="004E3F5D" w:rsidRDefault="002A30CA" w:rsidP="00D93256">
      <w:pPr>
        <w:pStyle w:val="STPR2BulletsLevel1"/>
      </w:pPr>
      <w:r w:rsidRPr="009D7F69">
        <w:t>h</w:t>
      </w:r>
      <w:r w:rsidR="00C877A7" w:rsidRPr="009D7F69">
        <w:t>ighlight the vital contribution that transport investment can play in enabling and sustaining Scotland’s economic growth</w:t>
      </w:r>
      <w:r w:rsidR="00C877A7" w:rsidRPr="004E3F5D">
        <w:t>.</w:t>
      </w:r>
    </w:p>
    <w:p w14:paraId="1B3960F3" w14:textId="75186F4C" w:rsidR="00C877A7" w:rsidRPr="004E3F5D" w:rsidRDefault="00C877A7" w:rsidP="00D93256">
      <w:pPr>
        <w:pStyle w:val="STPR2BodyText"/>
      </w:pPr>
      <w:r w:rsidRPr="004E3F5D">
        <w:t xml:space="preserve">The review will help inform Scottish Ministers on a programme of potential transport investment opportunities for the period </w:t>
      </w:r>
      <w:r w:rsidR="00B66A47" w:rsidRPr="004E3F5D">
        <w:t xml:space="preserve">between </w:t>
      </w:r>
      <w:r w:rsidRPr="004E3F5D">
        <w:t>2022</w:t>
      </w:r>
      <w:r w:rsidR="00B66A47" w:rsidRPr="004E3F5D">
        <w:t xml:space="preserve"> and </w:t>
      </w:r>
      <w:r w:rsidRPr="004E3F5D">
        <w:t>2042.</w:t>
      </w:r>
    </w:p>
    <w:p w14:paraId="3DCC8BFE" w14:textId="4C10E31D" w:rsidR="008809CE" w:rsidRDefault="00106CD0" w:rsidP="00D93256">
      <w:pPr>
        <w:pStyle w:val="STPR2BodyText"/>
      </w:pPr>
      <w:bookmarkStart w:id="10" w:name="_Toc19802848"/>
      <w:bookmarkStart w:id="11" w:name="_Toc19871974"/>
      <w:bookmarkStart w:id="12" w:name="_Toc19882144"/>
      <w:bookmarkStart w:id="13" w:name="_Toc19882315"/>
      <w:bookmarkStart w:id="14" w:name="_Toc19889642"/>
      <w:bookmarkStart w:id="15" w:name="_Toc20124034"/>
      <w:bookmarkStart w:id="16" w:name="_Toc20124166"/>
      <w:bookmarkStart w:id="17" w:name="_Toc20124954"/>
      <w:bookmarkStart w:id="18" w:name="_Toc20127007"/>
      <w:bookmarkStart w:id="19" w:name="_Toc20380969"/>
      <w:bookmarkStart w:id="20" w:name="_Toc20484715"/>
      <w:bookmarkStart w:id="21" w:name="_Toc20484960"/>
      <w:bookmarkStart w:id="22" w:name="_Toc20487770"/>
      <w:bookmarkStart w:id="23" w:name="_Toc20487965"/>
      <w:bookmarkStart w:id="24" w:name="_Toc20744579"/>
      <w:bookmarkStart w:id="25" w:name="_Toc20754054"/>
      <w:bookmarkStart w:id="26" w:name="_Toc20756441"/>
      <w:bookmarkStart w:id="27" w:name="_Toc20758874"/>
      <w:bookmarkStart w:id="28" w:name="_Toc20758947"/>
      <w:bookmarkStart w:id="29" w:name="_Toc20759020"/>
      <w:bookmarkStart w:id="30" w:name="_Toc20759212"/>
      <w:bookmarkStart w:id="31" w:name="_Toc20898697"/>
      <w:bookmarkStart w:id="32" w:name="_Toc20898982"/>
      <w:bookmarkStart w:id="33" w:name="_Toc20903601"/>
      <w:bookmarkStart w:id="34" w:name="_Toc20903713"/>
      <w:bookmarkStart w:id="35" w:name="_Toc20903830"/>
      <w:bookmarkStart w:id="36" w:name="_Toc21078470"/>
      <w:bookmarkStart w:id="37" w:name="_Toc21080096"/>
      <w:bookmarkStart w:id="38" w:name="_Toc21353714"/>
      <w:bookmarkStart w:id="39" w:name="_Toc21354180"/>
      <w:bookmarkStart w:id="40" w:name="_Toc21446865"/>
      <w:bookmarkStart w:id="41" w:name="_Toc21447119"/>
      <w:bookmarkStart w:id="42" w:name="_Toc21447233"/>
      <w:bookmarkStart w:id="43" w:name="_Toc21447478"/>
      <w:bookmarkStart w:id="44" w:name="_Toc21447612"/>
      <w:bookmarkStart w:id="45" w:name="_Toc21510381"/>
      <w:bookmarkStart w:id="46" w:name="_Toc21510983"/>
      <w:bookmarkStart w:id="47" w:name="_Toc2152305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106CD0">
        <w:t xml:space="preserve">As a result of the COVID-19 pandemic, </w:t>
      </w:r>
      <w:r w:rsidR="00052DE9">
        <w:t xml:space="preserve">the </w:t>
      </w:r>
      <w:r w:rsidRPr="00106CD0">
        <w:t xml:space="preserve">STPR2 adopted a phased approach. The initial </w:t>
      </w:r>
      <w:r w:rsidR="00D61678" w:rsidRPr="00D61678">
        <w:t xml:space="preserve">Phase 1 </w:t>
      </w:r>
      <w:r w:rsidR="00E379FA">
        <w:t xml:space="preserve">(Jacobs </w:t>
      </w:r>
      <w:r w:rsidRPr="00106CD0">
        <w:t>A</w:t>
      </w:r>
      <w:r>
        <w:t>ECOM</w:t>
      </w:r>
      <w:r w:rsidR="00E379FA">
        <w:t xml:space="preserve"> 2021a) </w:t>
      </w:r>
      <w:r w:rsidR="00D61678" w:rsidRPr="00D61678">
        <w:t xml:space="preserve">focused on measures that support and extend the increase in travel by sustainable travel modes and support economic recovery. The </w:t>
      </w:r>
      <w:r w:rsidRPr="00106CD0">
        <w:t>Final STPR2 Technical Report combines</w:t>
      </w:r>
      <w:r w:rsidR="00D61678" w:rsidRPr="00D61678">
        <w:t xml:space="preserve"> the </w:t>
      </w:r>
      <w:r w:rsidRPr="00106CD0">
        <w:t xml:space="preserve">previous </w:t>
      </w:r>
      <w:r w:rsidR="00D61678" w:rsidRPr="00D61678">
        <w:t xml:space="preserve">Phase 1 recommendations </w:t>
      </w:r>
      <w:r w:rsidRPr="00106CD0">
        <w:t xml:space="preserve">with </w:t>
      </w:r>
      <w:r w:rsidR="00D61678" w:rsidRPr="00D61678">
        <w:t xml:space="preserve">the </w:t>
      </w:r>
      <w:r w:rsidRPr="00106CD0">
        <w:t>medium- to longer-term recommendations. This, therefore, provides the full suite of recommendations for transport investment for the next 20 years</w:t>
      </w:r>
      <w:r w:rsidR="00D61678" w:rsidRPr="00D61678">
        <w:t>. Lasting responses to the COVID-19 pandemic such as increased working from home do, however, create an element of uncertainty with regards to future travel patterns, but also opportunities for increased use of sustainable travel. The review has recognised this uncertainty and has ensured that there is an element of flexibility and agility to allow specific recommendations to be reviewed or amended as travel patterns become clearer.</w:t>
      </w:r>
    </w:p>
    <w:p w14:paraId="4202CAD4" w14:textId="37AD8B50" w:rsidR="000C6958" w:rsidRPr="009D7F69" w:rsidRDefault="00507100" w:rsidP="00D93256">
      <w:pPr>
        <w:pStyle w:val="STPR2BodyText"/>
      </w:pPr>
      <w:r w:rsidRPr="009D7F69">
        <w:t>The</w:t>
      </w:r>
      <w:r w:rsidR="000C6958" w:rsidRPr="009D7F69">
        <w:t xml:space="preserve"> </w:t>
      </w:r>
      <w:r w:rsidR="00334A01" w:rsidRPr="009D7F69">
        <w:t xml:space="preserve">Phase 1 </w:t>
      </w:r>
      <w:r w:rsidR="000C6958" w:rsidRPr="009D7F69">
        <w:t xml:space="preserve">STPR2 SEA Progress Report </w:t>
      </w:r>
      <w:r w:rsidR="00334A01" w:rsidRPr="009D7F69">
        <w:t xml:space="preserve">(Jacobs </w:t>
      </w:r>
      <w:r w:rsidR="007F59CB">
        <w:t>AECOM</w:t>
      </w:r>
      <w:r w:rsidR="00334A01" w:rsidRPr="009D7F69">
        <w:t>, 2021</w:t>
      </w:r>
      <w:r w:rsidR="00742CCC">
        <w:t>a</w:t>
      </w:r>
      <w:r w:rsidR="00334A01" w:rsidRPr="009D7F69">
        <w:t xml:space="preserve">) </w:t>
      </w:r>
      <w:r w:rsidR="000C6958" w:rsidRPr="009D7F69">
        <w:t>was published in February 2021. Feedback to th</w:t>
      </w:r>
      <w:r w:rsidR="003F15DD" w:rsidRPr="009D7F69">
        <w:t xml:space="preserve">e </w:t>
      </w:r>
      <w:r w:rsidR="00C242C6" w:rsidRPr="009D7F69">
        <w:t xml:space="preserve">Phase 1 </w:t>
      </w:r>
      <w:r w:rsidR="003F15DD" w:rsidRPr="009D7F69">
        <w:t xml:space="preserve">STPR2 SEA Progress </w:t>
      </w:r>
      <w:r w:rsidR="000C6958" w:rsidRPr="009D7F69">
        <w:t xml:space="preserve">Report was received from NatureScot and </w:t>
      </w:r>
      <w:r w:rsidRPr="009D7F69">
        <w:t>Historic Envi</w:t>
      </w:r>
      <w:r w:rsidR="000466CA" w:rsidRPr="009D7F69">
        <w:t>ronment Scotland</w:t>
      </w:r>
      <w:r w:rsidR="00E12416">
        <w:t xml:space="preserve"> and this informed the development of the Environmental Report</w:t>
      </w:r>
      <w:r w:rsidR="000466CA" w:rsidRPr="009D7F69">
        <w:t xml:space="preserve">. </w:t>
      </w:r>
      <w:r w:rsidR="00094FD7">
        <w:t xml:space="preserve">The first draft of this Environmental Report was published for </w:t>
      </w:r>
      <w:r w:rsidR="00CD10D3">
        <w:t xml:space="preserve">a </w:t>
      </w:r>
      <w:r w:rsidR="00094FD7" w:rsidRPr="00094FD7">
        <w:t>12</w:t>
      </w:r>
      <w:r w:rsidR="00CD10D3">
        <w:t>-</w:t>
      </w:r>
      <w:r w:rsidR="00094FD7" w:rsidRPr="00094FD7">
        <w:t>week</w:t>
      </w:r>
      <w:r w:rsidR="00CD10D3">
        <w:t xml:space="preserve"> consultation</w:t>
      </w:r>
      <w:r w:rsidR="00094FD7" w:rsidRPr="00094FD7">
        <w:t>, starting 20 January 2022.</w:t>
      </w:r>
      <w:r w:rsidR="000466CA" w:rsidRPr="009D7F69">
        <w:t xml:space="preserve"> T</w:t>
      </w:r>
      <w:r w:rsidR="000C6958" w:rsidRPr="009D7F69">
        <w:t>he SEA response</w:t>
      </w:r>
      <w:r w:rsidR="000466CA" w:rsidRPr="009D7F69">
        <w:t>s</w:t>
      </w:r>
      <w:r w:rsidR="000C6958" w:rsidRPr="009D7F69">
        <w:t xml:space="preserve"> to th</w:t>
      </w:r>
      <w:r w:rsidR="00CD10D3">
        <w:t>e</w:t>
      </w:r>
      <w:r w:rsidR="000C6958" w:rsidRPr="009D7F69">
        <w:t xml:space="preserve"> feedback </w:t>
      </w:r>
      <w:r w:rsidR="00CD10D3">
        <w:t>from</w:t>
      </w:r>
      <w:r w:rsidR="00670492">
        <w:t xml:space="preserve"> both of these consultations </w:t>
      </w:r>
      <w:r w:rsidR="000466CA" w:rsidRPr="009D7F69">
        <w:t>are</w:t>
      </w:r>
      <w:r w:rsidR="000C6958" w:rsidRPr="009D7F69" w:rsidDel="000466CA">
        <w:t xml:space="preserve"> </w:t>
      </w:r>
      <w:r w:rsidR="000C6958" w:rsidRPr="009D7F69">
        <w:t xml:space="preserve">provided in </w:t>
      </w:r>
      <w:r w:rsidR="000C6958" w:rsidRPr="009D7F69">
        <w:rPr>
          <w:b/>
          <w:bCs/>
        </w:rPr>
        <w:t>Appendix E</w:t>
      </w:r>
      <w:r w:rsidR="002557FF" w:rsidRPr="009D7F69">
        <w:rPr>
          <w:b/>
          <w:bCs/>
        </w:rPr>
        <w:t xml:space="preserve"> (Consultation Feedback)</w:t>
      </w:r>
      <w:r w:rsidR="00CF606D" w:rsidRPr="009D7F69">
        <w:rPr>
          <w:b/>
          <w:bCs/>
        </w:rPr>
        <w:t>.</w:t>
      </w:r>
      <w:r w:rsidR="00A56FAF" w:rsidRPr="009D7F69">
        <w:t xml:space="preserve"> </w:t>
      </w:r>
    </w:p>
    <w:p w14:paraId="33D05BBB" w14:textId="084A8C27" w:rsidR="000C6958" w:rsidRPr="0064161D" w:rsidRDefault="000C6958" w:rsidP="009F1842">
      <w:pPr>
        <w:pStyle w:val="Heading2"/>
      </w:pPr>
      <w:bookmarkStart w:id="48" w:name="_Toc81993569"/>
      <w:bookmarkStart w:id="49" w:name="_Ref92879980"/>
      <w:bookmarkStart w:id="50" w:name="_Toc121339082"/>
      <w:r w:rsidRPr="0064161D">
        <w:t xml:space="preserve">SEA </w:t>
      </w:r>
      <w:r w:rsidRPr="009F1842">
        <w:t>Requirements</w:t>
      </w:r>
      <w:bookmarkEnd w:id="48"/>
      <w:bookmarkEnd w:id="49"/>
      <w:bookmarkEnd w:id="50"/>
      <w:r w:rsidRPr="0064161D">
        <w:t xml:space="preserve"> </w:t>
      </w:r>
    </w:p>
    <w:p w14:paraId="5B5BE57B" w14:textId="33877DE5" w:rsidR="000C6958" w:rsidRPr="009D7F69" w:rsidRDefault="000C6958" w:rsidP="00D93256">
      <w:pPr>
        <w:pStyle w:val="STPR2BodyText"/>
      </w:pPr>
      <w:r w:rsidRPr="009D7F69">
        <w:t>SEA is a means of systematically assessing the likely impact of a public plan on the environment. Under the Environmental Assessment (Scotland) Act 2005</w:t>
      </w:r>
      <w:r w:rsidR="003A570A" w:rsidRPr="009D7F69">
        <w:t xml:space="preserve"> (hereby referred to as ‘the Act’)</w:t>
      </w:r>
      <w:r w:rsidRPr="009D7F69">
        <w:t>, those bodies preparing qualifying Scottish plans are required to undertake a SEA of plans that are likely to have significant environmental effects, if implemented. The Act transposes the requirements of the European Community SEA Directive</w:t>
      </w:r>
      <w:r w:rsidR="005D4FF3" w:rsidRPr="009D7F69">
        <w:t xml:space="preserve"> (Directive </w:t>
      </w:r>
      <w:r w:rsidR="005D4FF3" w:rsidRPr="009D7F69">
        <w:lastRenderedPageBreak/>
        <w:t>2001/42/EC, 2001)</w:t>
      </w:r>
      <w:r w:rsidR="00F10D16" w:rsidRPr="009D7F69">
        <w:t>.</w:t>
      </w:r>
    </w:p>
    <w:p w14:paraId="6F7F9206" w14:textId="2CBF5BBD" w:rsidR="000C6958" w:rsidRPr="009D7F69" w:rsidRDefault="000C6958" w:rsidP="00D93256">
      <w:pPr>
        <w:pStyle w:val="STPR2BodyText"/>
      </w:pPr>
      <w:r w:rsidRPr="009D7F69">
        <w:t>SEA aims to offer greater protection to the environment by ensuring public bodies (in this case, Transport Scotland) and those organisations preparing plans of a ‘public character’ consider and address the likely significant environmental effects.</w:t>
      </w:r>
    </w:p>
    <w:p w14:paraId="0C11D111" w14:textId="0CC42A8F" w:rsidR="000C6958" w:rsidRPr="009D7F69" w:rsidRDefault="00CF19A9" w:rsidP="00D93256">
      <w:pPr>
        <w:pStyle w:val="STPR2BodyText"/>
      </w:pPr>
      <w:r>
        <w:t xml:space="preserve">The </w:t>
      </w:r>
      <w:r w:rsidR="000C6958" w:rsidRPr="009D7F69">
        <w:t>STPR2</w:t>
      </w:r>
      <w:r w:rsidR="00A2127B" w:rsidRPr="009D7F69">
        <w:t xml:space="preserve">, as described in </w:t>
      </w:r>
      <w:r w:rsidR="00A2127B" w:rsidRPr="003B196E">
        <w:rPr>
          <w:b/>
          <w:bCs/>
        </w:rPr>
        <w:t xml:space="preserve">Section </w:t>
      </w:r>
      <w:r w:rsidR="00B05128" w:rsidRPr="003B196E">
        <w:rPr>
          <w:b/>
          <w:bCs/>
        </w:rPr>
        <w:fldChar w:fldCharType="begin"/>
      </w:r>
      <w:r w:rsidR="00B05128" w:rsidRPr="003B196E">
        <w:rPr>
          <w:b/>
          <w:bCs/>
        </w:rPr>
        <w:instrText xml:space="preserve"> REF _Ref90564498 \r \h </w:instrText>
      </w:r>
      <w:r w:rsidR="009D7F69" w:rsidRPr="003B196E">
        <w:rPr>
          <w:b/>
          <w:bCs/>
        </w:rPr>
        <w:instrText xml:space="preserve"> \* MERGEFORMAT </w:instrText>
      </w:r>
      <w:r w:rsidR="00B05128" w:rsidRPr="003B196E">
        <w:rPr>
          <w:b/>
          <w:bCs/>
        </w:rPr>
      </w:r>
      <w:r w:rsidR="00B05128" w:rsidRPr="003B196E">
        <w:rPr>
          <w:b/>
          <w:bCs/>
        </w:rPr>
        <w:fldChar w:fldCharType="separate"/>
      </w:r>
      <w:r w:rsidR="00C22A9E">
        <w:rPr>
          <w:b/>
          <w:bCs/>
        </w:rPr>
        <w:t>1.1</w:t>
      </w:r>
      <w:r w:rsidR="00B05128" w:rsidRPr="003B196E">
        <w:rPr>
          <w:b/>
          <w:bCs/>
        </w:rPr>
        <w:fldChar w:fldCharType="end"/>
      </w:r>
      <w:r w:rsidR="00A2127B" w:rsidRPr="009D7F69">
        <w:t>,</w:t>
      </w:r>
      <w:r w:rsidR="000C6958" w:rsidRPr="009D7F69">
        <w:t xml:space="preserve"> is considered to fall under Section 5(3) of the Act and, as such, a SEA is required to explore the potential for significant environmental effects, either positive or negative. As </w:t>
      </w:r>
      <w:r>
        <w:t>the</w:t>
      </w:r>
      <w:r w:rsidR="000C6958" w:rsidRPr="009D7F69">
        <w:t xml:space="preserve"> STPR2 falls under this section of the Act, a ‘screening’ report did not need to be prepared, as it was clear that a SEA would be required. Thus, the key remaining stages of the STPR2 SEA are:</w:t>
      </w:r>
    </w:p>
    <w:p w14:paraId="228E2769" w14:textId="2D9B3EF2" w:rsidR="000C6958" w:rsidRPr="007531E3" w:rsidRDefault="000C6958" w:rsidP="00D93256">
      <w:pPr>
        <w:pStyle w:val="STPR2BulletsLevel1"/>
      </w:pPr>
      <w:r w:rsidRPr="007531E3">
        <w:t xml:space="preserve">SEA Scoping </w:t>
      </w:r>
      <w:r w:rsidR="009F5F2A">
        <w:t>Report</w:t>
      </w:r>
      <w:r w:rsidR="00A06572">
        <w:t xml:space="preserve"> (Jacobs </w:t>
      </w:r>
      <w:r w:rsidR="007F59CB">
        <w:t>AECOM</w:t>
      </w:r>
      <w:r w:rsidR="00A06572">
        <w:t>, 2019)</w:t>
      </w:r>
      <w:r w:rsidR="009F5F2A">
        <w:t xml:space="preserve"> </w:t>
      </w:r>
      <w:r w:rsidRPr="007531E3">
        <w:t>(completed and consulted on between December 2019 and February</w:t>
      </w:r>
      <w:r w:rsidR="00B16DEE">
        <w:t> </w:t>
      </w:r>
      <w:r w:rsidRPr="007531E3">
        <w:t>2020).</w:t>
      </w:r>
    </w:p>
    <w:p w14:paraId="428A9D65" w14:textId="03AE22EB" w:rsidR="000C6958" w:rsidRPr="007531E3" w:rsidRDefault="000C6958" w:rsidP="00D93256">
      <w:pPr>
        <w:pStyle w:val="STPR2BulletsLevel1"/>
      </w:pPr>
      <w:r w:rsidRPr="007531E3">
        <w:t xml:space="preserve">Draft Environmental Report </w:t>
      </w:r>
      <w:r w:rsidR="009F5F2A">
        <w:t xml:space="preserve">(Jacobs </w:t>
      </w:r>
      <w:r w:rsidR="007F59CB">
        <w:t>AECOM</w:t>
      </w:r>
      <w:r w:rsidR="009F5F2A">
        <w:t xml:space="preserve">, 2022d) </w:t>
      </w:r>
      <w:r w:rsidR="00B37EBA" w:rsidRPr="00B37EBA">
        <w:t xml:space="preserve">(completed and consulted on </w:t>
      </w:r>
      <w:r w:rsidR="003073CF">
        <w:t>from</w:t>
      </w:r>
      <w:r w:rsidR="00B37EBA" w:rsidRPr="00B37EBA">
        <w:t xml:space="preserve"> </w:t>
      </w:r>
      <w:r w:rsidR="00B37EBA">
        <w:t>January</w:t>
      </w:r>
      <w:r w:rsidR="003073CF">
        <w:t xml:space="preserve"> to April</w:t>
      </w:r>
      <w:r w:rsidR="00B37EBA">
        <w:t xml:space="preserve"> 2022</w:t>
      </w:r>
      <w:r w:rsidR="00B37EBA" w:rsidRPr="00B37EBA">
        <w:t xml:space="preserve">). </w:t>
      </w:r>
      <w:r w:rsidRPr="007531E3">
        <w:t xml:space="preserve">(see </w:t>
      </w:r>
      <w:r w:rsidRPr="007531E3">
        <w:rPr>
          <w:b/>
        </w:rPr>
        <w:t xml:space="preserve">Chapter </w:t>
      </w:r>
      <w:r w:rsidR="000B30C2" w:rsidRPr="007531E3">
        <w:rPr>
          <w:b/>
        </w:rPr>
        <w:t>7: The Approach to the Assessment</w:t>
      </w:r>
      <w:r w:rsidRPr="007531E3">
        <w:t>)</w:t>
      </w:r>
      <w:r w:rsidR="005D7266" w:rsidRPr="007531E3">
        <w:t>.</w:t>
      </w:r>
      <w:r w:rsidR="00DF6ACA">
        <w:t xml:space="preserve"> </w:t>
      </w:r>
      <w:r w:rsidRPr="007531E3">
        <w:t xml:space="preserve">This assessment stage establishes the likely significant (positive and negative) environmental effects of implementing </w:t>
      </w:r>
      <w:r w:rsidR="005A7909">
        <w:t xml:space="preserve">the </w:t>
      </w:r>
      <w:r w:rsidRPr="007531E3">
        <w:t xml:space="preserve">STPR2. Any potential reasonable alternatives </w:t>
      </w:r>
      <w:r w:rsidR="002D52E6">
        <w:t>we</w:t>
      </w:r>
      <w:r w:rsidRPr="007531E3">
        <w:t xml:space="preserve">re considered at this stage, along with viable mitigation measures to avoid, reduce or offset </w:t>
      </w:r>
      <w:r w:rsidR="001F4412" w:rsidRPr="007531E3">
        <w:t>significant</w:t>
      </w:r>
      <w:r w:rsidRPr="007531E3">
        <w:t xml:space="preserve"> adverse effects. The assessment and a summary of key findings </w:t>
      </w:r>
      <w:r w:rsidR="00B37EBA">
        <w:t>we</w:t>
      </w:r>
      <w:r w:rsidRPr="007531E3">
        <w:t>re included in th</w:t>
      </w:r>
      <w:r w:rsidR="00B37EBA">
        <w:t>e</w:t>
      </w:r>
      <w:r w:rsidRPr="007531E3">
        <w:t xml:space="preserve"> </w:t>
      </w:r>
      <w:r w:rsidR="0078636E">
        <w:t>D</w:t>
      </w:r>
      <w:r w:rsidRPr="007531E3">
        <w:t xml:space="preserve">raft Environmental Report </w:t>
      </w:r>
      <w:r w:rsidR="0078636E">
        <w:t>(</w:t>
      </w:r>
      <w:r w:rsidR="0078636E" w:rsidRPr="0078636E">
        <w:t xml:space="preserve">Jacobs </w:t>
      </w:r>
      <w:r w:rsidR="007F59CB">
        <w:t>AECOM</w:t>
      </w:r>
      <w:r w:rsidR="0078636E" w:rsidRPr="0078636E">
        <w:t xml:space="preserve"> </w:t>
      </w:r>
      <w:r w:rsidR="0078636E">
        <w:t xml:space="preserve">2022d: </w:t>
      </w:r>
      <w:r w:rsidRPr="007531E3">
        <w:rPr>
          <w:b/>
        </w:rPr>
        <w:t xml:space="preserve">Chapter </w:t>
      </w:r>
      <w:r w:rsidR="000B30C2" w:rsidRPr="007531E3">
        <w:rPr>
          <w:b/>
        </w:rPr>
        <w:t>8: Assessment Results</w:t>
      </w:r>
      <w:r w:rsidRPr="007531E3">
        <w:t xml:space="preserve">), which </w:t>
      </w:r>
      <w:r w:rsidR="00B37EBA">
        <w:t>was</w:t>
      </w:r>
      <w:r w:rsidRPr="007531E3">
        <w:t xml:space="preserve"> made available for consultation alongside the draft STPR2</w:t>
      </w:r>
      <w:r w:rsidR="004F1FAD" w:rsidRPr="007531E3">
        <w:t>.</w:t>
      </w:r>
      <w:r w:rsidRPr="007531E3">
        <w:t xml:space="preserve"> </w:t>
      </w:r>
    </w:p>
    <w:p w14:paraId="5AC4F2A6" w14:textId="5DFAE387" w:rsidR="000C6958" w:rsidRPr="007531E3" w:rsidRDefault="000C6958" w:rsidP="00D93256">
      <w:pPr>
        <w:pStyle w:val="STPR2BulletsLevel1"/>
      </w:pPr>
      <w:r w:rsidRPr="007531E3">
        <w:t>Final Environmental Report (</w:t>
      </w:r>
      <w:r w:rsidR="005C2761">
        <w:t>this report</w:t>
      </w:r>
      <w:r w:rsidR="00B37EBA">
        <w:t xml:space="preserve">): </w:t>
      </w:r>
      <w:r w:rsidRPr="007531E3">
        <w:t xml:space="preserve">that responds to SEA consultation comments and any post-consultation updates to </w:t>
      </w:r>
      <w:r w:rsidR="007D073A">
        <w:t xml:space="preserve">the </w:t>
      </w:r>
      <w:r w:rsidRPr="007531E3">
        <w:t>STPR2</w:t>
      </w:r>
      <w:r w:rsidR="004F1FAD" w:rsidRPr="007531E3">
        <w:t>.</w:t>
      </w:r>
    </w:p>
    <w:p w14:paraId="509DA4AB" w14:textId="7922BBDA" w:rsidR="000C6958" w:rsidRPr="007531E3" w:rsidRDefault="000C6958" w:rsidP="00D93256">
      <w:pPr>
        <w:pStyle w:val="STPR2BulletsLevel1"/>
      </w:pPr>
      <w:r w:rsidRPr="007531E3">
        <w:t>Post-adoption Statement</w:t>
      </w:r>
      <w:r w:rsidR="004F1FAD" w:rsidRPr="007531E3">
        <w:t>.</w:t>
      </w:r>
      <w:r w:rsidRPr="007531E3">
        <w:t xml:space="preserve"> This statement will be </w:t>
      </w:r>
      <w:r w:rsidR="00C63183">
        <w:t>published in early</w:t>
      </w:r>
      <w:r w:rsidR="00F37F52">
        <w:t>-</w:t>
      </w:r>
      <w:r w:rsidR="00C63183">
        <w:t>2023</w:t>
      </w:r>
      <w:r w:rsidRPr="007531E3">
        <w:t xml:space="preserve">. It will outline how the assessment and consultation responses have been taken into account within the finalised STPR2. </w:t>
      </w:r>
    </w:p>
    <w:p w14:paraId="4AC31035" w14:textId="2FF01FE1" w:rsidR="000C6958" w:rsidRPr="00994178" w:rsidRDefault="000C6958" w:rsidP="00D93256">
      <w:pPr>
        <w:pStyle w:val="STPR2BodyText"/>
      </w:pPr>
      <w:r w:rsidRPr="00994178">
        <w:t>The SEA topics</w:t>
      </w:r>
      <w:r w:rsidR="008F05CF" w:rsidRPr="00994178">
        <w:t xml:space="preserve"> listed in the SEA </w:t>
      </w:r>
      <w:r w:rsidRPr="00994178">
        <w:t>Directive</w:t>
      </w:r>
      <w:r w:rsidR="008F05CF" w:rsidRPr="00994178">
        <w:t>,</w:t>
      </w:r>
      <w:r w:rsidRPr="00994178">
        <w:t xml:space="preserve"> to be ‘scoped’ in or out at the SEA scoping stage</w:t>
      </w:r>
      <w:r w:rsidR="00612142">
        <w:t>,</w:t>
      </w:r>
      <w:r w:rsidR="00B16DEE">
        <w:t> </w:t>
      </w:r>
      <w:r w:rsidRPr="00994178">
        <w:t>are:</w:t>
      </w:r>
    </w:p>
    <w:p w14:paraId="61E563CE" w14:textId="77777777" w:rsidR="008B0CC5" w:rsidRDefault="00F906EF" w:rsidP="00D93256">
      <w:pPr>
        <w:pStyle w:val="STPR2BulletsLevel1"/>
      </w:pPr>
      <w:r w:rsidRPr="00F906EF">
        <w:t xml:space="preserve">Climatic factors; </w:t>
      </w:r>
    </w:p>
    <w:p w14:paraId="29D7EEBF" w14:textId="54A179EE" w:rsidR="008B0CC5" w:rsidRPr="008B0CC5" w:rsidRDefault="008B0CC5" w:rsidP="00D93256">
      <w:pPr>
        <w:pStyle w:val="STPR2BulletsLevel1"/>
      </w:pPr>
      <w:r w:rsidRPr="008B0CC5">
        <w:t>Air</w:t>
      </w:r>
      <w:r>
        <w:t xml:space="preserve"> quality</w:t>
      </w:r>
      <w:r w:rsidRPr="008B0CC5">
        <w:t>;</w:t>
      </w:r>
    </w:p>
    <w:p w14:paraId="2F1389BE" w14:textId="77777777" w:rsidR="000C6958" w:rsidRPr="007531E3" w:rsidRDefault="000C6958" w:rsidP="00D93256">
      <w:pPr>
        <w:pStyle w:val="STPR2BulletsLevel1"/>
      </w:pPr>
      <w:r w:rsidRPr="007531E3">
        <w:t>Population and human health;</w:t>
      </w:r>
    </w:p>
    <w:p w14:paraId="35772586" w14:textId="5BA163C1" w:rsidR="00A02744" w:rsidRDefault="00A02744" w:rsidP="00D93256">
      <w:pPr>
        <w:pStyle w:val="STPR2BulletsLevel1"/>
      </w:pPr>
      <w:r>
        <w:t xml:space="preserve">Material </w:t>
      </w:r>
      <w:r w:rsidR="004A385F">
        <w:t>a</w:t>
      </w:r>
      <w:r>
        <w:t>ssets</w:t>
      </w:r>
    </w:p>
    <w:p w14:paraId="2750B8DC" w14:textId="23217A87" w:rsidR="00A02744" w:rsidRDefault="00A02744" w:rsidP="00D93256">
      <w:pPr>
        <w:pStyle w:val="STPR2BulletsLevel1"/>
      </w:pPr>
      <w:r>
        <w:t xml:space="preserve">Water </w:t>
      </w:r>
      <w:r w:rsidR="004A385F">
        <w:t>e</w:t>
      </w:r>
      <w:r>
        <w:t>nvironment;</w:t>
      </w:r>
    </w:p>
    <w:p w14:paraId="424EC1DC" w14:textId="37A0F8D7" w:rsidR="00A02744" w:rsidRPr="00A02744" w:rsidRDefault="00A02744" w:rsidP="00D93256">
      <w:pPr>
        <w:pStyle w:val="STPR2BulletsLevel1"/>
      </w:pPr>
      <w:r w:rsidRPr="00A02744">
        <w:t>Biodiversity, fauna and flora;</w:t>
      </w:r>
    </w:p>
    <w:p w14:paraId="1B98177E" w14:textId="2ED3FAD8" w:rsidR="000C6958" w:rsidRPr="007531E3" w:rsidRDefault="00A02744" w:rsidP="00D93256">
      <w:pPr>
        <w:pStyle w:val="STPR2BulletsLevel1"/>
      </w:pPr>
      <w:r>
        <w:t>S</w:t>
      </w:r>
      <w:r w:rsidR="000C6958" w:rsidRPr="007531E3">
        <w:t>oil;</w:t>
      </w:r>
    </w:p>
    <w:p w14:paraId="62EA876C" w14:textId="2089A3DB" w:rsidR="00A02744" w:rsidRDefault="000C6958" w:rsidP="00D93256">
      <w:pPr>
        <w:pStyle w:val="STPR2BulletsLevel1"/>
      </w:pPr>
      <w:r w:rsidRPr="007531E3">
        <w:t>Cultural heritage</w:t>
      </w:r>
      <w:r w:rsidR="00A02744">
        <w:t xml:space="preserve">; </w:t>
      </w:r>
    </w:p>
    <w:p w14:paraId="2973C9E8" w14:textId="419D6389" w:rsidR="000C6958" w:rsidRPr="007531E3" w:rsidRDefault="00A02744" w:rsidP="00D93256">
      <w:pPr>
        <w:pStyle w:val="STPR2BulletsLevel1"/>
      </w:pPr>
      <w:r>
        <w:t>L</w:t>
      </w:r>
      <w:r w:rsidR="000C6958" w:rsidRPr="007531E3">
        <w:t>andscape</w:t>
      </w:r>
      <w:r w:rsidR="00612142">
        <w:t xml:space="preserve"> and visual amenity</w:t>
      </w:r>
      <w:r w:rsidR="000C6958" w:rsidRPr="007531E3">
        <w:t>.</w:t>
      </w:r>
    </w:p>
    <w:p w14:paraId="5A158047" w14:textId="2385021D" w:rsidR="000C6958" w:rsidRPr="0064161D" w:rsidRDefault="000C6958" w:rsidP="00D93256">
      <w:pPr>
        <w:pStyle w:val="STPR2BodyText"/>
      </w:pPr>
      <w:r w:rsidRPr="0064161D">
        <w:t xml:space="preserve">The SEA topics and sub-topics that </w:t>
      </w:r>
      <w:r w:rsidR="006520B7">
        <w:t>we</w:t>
      </w:r>
      <w:r w:rsidRPr="0064161D">
        <w:t xml:space="preserve">re scoped into the SEA </w:t>
      </w:r>
      <w:r w:rsidR="006520B7">
        <w:t>we</w:t>
      </w:r>
      <w:r w:rsidRPr="0064161D">
        <w:t xml:space="preserve">re used for the assessment of </w:t>
      </w:r>
      <w:r w:rsidR="001E6515">
        <w:t xml:space="preserve">the </w:t>
      </w:r>
      <w:r w:rsidRPr="0064161D">
        <w:t>STPR2 at th</w:t>
      </w:r>
      <w:r w:rsidR="002D52E6">
        <w:t>e</w:t>
      </w:r>
      <w:r w:rsidRPr="0064161D">
        <w:t xml:space="preserve"> </w:t>
      </w:r>
      <w:r w:rsidR="00945906">
        <w:t xml:space="preserve">Draft </w:t>
      </w:r>
      <w:r w:rsidRPr="0064161D">
        <w:t xml:space="preserve">Environmental Report </w:t>
      </w:r>
      <w:r w:rsidR="00DE480D">
        <w:t>(</w:t>
      </w:r>
      <w:r w:rsidR="00DE480D" w:rsidRPr="00DE480D">
        <w:t xml:space="preserve">Jacobs </w:t>
      </w:r>
      <w:r w:rsidR="007F59CB">
        <w:t>AECOM</w:t>
      </w:r>
      <w:r w:rsidR="00DE480D">
        <w:t xml:space="preserve">, </w:t>
      </w:r>
      <w:r w:rsidR="00DE480D" w:rsidRPr="00DE480D">
        <w:t>20</w:t>
      </w:r>
      <w:r w:rsidR="00DE480D">
        <w:t>22d</w:t>
      </w:r>
      <w:r w:rsidR="00DE480D" w:rsidRPr="00DE480D">
        <w:t xml:space="preserve">) </w:t>
      </w:r>
      <w:r w:rsidRPr="0064161D">
        <w:t xml:space="preserve">stage. All of these topics have been scoped in and the baseline that has been collected and summarised in </w:t>
      </w:r>
      <w:r w:rsidR="00CA60E6" w:rsidRPr="00C47ED2">
        <w:rPr>
          <w:b/>
          <w:bCs/>
        </w:rPr>
        <w:t xml:space="preserve">Chapter </w:t>
      </w:r>
      <w:r w:rsidR="00330AC7">
        <w:rPr>
          <w:b/>
          <w:bCs/>
        </w:rPr>
        <w:fldChar w:fldCharType="begin"/>
      </w:r>
      <w:r w:rsidR="00330AC7">
        <w:rPr>
          <w:b/>
          <w:bCs/>
        </w:rPr>
        <w:instrText xml:space="preserve"> REF _Ref90565433 \r \h </w:instrText>
      </w:r>
      <w:r w:rsidR="00330AC7">
        <w:rPr>
          <w:b/>
          <w:bCs/>
        </w:rPr>
      </w:r>
      <w:r w:rsidR="00330AC7">
        <w:rPr>
          <w:b/>
          <w:bCs/>
        </w:rPr>
        <w:fldChar w:fldCharType="separate"/>
      </w:r>
      <w:r w:rsidR="00C22A9E">
        <w:rPr>
          <w:b/>
          <w:bCs/>
        </w:rPr>
        <w:t>4</w:t>
      </w:r>
      <w:r w:rsidR="00330AC7">
        <w:rPr>
          <w:b/>
          <w:bCs/>
        </w:rPr>
        <w:fldChar w:fldCharType="end"/>
      </w:r>
      <w:r w:rsidR="00C2095D">
        <w:rPr>
          <w:b/>
          <w:bCs/>
        </w:rPr>
        <w:t xml:space="preserve"> (Baseline Summary)</w:t>
      </w:r>
      <w:r w:rsidRPr="0064161D">
        <w:t xml:space="preserve"> has been used to develop targeted SEA objectives to </w:t>
      </w:r>
      <w:r w:rsidR="007E41B8">
        <w:t>undertake</w:t>
      </w:r>
      <w:r w:rsidRPr="0064161D">
        <w:t xml:space="preserve"> the assessment. These SEA objectives are provided in </w:t>
      </w:r>
      <w:r w:rsidR="00CA60E6" w:rsidRPr="00C47ED2">
        <w:rPr>
          <w:b/>
          <w:bCs/>
        </w:rPr>
        <w:t xml:space="preserve">Chapter </w:t>
      </w:r>
      <w:r w:rsidR="00F7143F">
        <w:rPr>
          <w:b/>
          <w:bCs/>
        </w:rPr>
        <w:fldChar w:fldCharType="begin"/>
      </w:r>
      <w:r w:rsidR="00F7143F">
        <w:rPr>
          <w:b/>
          <w:bCs/>
        </w:rPr>
        <w:instrText xml:space="preserve"> REF _Ref90564550 \r \h </w:instrText>
      </w:r>
      <w:r w:rsidR="00F7143F">
        <w:rPr>
          <w:b/>
          <w:bCs/>
        </w:rPr>
      </w:r>
      <w:r w:rsidR="00F7143F">
        <w:rPr>
          <w:b/>
          <w:bCs/>
        </w:rPr>
        <w:fldChar w:fldCharType="separate"/>
      </w:r>
      <w:r w:rsidR="00C22A9E">
        <w:rPr>
          <w:b/>
          <w:bCs/>
        </w:rPr>
        <w:t>7</w:t>
      </w:r>
      <w:r w:rsidR="00F7143F">
        <w:rPr>
          <w:b/>
          <w:bCs/>
        </w:rPr>
        <w:fldChar w:fldCharType="end"/>
      </w:r>
      <w:r w:rsidR="00C2095D">
        <w:rPr>
          <w:b/>
          <w:bCs/>
        </w:rPr>
        <w:t xml:space="preserve"> (The Approach to the Assessment)</w:t>
      </w:r>
      <w:r w:rsidR="00C47ED2">
        <w:t>.</w:t>
      </w:r>
    </w:p>
    <w:p w14:paraId="31D8C16D" w14:textId="7447EDA7" w:rsidR="000C6958" w:rsidRPr="00077158" w:rsidRDefault="000C6958" w:rsidP="00D93256">
      <w:pPr>
        <w:pStyle w:val="STPR2BodyText"/>
      </w:pPr>
      <w:r>
        <w:t xml:space="preserve">The SEA </w:t>
      </w:r>
      <w:r w:rsidR="00B7557C">
        <w:t>has been</w:t>
      </w:r>
      <w:r>
        <w:t xml:space="preserve"> developed to incorporate the feedback from </w:t>
      </w:r>
      <w:r w:rsidRPr="00077158">
        <w:t>statutory Consultation Authorities</w:t>
      </w:r>
      <w:r>
        <w:t>.</w:t>
      </w:r>
      <w:r w:rsidRPr="00077158">
        <w:t xml:space="preserve"> The Scottish statutory Consultation Authorities are:</w:t>
      </w:r>
    </w:p>
    <w:p w14:paraId="63813535" w14:textId="386670E2" w:rsidR="000C6958" w:rsidRPr="009E6090" w:rsidRDefault="000C6958" w:rsidP="00D93256">
      <w:pPr>
        <w:pStyle w:val="STPR2BulletsLevel1"/>
      </w:pPr>
      <w:r w:rsidRPr="009E6090">
        <w:t>Scottish Environment Protection Agency (SEPA);</w:t>
      </w:r>
    </w:p>
    <w:p w14:paraId="6EE31E73" w14:textId="5B5FDB47" w:rsidR="000C6958" w:rsidRPr="009E6090" w:rsidRDefault="000C6958" w:rsidP="00D93256">
      <w:pPr>
        <w:pStyle w:val="STPR2BulletsLevel1"/>
      </w:pPr>
      <w:r w:rsidRPr="009E6090">
        <w:t xml:space="preserve">NatureScot; </w:t>
      </w:r>
    </w:p>
    <w:p w14:paraId="1A1406B5" w14:textId="77777777" w:rsidR="000C6958" w:rsidRPr="009E6090" w:rsidRDefault="000C6958" w:rsidP="00D93256">
      <w:pPr>
        <w:pStyle w:val="STPR2BulletsLevel1"/>
      </w:pPr>
      <w:r w:rsidRPr="009E6090">
        <w:lastRenderedPageBreak/>
        <w:t>Historic Environment Scotland (HES).</w:t>
      </w:r>
    </w:p>
    <w:p w14:paraId="0D521B02" w14:textId="62BC4508" w:rsidR="000C6958" w:rsidRPr="00077158" w:rsidRDefault="000C6958" w:rsidP="00D93256">
      <w:pPr>
        <w:pStyle w:val="STPR2BodyText"/>
      </w:pPr>
      <w:r w:rsidRPr="001F2222">
        <w:t xml:space="preserve">The role of the </w:t>
      </w:r>
      <w:r w:rsidR="007B62AF">
        <w:t xml:space="preserve">statutory </w:t>
      </w:r>
      <w:r w:rsidRPr="001F2222">
        <w:t>Consultation Authorities within SEA is to bring their individual</w:t>
      </w:r>
      <w:r>
        <w:t xml:space="preserve"> </w:t>
      </w:r>
      <w:r w:rsidRPr="001F2222">
        <w:t>environmental expertise to the assessment process. This can help to ensure that the future</w:t>
      </w:r>
      <w:r>
        <w:t xml:space="preserve"> </w:t>
      </w:r>
      <w:r w:rsidRPr="001F2222">
        <w:t>consultation process undertaken by a Responsible Authority</w:t>
      </w:r>
      <w:r>
        <w:t xml:space="preserve"> (in this case Transport Scotland)</w:t>
      </w:r>
      <w:r w:rsidRPr="001F2222">
        <w:t xml:space="preserve"> is more robust. This in turn means</w:t>
      </w:r>
      <w:r>
        <w:t xml:space="preserve"> </w:t>
      </w:r>
      <w:r w:rsidRPr="001F2222">
        <w:t>that the public can gain a better understanding of the likely effect of a plan on the environment</w:t>
      </w:r>
      <w:r>
        <w:t xml:space="preserve"> </w:t>
      </w:r>
      <w:r w:rsidRPr="001F2222">
        <w:t>and meaningfully contribute to the plan’s preparation process by offering an informed view</w:t>
      </w:r>
      <w:r>
        <w:t xml:space="preserve"> </w:t>
      </w:r>
      <w:r w:rsidR="00BE16F1">
        <w:t>(</w:t>
      </w:r>
      <w:r>
        <w:t>Scottish Government,</w:t>
      </w:r>
      <w:r w:rsidR="005E2B6E">
        <w:t> </w:t>
      </w:r>
      <w:r>
        <w:t>2013</w:t>
      </w:r>
      <w:r w:rsidR="008F1676">
        <w:t>)</w:t>
      </w:r>
      <w:r w:rsidR="004400D8">
        <w:t>.</w:t>
      </w:r>
      <w:r>
        <w:t xml:space="preserve"> </w:t>
      </w:r>
    </w:p>
    <w:p w14:paraId="21E2D99F" w14:textId="31D0B525" w:rsidR="000C6958" w:rsidRPr="00AA6D9E" w:rsidRDefault="000C6958" w:rsidP="00775A5E">
      <w:pPr>
        <w:pStyle w:val="Heading2"/>
      </w:pPr>
      <w:bookmarkStart w:id="51" w:name="_Toc81993570"/>
      <w:bookmarkStart w:id="52" w:name="_Ref90046937"/>
      <w:bookmarkStart w:id="53" w:name="_Toc121339083"/>
      <w:r w:rsidRPr="00AA6D9E">
        <w:t>Integrated Assessments</w:t>
      </w:r>
      <w:bookmarkEnd w:id="51"/>
      <w:bookmarkEnd w:id="52"/>
      <w:bookmarkEnd w:id="53"/>
    </w:p>
    <w:p w14:paraId="05B25472" w14:textId="4F095C40" w:rsidR="000C6958" w:rsidRDefault="001E6515" w:rsidP="00D93256">
      <w:pPr>
        <w:pStyle w:val="STPR2BodyText"/>
      </w:pPr>
      <w:r>
        <w:t xml:space="preserve">The </w:t>
      </w:r>
      <w:r w:rsidR="000C6958" w:rsidRPr="008577BB">
        <w:t xml:space="preserve">STPR2 is accompanied by various assessments that are </w:t>
      </w:r>
      <w:r w:rsidR="00711E38" w:rsidRPr="008577BB">
        <w:t xml:space="preserve">required and </w:t>
      </w:r>
      <w:r w:rsidR="000C6958" w:rsidRPr="008577BB">
        <w:t xml:space="preserve">integrated into each stage of STPR2 </w:t>
      </w:r>
      <w:r w:rsidR="008B7D43" w:rsidRPr="008B7D43">
        <w:t xml:space="preserve">Scottish Transport Appraisal Guidance </w:t>
      </w:r>
      <w:r w:rsidR="008B7D43">
        <w:t>(</w:t>
      </w:r>
      <w:r w:rsidR="000B0589" w:rsidRPr="008577BB">
        <w:t>STAG</w:t>
      </w:r>
      <w:r w:rsidR="000D0AC8">
        <w:t>)</w:t>
      </w:r>
      <w:r w:rsidR="000B0589" w:rsidRPr="008577BB">
        <w:t xml:space="preserve"> </w:t>
      </w:r>
      <w:r w:rsidR="00237FF4" w:rsidRPr="008577BB">
        <w:t>assessment</w:t>
      </w:r>
      <w:r w:rsidR="00235C0B">
        <w:t xml:space="preserve">, as described in </w:t>
      </w:r>
      <w:r w:rsidR="00235C0B" w:rsidRPr="000D0AC8">
        <w:rPr>
          <w:b/>
          <w:bCs/>
        </w:rPr>
        <w:t>Chapter 2: STPR2 Overview</w:t>
      </w:r>
      <w:r w:rsidR="00EC4331" w:rsidRPr="008577BB">
        <w:t>.</w:t>
      </w:r>
      <w:r w:rsidR="00237FF4" w:rsidRPr="008577BB">
        <w:t xml:space="preserve"> </w:t>
      </w:r>
      <w:r w:rsidR="000C6958" w:rsidRPr="008577BB">
        <w:t>These</w:t>
      </w:r>
      <w:r w:rsidR="000D0AC8">
        <w:t xml:space="preserve"> assessments</w:t>
      </w:r>
      <w:r w:rsidR="000C6958" w:rsidRPr="008577BB">
        <w:t xml:space="preserve"> comprise </w:t>
      </w:r>
      <w:r w:rsidR="000C6958" w:rsidRPr="008577BB" w:rsidDel="001865B7">
        <w:t>this SEA</w:t>
      </w:r>
      <w:r w:rsidR="000C6958" w:rsidRPr="008577BB">
        <w:t xml:space="preserve">, an Equality Impact Assessment (EqIA) and various </w:t>
      </w:r>
      <w:r w:rsidR="00E01C0D" w:rsidRPr="008577BB">
        <w:t xml:space="preserve">other </w:t>
      </w:r>
      <w:r w:rsidR="000C6958" w:rsidRPr="008577BB">
        <w:t>related assessments</w:t>
      </w:r>
      <w:r w:rsidR="00805421">
        <w:t>, as shown in Figure 1</w:t>
      </w:r>
      <w:r w:rsidR="000C6958" w:rsidRPr="008577BB">
        <w:t xml:space="preserve">. These impact assessments interact with each other, complement each other and ensure </w:t>
      </w:r>
      <w:r>
        <w:t xml:space="preserve">the </w:t>
      </w:r>
      <w:r w:rsidR="000C6958" w:rsidRPr="008577BB">
        <w:t xml:space="preserve">STPR2 is environmentally sustainable and socially equitable. They share baseline data wherever possible. </w:t>
      </w:r>
      <w:r w:rsidR="009D5139">
        <w:fldChar w:fldCharType="begin"/>
      </w:r>
      <w:r w:rsidR="009D5139">
        <w:instrText xml:space="preserve"> REF _Ref93387506 \h </w:instrText>
      </w:r>
      <w:r w:rsidR="009D5139">
        <w:fldChar w:fldCharType="separate"/>
      </w:r>
      <w:r w:rsidR="00C22A9E">
        <w:t xml:space="preserve">Figure </w:t>
      </w:r>
      <w:r w:rsidR="00C22A9E">
        <w:rPr>
          <w:noProof/>
        </w:rPr>
        <w:t>1</w:t>
      </w:r>
      <w:r w:rsidR="009D5139">
        <w:fldChar w:fldCharType="end"/>
      </w:r>
      <w:r w:rsidR="009D5139">
        <w:t xml:space="preserve"> </w:t>
      </w:r>
      <w:r w:rsidR="000C6958" w:rsidRPr="008577BB">
        <w:t xml:space="preserve">shows the impact assessments required for </w:t>
      </w:r>
      <w:r w:rsidR="00B114A6">
        <w:t xml:space="preserve">the </w:t>
      </w:r>
      <w:r w:rsidR="000C6958" w:rsidRPr="008577BB">
        <w:t>STPR2</w:t>
      </w:r>
      <w:r w:rsidR="00712D63" w:rsidRPr="008577BB">
        <w:t xml:space="preserve"> and the relationshi</w:t>
      </w:r>
      <w:r w:rsidR="00463E59" w:rsidRPr="008577BB">
        <w:t>p</w:t>
      </w:r>
      <w:r w:rsidR="00B71232" w:rsidRPr="008577BB">
        <w:t>s</w:t>
      </w:r>
      <w:r w:rsidR="00463E59" w:rsidRPr="008577BB">
        <w:t xml:space="preserve"> between these</w:t>
      </w:r>
      <w:r w:rsidR="005E2B6E">
        <w:t> </w:t>
      </w:r>
      <w:r w:rsidR="00463E59" w:rsidRPr="008577BB">
        <w:t>assessments.</w:t>
      </w:r>
    </w:p>
    <w:p w14:paraId="15CAAAC5" w14:textId="111DB036" w:rsidR="00FE05C9" w:rsidRDefault="00DB2EA5" w:rsidP="00FE05C9">
      <w:pPr>
        <w:keepNext/>
        <w:spacing w:after="120"/>
      </w:pPr>
      <w:r>
        <w:rPr>
          <w:noProof/>
        </w:rPr>
        <w:drawing>
          <wp:inline distT="0" distB="0" distL="0" distR="0" wp14:anchorId="09A8D30C" wp14:editId="2267B8FB">
            <wp:extent cx="3924733" cy="1875554"/>
            <wp:effectExtent l="0" t="0" r="0" b="0"/>
            <wp:docPr id="893550784" name="Picture 893550784" descr="Figure showing the impact assessments that have been undertaken for STPR2. These comprise a Strategic Environmental Assessment, a Habitats Regulations Appraisal and four Social and Equalities Assessments. These  Social and Equalities Assessments comprise an Equality Impact Assessment, a Child Rights and Wellbeing Impact Assessment, an Island Communities Impact Assessment and a Fairer Scotland Duty Assessment. All of these impact assessments feed into the Scottish Transport Appraisal Guidance (STAG)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784" name="Picture 893550784" descr="Figure showing the impact assessments that have been undertaken for STPR2. These comprise a Strategic Environmental Assessment, a Habitats Regulations Appraisal and four Social and Equalities Assessments. These  Social and Equalities Assessments comprise an Equality Impact Assessment, a Child Rights and Wellbeing Impact Assessment, an Island Communities Impact Assessment and a Fairer Scotland Duty Assessment. All of these impact assessments feed into the Scottish Transport Appraisal Guidance (STAG) assessment."/>
                    <pic:cNvPicPr>
                      <a:picLocks noChangeAspect="1" noChangeArrowheads="1"/>
                    </pic:cNvPicPr>
                  </pic:nvPicPr>
                  <pic:blipFill>
                    <a:blip r:embed="rId18"/>
                    <a:stretch>
                      <a:fillRect/>
                    </a:stretch>
                  </pic:blipFill>
                  <pic:spPr bwMode="auto">
                    <a:xfrm>
                      <a:off x="0" y="0"/>
                      <a:ext cx="3924733" cy="1875554"/>
                    </a:xfrm>
                    <a:prstGeom prst="rect">
                      <a:avLst/>
                    </a:prstGeom>
                    <a:noFill/>
                    <a:ln>
                      <a:noFill/>
                    </a:ln>
                  </pic:spPr>
                </pic:pic>
              </a:graphicData>
            </a:graphic>
          </wp:inline>
        </w:drawing>
      </w:r>
    </w:p>
    <w:p w14:paraId="360A5658" w14:textId="4CFF2DAD" w:rsidR="00C70FCF" w:rsidRPr="008577BB" w:rsidRDefault="00C70FCF" w:rsidP="00D93256">
      <w:pPr>
        <w:pStyle w:val="STPR2CaptionFigures"/>
      </w:pPr>
      <w:bookmarkStart w:id="54" w:name="_Ref93387506"/>
      <w:bookmarkStart w:id="55" w:name="_Toc121231965"/>
      <w:r>
        <w:t xml:space="preserve">Figure </w:t>
      </w:r>
      <w:r>
        <w:fldChar w:fldCharType="begin"/>
      </w:r>
      <w:r>
        <w:instrText>SEQ Figure \* ARABIC</w:instrText>
      </w:r>
      <w:r>
        <w:fldChar w:fldCharType="separate"/>
      </w:r>
      <w:r w:rsidR="00C22A9E">
        <w:rPr>
          <w:noProof/>
        </w:rPr>
        <w:t>1</w:t>
      </w:r>
      <w:r>
        <w:fldChar w:fldCharType="end"/>
      </w:r>
      <w:bookmarkEnd w:id="54"/>
      <w:r>
        <w:t xml:space="preserve">: </w:t>
      </w:r>
      <w:r w:rsidRPr="00107602">
        <w:t xml:space="preserve">Relationship between the </w:t>
      </w:r>
      <w:r w:rsidR="00907F12">
        <w:t>Impact Assessments</w:t>
      </w:r>
      <w:r w:rsidR="0095453A">
        <w:t xml:space="preserve"> </w:t>
      </w:r>
      <w:r w:rsidR="004D525E">
        <w:t>and STAG</w:t>
      </w:r>
      <w:bookmarkEnd w:id="55"/>
      <w:r w:rsidR="004D525E">
        <w:t xml:space="preserve"> </w:t>
      </w:r>
    </w:p>
    <w:p w14:paraId="4EFF1CFB" w14:textId="42EC5502" w:rsidR="000C6958" w:rsidRPr="00154EA7" w:rsidRDefault="000C6958" w:rsidP="00115E65">
      <w:pPr>
        <w:pStyle w:val="STPR2Heading3"/>
      </w:pPr>
      <w:bookmarkStart w:id="56" w:name="_Toc121339084"/>
      <w:r w:rsidRPr="00154EA7">
        <w:t xml:space="preserve">Equality Impact </w:t>
      </w:r>
      <w:r w:rsidRPr="00B71FAC">
        <w:t>Assessment</w:t>
      </w:r>
      <w:bookmarkEnd w:id="56"/>
    </w:p>
    <w:p w14:paraId="35B50DAA" w14:textId="0059973E" w:rsidR="00440F13" w:rsidRDefault="000C6958" w:rsidP="00D93256">
      <w:pPr>
        <w:pStyle w:val="STPR2BodyText"/>
      </w:pPr>
      <w:r w:rsidRPr="001D6990">
        <w:t>As a public body, Transport Scotland has a legal duty when creating new plans and policies to pay due regard to the Public Sector Equality Duty (PSED)</w:t>
      </w:r>
      <w:r w:rsidR="00A369E0">
        <w:t>,</w:t>
      </w:r>
      <w:r w:rsidRPr="001D6990">
        <w:t xml:space="preserve"> included within the Equality Act 2010. The PSED aims to eliminate unlawful </w:t>
      </w:r>
      <w:r w:rsidRPr="004B3264">
        <w:t>discrimination</w:t>
      </w:r>
      <w:r w:rsidRPr="001D6990">
        <w:t>, promote equality and cohesion between different groups and advance equality of opportunity. The Equality Act 2010 (Authorities subject to the Socio-economic Inequality Duty) (Scotland) Regulations 2018 (more commonly known as the ‘Fairer Scotland Duty’), places a further legal responsibility on Transport Scotland to actively consider how it can reduce inequalities of outcome caused by socio-economic disadvantage when making strategic</w:t>
      </w:r>
      <w:r w:rsidR="005366FB">
        <w:t> </w:t>
      </w:r>
      <w:r w:rsidRPr="001D6990">
        <w:t>decisions.</w:t>
      </w:r>
    </w:p>
    <w:p w14:paraId="2C07BA07" w14:textId="56DF8471" w:rsidR="000C6958" w:rsidRPr="001D6990" w:rsidRDefault="000C6958" w:rsidP="00D93256">
      <w:pPr>
        <w:pStyle w:val="STPR2BodyText"/>
      </w:pPr>
      <w:r w:rsidRPr="001D6990">
        <w:t>Transport Scotland is</w:t>
      </w:r>
      <w:r w:rsidR="0032147B">
        <w:t xml:space="preserve"> also</w:t>
      </w:r>
      <w:r w:rsidRPr="001D6990">
        <w:t xml:space="preserve"> required to consider the impact of proposals on island communities (Islands (Scotland) Act (2018)) and take account of children’s rights and wellbeing (Children and Young People (Scotland) Act (2014)), which are therefore both considered within the wider impact assessment process. </w:t>
      </w:r>
    </w:p>
    <w:p w14:paraId="3F786726" w14:textId="29E0ACF4" w:rsidR="000C6958" w:rsidRDefault="000C6958" w:rsidP="00D93256">
      <w:pPr>
        <w:pStyle w:val="STPR2BodyText"/>
      </w:pPr>
      <w:r w:rsidRPr="00EA193E">
        <w:t>For the purposes of assessment</w:t>
      </w:r>
      <w:r>
        <w:t xml:space="preserve">, </w:t>
      </w:r>
      <w:r w:rsidRPr="00EA193E">
        <w:t>the term</w:t>
      </w:r>
      <w:r>
        <w:t xml:space="preserve"> </w:t>
      </w:r>
      <w:r w:rsidRPr="00EA193E">
        <w:t>EqIA encompasses all of the</w:t>
      </w:r>
      <w:r w:rsidR="00F93AA1">
        <w:t>se</w:t>
      </w:r>
      <w:r w:rsidRPr="00EA193E">
        <w:t xml:space="preserve"> statutory requirements.</w:t>
      </w:r>
      <w:r w:rsidRPr="00EA193E" w:rsidDel="006D14BE">
        <w:t xml:space="preserve"> </w:t>
      </w:r>
      <w:r w:rsidRPr="00EA193E">
        <w:t>The Eq</w:t>
      </w:r>
      <w:r>
        <w:t>I</w:t>
      </w:r>
      <w:r w:rsidRPr="00EA193E">
        <w:t xml:space="preserve">A </w:t>
      </w:r>
      <w:r w:rsidR="00416A0F">
        <w:t xml:space="preserve">(Jacobs </w:t>
      </w:r>
      <w:r w:rsidR="007F59CB">
        <w:t>AECOM</w:t>
      </w:r>
      <w:r w:rsidR="002830DB">
        <w:t>, 2022</w:t>
      </w:r>
      <w:r w:rsidR="0067665C">
        <w:t>a</w:t>
      </w:r>
      <w:r w:rsidR="002830DB">
        <w:t>)</w:t>
      </w:r>
      <w:r w:rsidRPr="00EA193E">
        <w:t xml:space="preserve"> therefore include</w:t>
      </w:r>
      <w:r>
        <w:t>s</w:t>
      </w:r>
      <w:r w:rsidRPr="00EA193E">
        <w:t xml:space="preserve"> the </w:t>
      </w:r>
      <w:r w:rsidR="00540819">
        <w:t>national</w:t>
      </w:r>
      <w:r w:rsidRPr="00EA193E">
        <w:t xml:space="preserve"> Equalities </w:t>
      </w:r>
      <w:r w:rsidR="00540819">
        <w:t>Impact</w:t>
      </w:r>
      <w:r w:rsidRPr="00EA193E">
        <w:t xml:space="preserve"> Assessment</w:t>
      </w:r>
      <w:r w:rsidR="002F37CC">
        <w:t>,</w:t>
      </w:r>
      <w:r w:rsidRPr="00EA193E">
        <w:t xml:space="preserve"> the Children’s Rights and Wellbeing Impact Assessment </w:t>
      </w:r>
      <w:r w:rsidRPr="00EA193E">
        <w:lastRenderedPageBreak/>
        <w:t xml:space="preserve">(CRWIA), Island Communities Impact Assessment (ICIA) and Fairer Scotland Duty Assessment (FSDA). </w:t>
      </w:r>
    </w:p>
    <w:p w14:paraId="0919F706" w14:textId="667E3C75" w:rsidR="000C6958" w:rsidRPr="001D6990" w:rsidRDefault="000C6958" w:rsidP="00D93256">
      <w:pPr>
        <w:pStyle w:val="STPR2BodyText"/>
      </w:pPr>
      <w:r w:rsidRPr="001D6990">
        <w:t>This</w:t>
      </w:r>
      <w:r w:rsidR="0018782D">
        <w:t xml:space="preserve"> Final</w:t>
      </w:r>
      <w:r>
        <w:t xml:space="preserve"> SEA</w:t>
      </w:r>
      <w:r w:rsidRPr="001D6990">
        <w:t xml:space="preserve"> </w:t>
      </w:r>
      <w:r>
        <w:t>Environmental</w:t>
      </w:r>
      <w:r w:rsidRPr="001D6990">
        <w:t xml:space="preserve"> </w:t>
      </w:r>
      <w:r>
        <w:t>R</w:t>
      </w:r>
      <w:r w:rsidRPr="001D6990">
        <w:t xml:space="preserve">eport should be read in conjunction with the </w:t>
      </w:r>
      <w:r w:rsidRPr="002924A2">
        <w:t>EqIA Report</w:t>
      </w:r>
      <w:r w:rsidR="007344F4" w:rsidRPr="002924A2">
        <w:t>s listed above</w:t>
      </w:r>
      <w:r w:rsidRPr="001D6990">
        <w:t>, particularly in relation to the cross-cutting themes of transport, economy and employment, health, housing, population and human health</w:t>
      </w:r>
      <w:r>
        <w:t>. The EqIA Report</w:t>
      </w:r>
      <w:r w:rsidR="005073D7">
        <w:t>s</w:t>
      </w:r>
      <w:r>
        <w:t xml:space="preserve"> will be issued to</w:t>
      </w:r>
      <w:r w:rsidRPr="001D6990">
        <w:t xml:space="preserve"> the </w:t>
      </w:r>
      <w:r w:rsidR="005F4A23">
        <w:t xml:space="preserve">SEA </w:t>
      </w:r>
      <w:r w:rsidRPr="001D6990">
        <w:t xml:space="preserve">statutory </w:t>
      </w:r>
      <w:r w:rsidR="005F4A23" w:rsidRPr="005F4A23">
        <w:t>Consultation Authorities</w:t>
      </w:r>
      <w:r w:rsidRPr="001D6990">
        <w:t xml:space="preserve"> for completeness and transparency, despite this not being a </w:t>
      </w:r>
      <w:r>
        <w:t xml:space="preserve">statutory </w:t>
      </w:r>
      <w:r w:rsidRPr="001D6990">
        <w:t>requirement.</w:t>
      </w:r>
    </w:p>
    <w:p w14:paraId="442648F7" w14:textId="470B2919" w:rsidR="000C6958" w:rsidRPr="00AC74D8" w:rsidRDefault="000C6958" w:rsidP="00B71FAC">
      <w:pPr>
        <w:pStyle w:val="Heading3"/>
      </w:pPr>
      <w:bookmarkStart w:id="57" w:name="_Toc121339085"/>
      <w:r w:rsidRPr="001F2222">
        <w:t>Habitats Regulations Appraisal</w:t>
      </w:r>
      <w:bookmarkEnd w:id="57"/>
    </w:p>
    <w:p w14:paraId="0BCA16E2" w14:textId="4B358BEF" w:rsidR="000C6958" w:rsidRPr="003871E5" w:rsidRDefault="000C6958" w:rsidP="00D93256">
      <w:pPr>
        <w:pStyle w:val="STPR2BodyText"/>
      </w:pPr>
      <w:r w:rsidRPr="003871E5">
        <w:t xml:space="preserve">The purpose of Habitats Regulations Appraisal (HRA) is to determine </w:t>
      </w:r>
      <w:r w:rsidR="00B10273">
        <w:t>any likely significant effects</w:t>
      </w:r>
      <w:r w:rsidRPr="003871E5">
        <w:t xml:space="preserve"> on European Union-designated ‘European sites</w:t>
      </w:r>
      <w:r w:rsidR="0084609B">
        <w:t>.</w:t>
      </w:r>
      <w:r w:rsidRPr="003871E5">
        <w:t>’ These sites include Special Areas of Conservation (SACs) designated under the Habitats Directive (92/43/EEC) and Special Protection Areas (SPAs) designated under the Birds Directive (2009/147/EEC). In addition, Candidate and Possible SACs, Potential SPAs and Ramsar wetlands should also be included in appraisals.</w:t>
      </w:r>
    </w:p>
    <w:p w14:paraId="40F9749D" w14:textId="1A625D45" w:rsidR="008B73C3" w:rsidRDefault="008B73C3" w:rsidP="00D93256">
      <w:pPr>
        <w:pStyle w:val="STPR2BodyText"/>
      </w:pPr>
      <w:r w:rsidRPr="000A0744">
        <w:t xml:space="preserve">European </w:t>
      </w:r>
      <w:r>
        <w:t>sites are designated due to the presence of specific habitats and species of internationally important biodiversity value, otherwise known as ‘qualifying interest</w:t>
      </w:r>
      <w:r w:rsidR="003871E5">
        <w:t> </w:t>
      </w:r>
      <w:r>
        <w:t>features.’</w:t>
      </w:r>
    </w:p>
    <w:p w14:paraId="3CFB7AAF" w14:textId="6F36C686" w:rsidR="008B73C3" w:rsidRDefault="008B73C3" w:rsidP="00D93256">
      <w:pPr>
        <w:pStyle w:val="STPR2BodyText"/>
      </w:pPr>
      <w:r>
        <w:t xml:space="preserve">Each stage in the development of </w:t>
      </w:r>
      <w:r w:rsidR="00B114A6">
        <w:t xml:space="preserve">the </w:t>
      </w:r>
      <w:r>
        <w:t xml:space="preserve">STPR2 </w:t>
      </w:r>
      <w:r w:rsidR="0053261E">
        <w:t>has been</w:t>
      </w:r>
      <w:r>
        <w:t xml:space="preserve"> reviewed to determine any potential indirect or direct </w:t>
      </w:r>
      <w:r w:rsidR="00081167">
        <w:t xml:space="preserve">likely significant </w:t>
      </w:r>
      <w:r w:rsidR="00E04F89">
        <w:t xml:space="preserve">effects </w:t>
      </w:r>
      <w:r>
        <w:t xml:space="preserve">on </w:t>
      </w:r>
      <w:r w:rsidRPr="000A0744">
        <w:t xml:space="preserve">European </w:t>
      </w:r>
      <w:r>
        <w:t xml:space="preserve">sites. </w:t>
      </w:r>
    </w:p>
    <w:p w14:paraId="62DC85D6" w14:textId="78B7868B" w:rsidR="000C6958" w:rsidRDefault="000C6958" w:rsidP="00D93256">
      <w:pPr>
        <w:pStyle w:val="STPR2BodyText"/>
      </w:pPr>
      <w:r>
        <w:t>In Scotland, Regulation 48 of the Conservation (Natural Habitats &amp;c.) Regulations 1994 (as amended)</w:t>
      </w:r>
      <w:r w:rsidR="000B59C0">
        <w:t xml:space="preserve"> requires that </w:t>
      </w:r>
      <w:r w:rsidR="00D92E0D">
        <w:t>competent authorities, in this case Transport Scotland, undertake an HRA of a plan that could potentially have a significant effect on a European</w:t>
      </w:r>
      <w:r w:rsidR="006D1943">
        <w:t> </w:t>
      </w:r>
      <w:r w:rsidR="00D92E0D">
        <w:t>Site</w:t>
      </w:r>
      <w:r w:rsidDel="000B59C0">
        <w:t>.</w:t>
      </w:r>
    </w:p>
    <w:p w14:paraId="2EE2EF22" w14:textId="7B417C7D" w:rsidR="00367687" w:rsidRPr="00367687" w:rsidRDefault="000C6958" w:rsidP="00D93256">
      <w:pPr>
        <w:pStyle w:val="STPR2BodyText"/>
      </w:pPr>
      <w:r>
        <w:t xml:space="preserve">The statutory consultation </w:t>
      </w:r>
      <w:r w:rsidRPr="00F16004">
        <w:t>authority for HRAs in Scotland, NatureScot (for</w:t>
      </w:r>
      <w:r w:rsidRPr="00464C4D">
        <w:t xml:space="preserve">merly SNH), were consulted in September 2019 </w:t>
      </w:r>
      <w:r w:rsidRPr="00D82566">
        <w:t>and have continued to be engaged</w:t>
      </w:r>
      <w:r w:rsidRPr="00F16004">
        <w:t xml:space="preserve"> in</w:t>
      </w:r>
      <w:r>
        <w:t xml:space="preserve"> the HRA process for </w:t>
      </w:r>
      <w:r w:rsidR="0085712E">
        <w:t xml:space="preserve">the </w:t>
      </w:r>
      <w:r>
        <w:t>STPR2.</w:t>
      </w:r>
      <w:r w:rsidR="008B06B7">
        <w:t xml:space="preserve"> For example, the </w:t>
      </w:r>
      <w:r w:rsidR="00464C4D">
        <w:t>methodology and programme</w:t>
      </w:r>
      <w:r w:rsidR="008B06B7">
        <w:t xml:space="preserve"> for the STPR2 HRA was discussed in meetings with NatureScot in </w:t>
      </w:r>
      <w:r w:rsidR="00D82566">
        <w:t xml:space="preserve">November 2020 and </w:t>
      </w:r>
      <w:r w:rsidR="000D5C22">
        <w:t xml:space="preserve">September </w:t>
      </w:r>
      <w:r w:rsidR="008B06B7">
        <w:t xml:space="preserve">2021. </w:t>
      </w:r>
    </w:p>
    <w:p w14:paraId="2A17ACFB" w14:textId="45F222D3" w:rsidR="008B06B7" w:rsidRDefault="008B06B7" w:rsidP="00D93256">
      <w:pPr>
        <w:pStyle w:val="STPR2BodyText"/>
      </w:pPr>
      <w:r w:rsidRPr="00143018">
        <w:t xml:space="preserve">The HRA </w:t>
      </w:r>
      <w:r w:rsidR="00E04F89" w:rsidRPr="00143018">
        <w:t>has been</w:t>
      </w:r>
      <w:r w:rsidR="00464C4D" w:rsidRPr="00143018">
        <w:t xml:space="preserve"> produced concurrently with the SEA but </w:t>
      </w:r>
      <w:r w:rsidR="00E04F89" w:rsidRPr="00143018">
        <w:t>has been</w:t>
      </w:r>
      <w:r w:rsidR="00464C4D" w:rsidRPr="00143018">
        <w:t xml:space="preserve"> delivered as a separate report</w:t>
      </w:r>
      <w:r w:rsidR="00E04F89" w:rsidRPr="00143018">
        <w:t xml:space="preserve"> (Jacobs </w:t>
      </w:r>
      <w:r w:rsidR="007F59CB">
        <w:t>AECOM</w:t>
      </w:r>
      <w:r w:rsidR="00E04F89" w:rsidRPr="00143018">
        <w:t xml:space="preserve"> 2022</w:t>
      </w:r>
      <w:r w:rsidR="00020B35" w:rsidRPr="0083205E">
        <w:t>c</w:t>
      </w:r>
      <w:r w:rsidR="009856D4" w:rsidRPr="00143018">
        <w:t>)</w:t>
      </w:r>
      <w:r w:rsidR="00464C4D" w:rsidRPr="00143018">
        <w:t xml:space="preserve">. </w:t>
      </w:r>
      <w:r w:rsidR="008D7C88">
        <w:t xml:space="preserve">The HRA </w:t>
      </w:r>
      <w:r w:rsidR="008D7C88" w:rsidRPr="008D7C88">
        <w:t>conclu</w:t>
      </w:r>
      <w:r w:rsidR="008D7C88">
        <w:t>ded that</w:t>
      </w:r>
      <w:r w:rsidR="008D7C88" w:rsidRPr="008D7C88">
        <w:t xml:space="preserve"> no likely significant effects </w:t>
      </w:r>
      <w:r w:rsidR="005528D3">
        <w:t>were identified</w:t>
      </w:r>
      <w:r w:rsidR="008D7C88" w:rsidRPr="008D7C88">
        <w:t xml:space="preserve"> due to the intentionally high-level of detail in the </w:t>
      </w:r>
      <w:r w:rsidR="00E13B2E">
        <w:t xml:space="preserve">45 </w:t>
      </w:r>
      <w:r w:rsidR="008D7C88" w:rsidRPr="008D7C88">
        <w:t>STPR2 recommendations</w:t>
      </w:r>
      <w:r w:rsidR="005528D3">
        <w:t>. This</w:t>
      </w:r>
      <w:r w:rsidR="008D7C88" w:rsidRPr="008D7C88">
        <w:t xml:space="preserve"> provid</w:t>
      </w:r>
      <w:r w:rsidR="005528D3">
        <w:t>es</w:t>
      </w:r>
      <w:r w:rsidR="008D7C88" w:rsidRPr="008D7C88">
        <w:t xml:space="preserve"> the opportunity to design schemes to avoid or adequately mitigate effects on European sites. In line with case law, a refreshed and more detailed HRA process will be required for individual schemes </w:t>
      </w:r>
      <w:r w:rsidR="009E21CE">
        <w:t>(</w:t>
      </w:r>
      <w:r w:rsidR="00167789">
        <w:rPr>
          <w:szCs w:val="24"/>
        </w:rPr>
        <w:t>for example,</w:t>
      </w:r>
      <w:r w:rsidR="000359D7">
        <w:rPr>
          <w:szCs w:val="24"/>
        </w:rPr>
        <w:t xml:space="preserve"> local transport plan and/or planning application</w:t>
      </w:r>
      <w:r w:rsidR="009E21CE">
        <w:rPr>
          <w:szCs w:val="24"/>
        </w:rPr>
        <w:t xml:space="preserve">s) </w:t>
      </w:r>
      <w:r w:rsidR="008D7C88" w:rsidRPr="008D7C88">
        <w:t>as they are devised and developed, particularly if they have been flagged in th</w:t>
      </w:r>
      <w:r w:rsidR="00143018">
        <w:t>e HRA</w:t>
      </w:r>
      <w:r w:rsidR="008D7C88" w:rsidRPr="008D7C88">
        <w:t>.</w:t>
      </w:r>
      <w:r w:rsidR="00FD6401">
        <w:t xml:space="preserve"> The HRA also recommended that some wording </w:t>
      </w:r>
      <w:r w:rsidR="00712147">
        <w:t xml:space="preserve">about the need for </w:t>
      </w:r>
      <w:r w:rsidR="00916731">
        <w:t xml:space="preserve">Construction Environmental Management Plans and </w:t>
      </w:r>
      <w:r w:rsidR="00712147">
        <w:t>project-level HRA</w:t>
      </w:r>
      <w:r w:rsidR="001D33CD">
        <w:t xml:space="preserve"> should be added to the final version of the STPR2 Technical Report</w:t>
      </w:r>
      <w:r w:rsidR="00FC2C8A">
        <w:t xml:space="preserve"> </w:t>
      </w:r>
      <w:r w:rsidR="004F5645">
        <w:t>(</w:t>
      </w:r>
      <w:r w:rsidR="004F5645" w:rsidRPr="004F5645">
        <w:t>Jacobs AECOM</w:t>
      </w:r>
      <w:r w:rsidR="004F5645">
        <w:t xml:space="preserve">, </w:t>
      </w:r>
      <w:r w:rsidR="004F5645" w:rsidRPr="004F5645">
        <w:t xml:space="preserve">2022f) </w:t>
      </w:r>
      <w:r w:rsidR="00FC2C8A">
        <w:t xml:space="preserve">and this </w:t>
      </w:r>
      <w:r w:rsidR="005F6521">
        <w:t xml:space="preserve">wording </w:t>
      </w:r>
      <w:r w:rsidR="00FC2C8A">
        <w:t>was</w:t>
      </w:r>
      <w:r w:rsidR="005F6521">
        <w:t xml:space="preserve"> added</w:t>
      </w:r>
      <w:r w:rsidR="001D33CD">
        <w:t>.</w:t>
      </w:r>
    </w:p>
    <w:p w14:paraId="52FCB48E" w14:textId="7FCC575D" w:rsidR="000C6958" w:rsidRPr="004B3264" w:rsidRDefault="000C6958" w:rsidP="0033560A">
      <w:pPr>
        <w:pStyle w:val="Heading2"/>
      </w:pPr>
      <w:bookmarkStart w:id="58" w:name="_Toc81993571"/>
      <w:bookmarkStart w:id="59" w:name="_Toc121339086"/>
      <w:r w:rsidRPr="004B3264">
        <w:t xml:space="preserve">Purpose </w:t>
      </w:r>
      <w:r w:rsidR="009F6BCB" w:rsidRPr="004B3264">
        <w:t xml:space="preserve">and Structure </w:t>
      </w:r>
      <w:r w:rsidRPr="004B3264">
        <w:t>of Environmental Report</w:t>
      </w:r>
      <w:bookmarkEnd w:id="58"/>
      <w:bookmarkEnd w:id="59"/>
      <w:r w:rsidRPr="004B3264">
        <w:t xml:space="preserve"> </w:t>
      </w:r>
    </w:p>
    <w:p w14:paraId="43A7972F" w14:textId="6E409ED5" w:rsidR="000C6958" w:rsidRDefault="000C6958" w:rsidP="00D93256">
      <w:pPr>
        <w:pStyle w:val="STPR2BodyText"/>
      </w:pPr>
      <w:r w:rsidRPr="00A51FC9">
        <w:t xml:space="preserve">The purpose of the Environmental Report is to present the </w:t>
      </w:r>
      <w:r w:rsidR="001E43A9">
        <w:t>assessed</w:t>
      </w:r>
      <w:r w:rsidR="001E43A9" w:rsidRPr="00A51FC9">
        <w:t xml:space="preserve"> </w:t>
      </w:r>
      <w:r w:rsidRPr="00A51FC9">
        <w:t xml:space="preserve">environmental effects of </w:t>
      </w:r>
      <w:r w:rsidR="0085712E" w:rsidRPr="0085712E">
        <w:t xml:space="preserve">the </w:t>
      </w:r>
      <w:r w:rsidRPr="00A51FC9">
        <w:t>STPR2, including alternatives, in a form suitable for public consultation and use by decision-makers.</w:t>
      </w:r>
    </w:p>
    <w:p w14:paraId="0F5FB99F" w14:textId="7D9AA816" w:rsidR="000C6958" w:rsidRPr="007D614F" w:rsidRDefault="000C6958" w:rsidP="00D93256">
      <w:pPr>
        <w:pStyle w:val="STPR2BodyText"/>
        <w:rPr>
          <w:highlight w:val="yellow"/>
        </w:rPr>
      </w:pPr>
      <w:r>
        <w:t xml:space="preserve">In line with the requirements </w:t>
      </w:r>
      <w:r w:rsidR="00893DD1">
        <w:t xml:space="preserve">of Schedule 3 of the </w:t>
      </w:r>
      <w:r w:rsidR="00762F7D">
        <w:t>Act</w:t>
      </w:r>
      <w:r>
        <w:t>, the Environmental Report contains</w:t>
      </w:r>
      <w:r w:rsidR="00893DD1">
        <w:t xml:space="preserve"> the following Chapters</w:t>
      </w:r>
      <w:r>
        <w:t xml:space="preserve">: </w:t>
      </w:r>
    </w:p>
    <w:p w14:paraId="3AC7541C" w14:textId="5C90F636" w:rsidR="000C6958" w:rsidRPr="00994178" w:rsidRDefault="000C6958" w:rsidP="00D93256">
      <w:pPr>
        <w:pStyle w:val="STPR2BulletsLevel1"/>
      </w:pPr>
      <w:bookmarkStart w:id="60" w:name="_Toc20903603"/>
      <w:bookmarkStart w:id="61" w:name="_Toc20903715"/>
      <w:bookmarkStart w:id="62" w:name="_Toc20903832"/>
      <w:bookmarkStart w:id="63" w:name="_Toc21078472"/>
      <w:bookmarkStart w:id="64" w:name="_Toc21080098"/>
      <w:bookmarkStart w:id="65" w:name="_Toc21353716"/>
      <w:bookmarkStart w:id="66" w:name="_Toc21354182"/>
      <w:bookmarkStart w:id="67" w:name="_Toc20903604"/>
      <w:bookmarkStart w:id="68" w:name="_Toc20903716"/>
      <w:bookmarkStart w:id="69" w:name="_Toc20903833"/>
      <w:bookmarkStart w:id="70" w:name="_Toc21078473"/>
      <w:bookmarkStart w:id="71" w:name="_Toc21080099"/>
      <w:bookmarkStart w:id="72" w:name="_Toc21353717"/>
      <w:bookmarkStart w:id="73" w:name="_Toc21354183"/>
      <w:bookmarkStart w:id="74" w:name="_Toc20903605"/>
      <w:bookmarkStart w:id="75" w:name="_Toc20903717"/>
      <w:bookmarkStart w:id="76" w:name="_Toc20903834"/>
      <w:bookmarkStart w:id="77" w:name="_Toc21078474"/>
      <w:bookmarkStart w:id="78" w:name="_Toc21080100"/>
      <w:bookmarkStart w:id="79" w:name="_Toc21353718"/>
      <w:bookmarkStart w:id="80" w:name="_Toc21354184"/>
      <w:bookmarkStart w:id="81" w:name="_Toc20903606"/>
      <w:bookmarkStart w:id="82" w:name="_Toc20903718"/>
      <w:bookmarkStart w:id="83" w:name="_Toc20903835"/>
      <w:bookmarkStart w:id="84" w:name="_Toc21078475"/>
      <w:bookmarkStart w:id="85" w:name="_Toc21080101"/>
      <w:bookmarkStart w:id="86" w:name="_Toc21353719"/>
      <w:bookmarkStart w:id="87" w:name="_Toc21354185"/>
      <w:bookmarkStart w:id="88" w:name="_Toc20903607"/>
      <w:bookmarkStart w:id="89" w:name="_Toc20903719"/>
      <w:bookmarkStart w:id="90" w:name="_Toc20903836"/>
      <w:bookmarkStart w:id="91" w:name="_Toc21078476"/>
      <w:bookmarkStart w:id="92" w:name="_Toc21080102"/>
      <w:bookmarkStart w:id="93" w:name="_Toc21353720"/>
      <w:bookmarkStart w:id="94" w:name="_Toc21354186"/>
      <w:bookmarkStart w:id="95" w:name="_Toc20903608"/>
      <w:bookmarkStart w:id="96" w:name="_Toc20903720"/>
      <w:bookmarkStart w:id="97" w:name="_Toc20903837"/>
      <w:bookmarkStart w:id="98" w:name="_Toc21078477"/>
      <w:bookmarkStart w:id="99" w:name="_Toc21080103"/>
      <w:bookmarkStart w:id="100" w:name="_Toc21353721"/>
      <w:bookmarkStart w:id="101" w:name="_Toc21354187"/>
      <w:bookmarkStart w:id="102" w:name="_Toc20903609"/>
      <w:bookmarkStart w:id="103" w:name="_Toc20903721"/>
      <w:bookmarkStart w:id="104" w:name="_Toc20903838"/>
      <w:bookmarkStart w:id="105" w:name="_Toc21078478"/>
      <w:bookmarkStart w:id="106" w:name="_Toc21080104"/>
      <w:bookmarkStart w:id="107" w:name="_Toc21353722"/>
      <w:bookmarkStart w:id="108" w:name="_Toc21354188"/>
      <w:bookmarkStart w:id="109" w:name="_Toc20903610"/>
      <w:bookmarkStart w:id="110" w:name="_Toc20903722"/>
      <w:bookmarkStart w:id="111" w:name="_Toc20903839"/>
      <w:bookmarkStart w:id="112" w:name="_Toc21078479"/>
      <w:bookmarkStart w:id="113" w:name="_Toc21080105"/>
      <w:bookmarkStart w:id="114" w:name="_Toc21353723"/>
      <w:bookmarkStart w:id="115" w:name="_Toc21354189"/>
      <w:bookmarkStart w:id="116" w:name="_Toc20903611"/>
      <w:bookmarkStart w:id="117" w:name="_Toc20903723"/>
      <w:bookmarkStart w:id="118" w:name="_Toc20903840"/>
      <w:bookmarkStart w:id="119" w:name="_Toc21078480"/>
      <w:bookmarkStart w:id="120" w:name="_Toc21080106"/>
      <w:bookmarkStart w:id="121" w:name="_Toc21353724"/>
      <w:bookmarkStart w:id="122" w:name="_Toc21354190"/>
      <w:bookmarkStart w:id="123" w:name="_Toc20903612"/>
      <w:bookmarkStart w:id="124" w:name="_Toc20903724"/>
      <w:bookmarkStart w:id="125" w:name="_Toc20903841"/>
      <w:bookmarkStart w:id="126" w:name="_Toc21078481"/>
      <w:bookmarkStart w:id="127" w:name="_Toc21080107"/>
      <w:bookmarkStart w:id="128" w:name="_Toc21353725"/>
      <w:bookmarkStart w:id="129" w:name="_Toc21354191"/>
      <w:bookmarkStart w:id="130" w:name="_Toc20903613"/>
      <w:bookmarkStart w:id="131" w:name="_Toc20903725"/>
      <w:bookmarkStart w:id="132" w:name="_Toc20903842"/>
      <w:bookmarkStart w:id="133" w:name="_Toc21078482"/>
      <w:bookmarkStart w:id="134" w:name="_Toc21080108"/>
      <w:bookmarkStart w:id="135" w:name="_Toc21353726"/>
      <w:bookmarkStart w:id="136" w:name="_Toc21354192"/>
      <w:bookmarkStart w:id="137" w:name="_Toc20903614"/>
      <w:bookmarkStart w:id="138" w:name="_Toc20903726"/>
      <w:bookmarkStart w:id="139" w:name="_Toc20903843"/>
      <w:bookmarkStart w:id="140" w:name="_Toc21078483"/>
      <w:bookmarkStart w:id="141" w:name="_Toc21080109"/>
      <w:bookmarkStart w:id="142" w:name="_Toc21353727"/>
      <w:bookmarkStart w:id="143" w:name="_Toc21354193"/>
      <w:bookmarkStart w:id="144" w:name="_Toc20903615"/>
      <w:bookmarkStart w:id="145" w:name="_Toc20903727"/>
      <w:bookmarkStart w:id="146" w:name="_Toc20903844"/>
      <w:bookmarkStart w:id="147" w:name="_Toc21078484"/>
      <w:bookmarkStart w:id="148" w:name="_Toc21080110"/>
      <w:bookmarkStart w:id="149" w:name="_Toc21353728"/>
      <w:bookmarkStart w:id="150" w:name="_Toc21354194"/>
      <w:bookmarkStart w:id="151" w:name="_Toc20903616"/>
      <w:bookmarkStart w:id="152" w:name="_Toc20903728"/>
      <w:bookmarkStart w:id="153" w:name="_Toc20903845"/>
      <w:bookmarkStart w:id="154" w:name="_Toc21078485"/>
      <w:bookmarkStart w:id="155" w:name="_Toc21080111"/>
      <w:bookmarkStart w:id="156" w:name="_Toc21353729"/>
      <w:bookmarkStart w:id="157" w:name="_Toc21354195"/>
      <w:bookmarkStart w:id="158" w:name="_Toc20903617"/>
      <w:bookmarkStart w:id="159" w:name="_Toc20903729"/>
      <w:bookmarkStart w:id="160" w:name="_Toc20903846"/>
      <w:bookmarkStart w:id="161" w:name="_Toc21078486"/>
      <w:bookmarkStart w:id="162" w:name="_Toc21080112"/>
      <w:bookmarkStart w:id="163" w:name="_Toc21353730"/>
      <w:bookmarkStart w:id="164" w:name="_Toc21354196"/>
      <w:bookmarkStart w:id="165" w:name="_Toc20903618"/>
      <w:bookmarkStart w:id="166" w:name="_Toc20903730"/>
      <w:bookmarkStart w:id="167" w:name="_Toc20903847"/>
      <w:bookmarkStart w:id="168" w:name="_Toc21078487"/>
      <w:bookmarkStart w:id="169" w:name="_Toc21080113"/>
      <w:bookmarkStart w:id="170" w:name="_Toc21353731"/>
      <w:bookmarkStart w:id="171" w:name="_Toc21354197"/>
      <w:bookmarkStart w:id="172" w:name="_Toc20903619"/>
      <w:bookmarkStart w:id="173" w:name="_Toc20903731"/>
      <w:bookmarkStart w:id="174" w:name="_Toc20903848"/>
      <w:bookmarkStart w:id="175" w:name="_Toc21078488"/>
      <w:bookmarkStart w:id="176" w:name="_Toc21080114"/>
      <w:bookmarkStart w:id="177" w:name="_Toc21353732"/>
      <w:bookmarkStart w:id="178" w:name="_Toc21354198"/>
      <w:bookmarkStart w:id="179" w:name="_Toc20903620"/>
      <w:bookmarkStart w:id="180" w:name="_Toc20903732"/>
      <w:bookmarkStart w:id="181" w:name="_Toc20903849"/>
      <w:bookmarkStart w:id="182" w:name="_Toc21078489"/>
      <w:bookmarkStart w:id="183" w:name="_Toc21080115"/>
      <w:bookmarkStart w:id="184" w:name="_Toc21353733"/>
      <w:bookmarkStart w:id="185" w:name="_Toc21354199"/>
      <w:bookmarkStart w:id="186" w:name="_Toc20124036"/>
      <w:bookmarkStart w:id="187" w:name="_Toc20124168"/>
      <w:bookmarkStart w:id="188" w:name="_Toc20124956"/>
      <w:bookmarkStart w:id="189" w:name="_Toc20127009"/>
      <w:bookmarkStart w:id="190" w:name="_Toc20380971"/>
      <w:bookmarkStart w:id="191" w:name="_Toc20484717"/>
      <w:bookmarkStart w:id="192" w:name="_Toc20484962"/>
      <w:bookmarkStart w:id="193" w:name="_Toc20487772"/>
      <w:bookmarkStart w:id="194" w:name="_Toc20487967"/>
      <w:bookmarkStart w:id="195" w:name="_Toc20744581"/>
      <w:bookmarkStart w:id="196" w:name="_Toc20754056"/>
      <w:bookmarkStart w:id="197" w:name="_Toc20756445"/>
      <w:bookmarkStart w:id="198" w:name="_Toc20758878"/>
      <w:bookmarkStart w:id="199" w:name="_Toc20758951"/>
      <w:bookmarkStart w:id="200" w:name="_Toc20759023"/>
      <w:bookmarkStart w:id="201" w:name="_Toc20759215"/>
      <w:bookmarkStart w:id="202" w:name="_Toc20898700"/>
      <w:bookmarkStart w:id="203" w:name="_Toc20898985"/>
      <w:bookmarkStart w:id="204" w:name="_Toc20903621"/>
      <w:bookmarkStart w:id="205" w:name="_Toc20903733"/>
      <w:bookmarkStart w:id="206" w:name="_Toc20903850"/>
      <w:bookmarkStart w:id="207" w:name="_Toc21078490"/>
      <w:bookmarkStart w:id="208" w:name="_Toc21080116"/>
      <w:bookmarkStart w:id="209" w:name="_Toc21353734"/>
      <w:bookmarkStart w:id="210" w:name="_Toc21354200"/>
      <w:bookmarkStart w:id="211" w:name="_Toc20124037"/>
      <w:bookmarkStart w:id="212" w:name="_Toc20124169"/>
      <w:bookmarkStart w:id="213" w:name="_Toc20124957"/>
      <w:bookmarkStart w:id="214" w:name="_Toc20127010"/>
      <w:bookmarkStart w:id="215" w:name="_Toc20380972"/>
      <w:bookmarkStart w:id="216" w:name="_Toc20484718"/>
      <w:bookmarkStart w:id="217" w:name="_Toc20484963"/>
      <w:bookmarkStart w:id="218" w:name="_Toc20487773"/>
      <w:bookmarkStart w:id="219" w:name="_Toc20487968"/>
      <w:bookmarkStart w:id="220" w:name="_Toc20744582"/>
      <w:bookmarkStart w:id="221" w:name="_Toc20754057"/>
      <w:bookmarkStart w:id="222" w:name="_Toc20756446"/>
      <w:bookmarkStart w:id="223" w:name="_Toc20758879"/>
      <w:bookmarkStart w:id="224" w:name="_Toc20758952"/>
      <w:bookmarkStart w:id="225" w:name="_Toc20759024"/>
      <w:bookmarkStart w:id="226" w:name="_Toc20759216"/>
      <w:bookmarkStart w:id="227" w:name="_Toc20898701"/>
      <w:bookmarkStart w:id="228" w:name="_Toc20898986"/>
      <w:bookmarkStart w:id="229" w:name="_Toc20903622"/>
      <w:bookmarkStart w:id="230" w:name="_Toc20903734"/>
      <w:bookmarkStart w:id="231" w:name="_Toc20903851"/>
      <w:bookmarkStart w:id="232" w:name="_Toc21078491"/>
      <w:bookmarkStart w:id="233" w:name="_Toc21080117"/>
      <w:bookmarkStart w:id="234" w:name="_Toc21353735"/>
      <w:bookmarkStart w:id="235" w:name="_Toc21354201"/>
      <w:bookmarkStart w:id="236" w:name="_Toc20124038"/>
      <w:bookmarkStart w:id="237" w:name="_Toc20124170"/>
      <w:bookmarkStart w:id="238" w:name="_Toc20124958"/>
      <w:bookmarkStart w:id="239" w:name="_Toc20127011"/>
      <w:bookmarkStart w:id="240" w:name="_Toc20380973"/>
      <w:bookmarkStart w:id="241" w:name="_Toc20484719"/>
      <w:bookmarkStart w:id="242" w:name="_Toc20484964"/>
      <w:bookmarkStart w:id="243" w:name="_Toc20487774"/>
      <w:bookmarkStart w:id="244" w:name="_Toc20487969"/>
      <w:bookmarkStart w:id="245" w:name="_Toc20744583"/>
      <w:bookmarkStart w:id="246" w:name="_Toc20754058"/>
      <w:bookmarkStart w:id="247" w:name="_Toc20756447"/>
      <w:bookmarkStart w:id="248" w:name="_Toc20758880"/>
      <w:bookmarkStart w:id="249" w:name="_Toc20758953"/>
      <w:bookmarkStart w:id="250" w:name="_Toc20759025"/>
      <w:bookmarkStart w:id="251" w:name="_Toc20759217"/>
      <w:bookmarkStart w:id="252" w:name="_Toc20898702"/>
      <w:bookmarkStart w:id="253" w:name="_Toc20898987"/>
      <w:bookmarkStart w:id="254" w:name="_Toc20903623"/>
      <w:bookmarkStart w:id="255" w:name="_Toc20903735"/>
      <w:bookmarkStart w:id="256" w:name="_Toc20903852"/>
      <w:bookmarkStart w:id="257" w:name="_Toc21078492"/>
      <w:bookmarkStart w:id="258" w:name="_Toc21080118"/>
      <w:bookmarkStart w:id="259" w:name="_Toc21353736"/>
      <w:bookmarkStart w:id="260" w:name="_Toc2135420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120C68">
        <w:rPr>
          <w:b/>
        </w:rPr>
        <w:lastRenderedPageBreak/>
        <w:t>Chapter</w:t>
      </w:r>
      <w:r w:rsidR="007D5EDF" w:rsidRPr="00120C68">
        <w:rPr>
          <w:b/>
        </w:rPr>
        <w:t xml:space="preserve"> </w:t>
      </w:r>
      <w:r w:rsidR="007D5EDF" w:rsidRPr="00120C68">
        <w:rPr>
          <w:b/>
        </w:rPr>
        <w:fldChar w:fldCharType="begin"/>
      </w:r>
      <w:r w:rsidR="007D5EDF" w:rsidRPr="00120C68">
        <w:rPr>
          <w:b/>
        </w:rPr>
        <w:instrText xml:space="preserve"> REF _Ref90564597 \r \h </w:instrText>
      </w:r>
      <w:r w:rsidR="00994178" w:rsidRPr="00120C68">
        <w:rPr>
          <w:b/>
        </w:rPr>
        <w:instrText xml:space="preserve"> \* MERGEFORMAT </w:instrText>
      </w:r>
      <w:r w:rsidR="007D5EDF" w:rsidRPr="00120C68">
        <w:rPr>
          <w:b/>
        </w:rPr>
      </w:r>
      <w:r w:rsidR="007D5EDF" w:rsidRPr="00120C68">
        <w:rPr>
          <w:b/>
        </w:rPr>
        <w:fldChar w:fldCharType="separate"/>
      </w:r>
      <w:r w:rsidR="00C22A9E">
        <w:rPr>
          <w:b/>
        </w:rPr>
        <w:t>1</w:t>
      </w:r>
      <w:r w:rsidR="007D5EDF" w:rsidRPr="00120C68">
        <w:rPr>
          <w:b/>
        </w:rPr>
        <w:fldChar w:fldCharType="end"/>
      </w:r>
      <w:r w:rsidRPr="00994178">
        <w:t xml:space="preserve"> summarises the general background to </w:t>
      </w:r>
      <w:r w:rsidR="0085712E" w:rsidRPr="0085712E">
        <w:t xml:space="preserve">the </w:t>
      </w:r>
      <w:r w:rsidRPr="00994178">
        <w:t xml:space="preserve">STPR2 and SEA and various impact assessments required for </w:t>
      </w:r>
      <w:r w:rsidR="0085712E" w:rsidRPr="0085712E">
        <w:t xml:space="preserve">the </w:t>
      </w:r>
      <w:r w:rsidRPr="00994178">
        <w:t>STPR2</w:t>
      </w:r>
    </w:p>
    <w:p w14:paraId="0BF27FE8" w14:textId="4FDA1488" w:rsidR="000C6958" w:rsidRPr="00994178" w:rsidRDefault="000C6958" w:rsidP="00D93256">
      <w:pPr>
        <w:pStyle w:val="STPR2BulletsLevel1"/>
      </w:pPr>
      <w:r w:rsidRPr="00120C68">
        <w:rPr>
          <w:b/>
        </w:rPr>
        <w:t xml:space="preserve">Chapter </w:t>
      </w:r>
      <w:r w:rsidR="007D5EDF" w:rsidRPr="00120C68">
        <w:rPr>
          <w:b/>
        </w:rPr>
        <w:fldChar w:fldCharType="begin"/>
      </w:r>
      <w:r w:rsidR="007D5EDF" w:rsidRPr="00120C68">
        <w:rPr>
          <w:b/>
        </w:rPr>
        <w:instrText xml:space="preserve"> REF _Ref90564606 \r \h </w:instrText>
      </w:r>
      <w:r w:rsidR="00994178" w:rsidRPr="00120C68">
        <w:rPr>
          <w:b/>
        </w:rPr>
        <w:instrText xml:space="preserve"> \* MERGEFORMAT </w:instrText>
      </w:r>
      <w:r w:rsidR="007D5EDF" w:rsidRPr="00120C68">
        <w:rPr>
          <w:b/>
        </w:rPr>
      </w:r>
      <w:r w:rsidR="007D5EDF" w:rsidRPr="00120C68">
        <w:rPr>
          <w:b/>
        </w:rPr>
        <w:fldChar w:fldCharType="separate"/>
      </w:r>
      <w:r w:rsidR="00C22A9E">
        <w:rPr>
          <w:b/>
        </w:rPr>
        <w:t>2</w:t>
      </w:r>
      <w:r w:rsidR="007D5EDF" w:rsidRPr="00120C68">
        <w:rPr>
          <w:b/>
        </w:rPr>
        <w:fldChar w:fldCharType="end"/>
      </w:r>
      <w:r w:rsidRPr="00994178">
        <w:t xml:space="preserve"> provides a more detailed background and context for </w:t>
      </w:r>
      <w:r w:rsidR="0085712E" w:rsidRPr="0085712E">
        <w:t xml:space="preserve">the </w:t>
      </w:r>
      <w:r w:rsidRPr="00994178">
        <w:t>STPR2, including the STPR2 stages</w:t>
      </w:r>
    </w:p>
    <w:p w14:paraId="71219090" w14:textId="038C69B3" w:rsidR="000C6958" w:rsidRPr="00994178" w:rsidRDefault="000C6958" w:rsidP="00D93256">
      <w:pPr>
        <w:pStyle w:val="STPR2BulletsLevel1"/>
      </w:pPr>
      <w:r w:rsidRPr="00120C68">
        <w:rPr>
          <w:b/>
        </w:rPr>
        <w:t xml:space="preserve">Chapter </w:t>
      </w:r>
      <w:r w:rsidR="007D5EDF" w:rsidRPr="00120C68">
        <w:rPr>
          <w:b/>
        </w:rPr>
        <w:fldChar w:fldCharType="begin"/>
      </w:r>
      <w:r w:rsidR="007D5EDF" w:rsidRPr="00120C68">
        <w:rPr>
          <w:b/>
        </w:rPr>
        <w:instrText xml:space="preserve"> REF _Ref90564613 \r \h </w:instrText>
      </w:r>
      <w:r w:rsidR="00994178" w:rsidRPr="00120C68">
        <w:rPr>
          <w:b/>
        </w:rPr>
        <w:instrText xml:space="preserve"> \* MERGEFORMAT </w:instrText>
      </w:r>
      <w:r w:rsidR="007D5EDF" w:rsidRPr="00120C68">
        <w:rPr>
          <w:b/>
        </w:rPr>
      </w:r>
      <w:r w:rsidR="007D5EDF" w:rsidRPr="00120C68">
        <w:rPr>
          <w:b/>
        </w:rPr>
        <w:fldChar w:fldCharType="separate"/>
      </w:r>
      <w:r w:rsidR="00C22A9E">
        <w:rPr>
          <w:b/>
        </w:rPr>
        <w:t>3</w:t>
      </w:r>
      <w:r w:rsidR="007D5EDF" w:rsidRPr="00120C68">
        <w:rPr>
          <w:b/>
        </w:rPr>
        <w:fldChar w:fldCharType="end"/>
      </w:r>
      <w:r w:rsidRPr="00994178">
        <w:t xml:space="preserve"> shows the key relationships between </w:t>
      </w:r>
      <w:r w:rsidR="0085712E" w:rsidRPr="0085712E">
        <w:t xml:space="preserve">the </w:t>
      </w:r>
      <w:r w:rsidRPr="00994178">
        <w:t xml:space="preserve">STPR2 and other </w:t>
      </w:r>
      <w:r w:rsidR="00061507">
        <w:t>plans, programmes and strategies (</w:t>
      </w:r>
      <w:r w:rsidRPr="00994178">
        <w:t>PPS</w:t>
      </w:r>
      <w:r w:rsidR="00061507">
        <w:t>)</w:t>
      </w:r>
      <w:r w:rsidRPr="00994178">
        <w:t>, including the environmental requirements associated with them</w:t>
      </w:r>
    </w:p>
    <w:p w14:paraId="2FB3E7BD" w14:textId="229BA916" w:rsidR="000C6958" w:rsidRPr="00994178" w:rsidRDefault="000C6958" w:rsidP="00D93256">
      <w:pPr>
        <w:pStyle w:val="STPR2BulletsLevel1"/>
      </w:pPr>
      <w:r w:rsidRPr="00211CE2">
        <w:t xml:space="preserve">Chapter </w:t>
      </w:r>
      <w:r w:rsidR="007D5EDF" w:rsidRPr="00211CE2">
        <w:fldChar w:fldCharType="begin"/>
      </w:r>
      <w:r w:rsidR="007D5EDF" w:rsidRPr="00211CE2">
        <w:instrText xml:space="preserve"> REF _Ref90564620 \r \h </w:instrText>
      </w:r>
      <w:r w:rsidR="00994178" w:rsidRPr="00211CE2">
        <w:instrText xml:space="preserve"> \* MERGEFORMAT </w:instrText>
      </w:r>
      <w:r w:rsidR="007D5EDF" w:rsidRPr="00211CE2">
        <w:fldChar w:fldCharType="separate"/>
      </w:r>
      <w:r w:rsidR="00C22A9E">
        <w:t>4</w:t>
      </w:r>
      <w:r w:rsidR="007D5EDF" w:rsidRPr="00211CE2">
        <w:fldChar w:fldCharType="end"/>
      </w:r>
      <w:r w:rsidRPr="00994178">
        <w:t xml:space="preserve"> provides a summary of the environmental baseline</w:t>
      </w:r>
    </w:p>
    <w:p w14:paraId="23CE0837" w14:textId="00D049BC" w:rsidR="000C6958" w:rsidRPr="00994178" w:rsidRDefault="000C6958" w:rsidP="00D93256">
      <w:pPr>
        <w:pStyle w:val="STPR2BulletsLevel1"/>
      </w:pPr>
      <w:r w:rsidRPr="00120C68">
        <w:rPr>
          <w:b/>
        </w:rPr>
        <w:t xml:space="preserve">Chapter </w:t>
      </w:r>
      <w:r w:rsidR="007D5EDF" w:rsidRPr="00120C68">
        <w:rPr>
          <w:b/>
        </w:rPr>
        <w:fldChar w:fldCharType="begin"/>
      </w:r>
      <w:r w:rsidR="007D5EDF" w:rsidRPr="00120C68">
        <w:rPr>
          <w:b/>
        </w:rPr>
        <w:instrText xml:space="preserve"> REF _Ref90564629 \r \h </w:instrText>
      </w:r>
      <w:r w:rsidR="00994178" w:rsidRPr="00120C68">
        <w:rPr>
          <w:b/>
        </w:rPr>
        <w:instrText xml:space="preserve"> \* MERGEFORMAT </w:instrText>
      </w:r>
      <w:r w:rsidR="007D5EDF" w:rsidRPr="00120C68">
        <w:rPr>
          <w:b/>
        </w:rPr>
      </w:r>
      <w:r w:rsidR="007D5EDF" w:rsidRPr="00120C68">
        <w:rPr>
          <w:b/>
        </w:rPr>
        <w:fldChar w:fldCharType="separate"/>
      </w:r>
      <w:r w:rsidR="00C22A9E">
        <w:rPr>
          <w:b/>
        </w:rPr>
        <w:t>5</w:t>
      </w:r>
      <w:r w:rsidR="007D5EDF" w:rsidRPr="00120C68">
        <w:rPr>
          <w:b/>
        </w:rPr>
        <w:fldChar w:fldCharType="end"/>
      </w:r>
      <w:r w:rsidRPr="00994178">
        <w:t xml:space="preserve"> describes the approach to stakeholder engagement throughout the development of </w:t>
      </w:r>
      <w:r w:rsidR="0085712E" w:rsidRPr="0085712E">
        <w:t xml:space="preserve">the </w:t>
      </w:r>
      <w:r w:rsidRPr="00994178">
        <w:t>STPR2 and the SEA</w:t>
      </w:r>
    </w:p>
    <w:p w14:paraId="321DF58E" w14:textId="674FF6D9" w:rsidR="000C6958" w:rsidRPr="00994178" w:rsidRDefault="009D794E" w:rsidP="00D93256">
      <w:pPr>
        <w:pStyle w:val="STPR2BulletsLevel1"/>
      </w:pPr>
      <w:r w:rsidRPr="00211CE2">
        <w:t xml:space="preserve">Chapter </w:t>
      </w:r>
      <w:r w:rsidR="007D5EDF" w:rsidRPr="00211CE2">
        <w:fldChar w:fldCharType="begin"/>
      </w:r>
      <w:r w:rsidR="007D5EDF" w:rsidRPr="00211CE2">
        <w:instrText xml:space="preserve"> REF _Ref90564634 \r \h </w:instrText>
      </w:r>
      <w:r w:rsidR="00994178" w:rsidRPr="00211CE2">
        <w:instrText xml:space="preserve"> \* MERGEFORMAT </w:instrText>
      </w:r>
      <w:r w:rsidR="007D5EDF" w:rsidRPr="00211CE2">
        <w:fldChar w:fldCharType="separate"/>
      </w:r>
      <w:r w:rsidR="00C22A9E">
        <w:t>6</w:t>
      </w:r>
      <w:r w:rsidR="007D5EDF" w:rsidRPr="00211CE2">
        <w:fldChar w:fldCharType="end"/>
      </w:r>
      <w:r w:rsidRPr="00994178">
        <w:t xml:space="preserve"> </w:t>
      </w:r>
      <w:r w:rsidR="000942BE" w:rsidRPr="00994178">
        <w:t>describes the</w:t>
      </w:r>
      <w:r w:rsidR="008867BD" w:rsidRPr="00994178">
        <w:t xml:space="preserve"> </w:t>
      </w:r>
      <w:r w:rsidR="00067BC6" w:rsidRPr="00994178">
        <w:t>consultation requirements for SEA</w:t>
      </w:r>
    </w:p>
    <w:p w14:paraId="42621EAE" w14:textId="68467548" w:rsidR="000C6958" w:rsidRPr="00994178" w:rsidRDefault="000C6958" w:rsidP="00D93256">
      <w:pPr>
        <w:pStyle w:val="STPR2BulletsLevel1"/>
      </w:pPr>
      <w:r w:rsidRPr="00211CE2">
        <w:t xml:space="preserve">Chapter </w:t>
      </w:r>
      <w:r w:rsidR="007D5EDF" w:rsidRPr="00211CE2">
        <w:fldChar w:fldCharType="begin"/>
      </w:r>
      <w:r w:rsidR="007D5EDF" w:rsidRPr="00211CE2">
        <w:instrText xml:space="preserve"> REF _Ref90564645 \r \h </w:instrText>
      </w:r>
      <w:r w:rsidR="00994178" w:rsidRPr="00211CE2">
        <w:instrText xml:space="preserve"> \* MERGEFORMAT </w:instrText>
      </w:r>
      <w:r w:rsidR="007D5EDF" w:rsidRPr="00211CE2">
        <w:fldChar w:fldCharType="separate"/>
      </w:r>
      <w:r w:rsidR="00C22A9E">
        <w:t>7</w:t>
      </w:r>
      <w:r w:rsidR="007D5EDF" w:rsidRPr="00211CE2">
        <w:fldChar w:fldCharType="end"/>
      </w:r>
      <w:r w:rsidRPr="00994178">
        <w:t xml:space="preserve"> shows the approach for undertaking the SEA</w:t>
      </w:r>
    </w:p>
    <w:p w14:paraId="493FC7BC" w14:textId="27546948" w:rsidR="000C6958" w:rsidRPr="00994178" w:rsidRDefault="000C6958" w:rsidP="00D93256">
      <w:pPr>
        <w:pStyle w:val="STPR2BulletsLevel1"/>
      </w:pPr>
      <w:r w:rsidRPr="00211CE2">
        <w:t xml:space="preserve">Chapter </w:t>
      </w:r>
      <w:r w:rsidR="007D5EDF" w:rsidRPr="00211CE2">
        <w:fldChar w:fldCharType="begin"/>
      </w:r>
      <w:r w:rsidR="007D5EDF" w:rsidRPr="00211CE2">
        <w:instrText xml:space="preserve"> REF _Ref90564653 \r \h </w:instrText>
      </w:r>
      <w:r w:rsidR="00994178" w:rsidRPr="00211CE2">
        <w:instrText xml:space="preserve"> \* MERGEFORMAT </w:instrText>
      </w:r>
      <w:r w:rsidR="007D5EDF" w:rsidRPr="00211CE2">
        <w:fldChar w:fldCharType="separate"/>
      </w:r>
      <w:r w:rsidR="00C22A9E">
        <w:t>8</w:t>
      </w:r>
      <w:r w:rsidR="007D5EDF" w:rsidRPr="00211CE2">
        <w:fldChar w:fldCharType="end"/>
      </w:r>
      <w:r w:rsidRPr="00211CE2">
        <w:t xml:space="preserve"> </w:t>
      </w:r>
      <w:r w:rsidRPr="00994178">
        <w:t xml:space="preserve">provides </w:t>
      </w:r>
      <w:r w:rsidR="00ED2902">
        <w:t xml:space="preserve">a summary of </w:t>
      </w:r>
      <w:r w:rsidRPr="00994178">
        <w:t xml:space="preserve">the assessment results </w:t>
      </w:r>
    </w:p>
    <w:p w14:paraId="2EDE5EED" w14:textId="7DE0BAA7" w:rsidR="000C6958" w:rsidRPr="00994178" w:rsidRDefault="000C6958" w:rsidP="00D93256">
      <w:pPr>
        <w:pStyle w:val="STPR2BulletsLevel1"/>
      </w:pPr>
      <w:r w:rsidRPr="00120C68">
        <w:rPr>
          <w:b/>
        </w:rPr>
        <w:t xml:space="preserve">Chapter </w:t>
      </w:r>
      <w:r w:rsidR="007D5EDF" w:rsidRPr="00120C68">
        <w:rPr>
          <w:b/>
        </w:rPr>
        <w:fldChar w:fldCharType="begin"/>
      </w:r>
      <w:r w:rsidR="007D5EDF" w:rsidRPr="00120C68">
        <w:rPr>
          <w:b/>
        </w:rPr>
        <w:instrText xml:space="preserve"> REF _Ref90564661 \r \h </w:instrText>
      </w:r>
      <w:r w:rsidR="00994178" w:rsidRPr="00120C68">
        <w:rPr>
          <w:b/>
        </w:rPr>
        <w:instrText xml:space="preserve"> \* MERGEFORMAT </w:instrText>
      </w:r>
      <w:r w:rsidR="007D5EDF" w:rsidRPr="00120C68">
        <w:rPr>
          <w:b/>
        </w:rPr>
      </w:r>
      <w:r w:rsidR="007D5EDF" w:rsidRPr="00120C68">
        <w:rPr>
          <w:b/>
        </w:rPr>
        <w:fldChar w:fldCharType="separate"/>
      </w:r>
      <w:r w:rsidR="00C22A9E">
        <w:rPr>
          <w:b/>
        </w:rPr>
        <w:t>9</w:t>
      </w:r>
      <w:r w:rsidR="007D5EDF" w:rsidRPr="00120C68">
        <w:rPr>
          <w:b/>
        </w:rPr>
        <w:fldChar w:fldCharType="end"/>
      </w:r>
      <w:r w:rsidRPr="00994178">
        <w:t xml:space="preserve"> </w:t>
      </w:r>
      <w:r w:rsidR="00ED2902">
        <w:t>describes examples of</w:t>
      </w:r>
      <w:r w:rsidRPr="00994178">
        <w:t xml:space="preserve"> mitigation measures required to avoid or minimise any significant negative effects </w:t>
      </w:r>
      <w:r w:rsidR="00B80B59" w:rsidRPr="00994178">
        <w:t xml:space="preserve">that would arise from implementing </w:t>
      </w:r>
      <w:r w:rsidR="00DA5588" w:rsidRPr="00DA5588">
        <w:t xml:space="preserve">the </w:t>
      </w:r>
      <w:r w:rsidR="00B80B59" w:rsidRPr="00994178">
        <w:t xml:space="preserve">STPR2 </w:t>
      </w:r>
      <w:r w:rsidRPr="00994178">
        <w:t xml:space="preserve">and enhancement measures to create and maximise positive environmental effects </w:t>
      </w:r>
    </w:p>
    <w:p w14:paraId="23EC6598" w14:textId="1F45102E" w:rsidR="000C6958" w:rsidRPr="00994178" w:rsidRDefault="000C6958" w:rsidP="00D93256">
      <w:pPr>
        <w:pStyle w:val="STPR2BulletsLevel1"/>
      </w:pPr>
      <w:r w:rsidRPr="00120C68">
        <w:rPr>
          <w:b/>
        </w:rPr>
        <w:t xml:space="preserve">Chapter </w:t>
      </w:r>
      <w:r w:rsidR="0093778B" w:rsidRPr="00120C68">
        <w:rPr>
          <w:b/>
        </w:rPr>
        <w:fldChar w:fldCharType="begin"/>
      </w:r>
      <w:r w:rsidR="0093778B" w:rsidRPr="00120C68">
        <w:rPr>
          <w:b/>
        </w:rPr>
        <w:instrText xml:space="preserve"> REF _Ref90564682 \r \h </w:instrText>
      </w:r>
      <w:r w:rsidR="00994178" w:rsidRPr="00120C68">
        <w:rPr>
          <w:b/>
        </w:rPr>
        <w:instrText xml:space="preserve"> \* MERGEFORMAT </w:instrText>
      </w:r>
      <w:r w:rsidR="0093778B" w:rsidRPr="00120C68">
        <w:rPr>
          <w:b/>
        </w:rPr>
      </w:r>
      <w:r w:rsidR="0093778B" w:rsidRPr="00120C68">
        <w:rPr>
          <w:b/>
        </w:rPr>
        <w:fldChar w:fldCharType="separate"/>
      </w:r>
      <w:r w:rsidR="00C22A9E">
        <w:rPr>
          <w:b/>
        </w:rPr>
        <w:t>10</w:t>
      </w:r>
      <w:r w:rsidR="0093778B" w:rsidRPr="00120C68">
        <w:rPr>
          <w:b/>
        </w:rPr>
        <w:fldChar w:fldCharType="end"/>
      </w:r>
      <w:r w:rsidRPr="00994178">
        <w:t xml:space="preserve"> provides </w:t>
      </w:r>
      <w:r w:rsidR="00ED2902">
        <w:t>an overview of the</w:t>
      </w:r>
      <w:r w:rsidRPr="00994178">
        <w:t xml:space="preserve"> monitoring required for any significant environmental effects</w:t>
      </w:r>
    </w:p>
    <w:p w14:paraId="3F02343D" w14:textId="53786EDC" w:rsidR="000C6958" w:rsidRPr="003871E5" w:rsidRDefault="000C6958" w:rsidP="00D93256">
      <w:pPr>
        <w:pStyle w:val="STPR2BulletsLevel1"/>
      </w:pPr>
      <w:r w:rsidRPr="00120C68">
        <w:rPr>
          <w:b/>
        </w:rPr>
        <w:t>Chapter</w:t>
      </w:r>
      <w:r w:rsidR="0093778B" w:rsidRPr="00120C68">
        <w:rPr>
          <w:b/>
        </w:rPr>
        <w:t xml:space="preserve"> </w:t>
      </w:r>
      <w:r w:rsidR="005E49D5" w:rsidRPr="00120C68">
        <w:rPr>
          <w:b/>
        </w:rPr>
        <w:fldChar w:fldCharType="begin"/>
      </w:r>
      <w:r w:rsidR="005E49D5" w:rsidRPr="00120C68">
        <w:rPr>
          <w:b/>
        </w:rPr>
        <w:instrText xml:space="preserve"> REF _Ref90564696 \r \h </w:instrText>
      </w:r>
      <w:r w:rsidR="004B3264" w:rsidRPr="00120C68">
        <w:rPr>
          <w:b/>
        </w:rPr>
        <w:instrText xml:space="preserve"> \* MERGEFORMAT </w:instrText>
      </w:r>
      <w:r w:rsidR="005E49D5" w:rsidRPr="00120C68">
        <w:rPr>
          <w:b/>
        </w:rPr>
      </w:r>
      <w:r w:rsidR="005E49D5" w:rsidRPr="00120C68">
        <w:rPr>
          <w:b/>
        </w:rPr>
        <w:fldChar w:fldCharType="separate"/>
      </w:r>
      <w:r w:rsidR="00C22A9E">
        <w:rPr>
          <w:b/>
        </w:rPr>
        <w:t>11</w:t>
      </w:r>
      <w:r w:rsidR="005E49D5" w:rsidRPr="00120C68">
        <w:rPr>
          <w:b/>
        </w:rPr>
        <w:fldChar w:fldCharType="end"/>
      </w:r>
      <w:r w:rsidRPr="000A7FD7">
        <w:t xml:space="preserve"> summarises the next steps required for </w:t>
      </w:r>
      <w:r w:rsidR="00DA5588" w:rsidRPr="00DA5588">
        <w:t xml:space="preserve">the </w:t>
      </w:r>
      <w:r w:rsidR="00D857C9">
        <w:t>STPR2</w:t>
      </w:r>
      <w:r w:rsidRPr="000A7FD7">
        <w:t xml:space="preserve"> and the </w:t>
      </w:r>
      <w:r w:rsidR="00D857C9">
        <w:t>SEA</w:t>
      </w:r>
    </w:p>
    <w:p w14:paraId="529ACE98" w14:textId="77777777" w:rsidR="000C6958" w:rsidRPr="003871E5" w:rsidRDefault="000C6958" w:rsidP="00D93256">
      <w:pPr>
        <w:pStyle w:val="STPR2BulletsLevel2"/>
      </w:pPr>
      <w:r w:rsidRPr="003871E5">
        <w:t>Appendix A contains the constraints plans, depicting nationally or internationally significant environmental and heritage designations</w:t>
      </w:r>
    </w:p>
    <w:p w14:paraId="17F46D2C" w14:textId="4D31AEA8" w:rsidR="000C6958" w:rsidRPr="003871E5" w:rsidRDefault="000C6958" w:rsidP="00D93256">
      <w:pPr>
        <w:pStyle w:val="STPR2BulletsLevel2"/>
      </w:pPr>
      <w:r w:rsidRPr="003871E5">
        <w:t xml:space="preserve">Appendix B contains a comprehensive review of the PPS that are summarised in </w:t>
      </w:r>
      <w:r w:rsidRPr="00444D25">
        <w:rPr>
          <w:b/>
        </w:rPr>
        <w:t xml:space="preserve">Chapter </w:t>
      </w:r>
      <w:r w:rsidR="00330AC7" w:rsidRPr="00444D25">
        <w:rPr>
          <w:b/>
        </w:rPr>
        <w:fldChar w:fldCharType="begin"/>
      </w:r>
      <w:r w:rsidR="00330AC7" w:rsidRPr="00444D25">
        <w:rPr>
          <w:b/>
        </w:rPr>
        <w:instrText xml:space="preserve"> REF _Ref90565469 \r \h </w:instrText>
      </w:r>
      <w:r w:rsidR="004B3264" w:rsidRPr="00444D25">
        <w:rPr>
          <w:b/>
        </w:rPr>
        <w:instrText xml:space="preserve"> \* MERGEFORMAT </w:instrText>
      </w:r>
      <w:r w:rsidR="00330AC7" w:rsidRPr="00444D25">
        <w:rPr>
          <w:b/>
        </w:rPr>
      </w:r>
      <w:r w:rsidR="00330AC7" w:rsidRPr="00444D25">
        <w:rPr>
          <w:b/>
        </w:rPr>
        <w:fldChar w:fldCharType="separate"/>
      </w:r>
      <w:r w:rsidR="00C22A9E" w:rsidRPr="00C22A9E">
        <w:rPr>
          <w:rFonts w:cs="Arial"/>
          <w:b/>
        </w:rPr>
        <w:t>3</w:t>
      </w:r>
      <w:r w:rsidR="00330AC7" w:rsidRPr="00444D25">
        <w:rPr>
          <w:b/>
        </w:rPr>
        <w:fldChar w:fldCharType="end"/>
      </w:r>
      <w:r w:rsidRPr="003871E5">
        <w:t xml:space="preserve"> of the report </w:t>
      </w:r>
    </w:p>
    <w:p w14:paraId="170CDD32" w14:textId="3A0C1528" w:rsidR="000C6958" w:rsidRPr="003871E5" w:rsidRDefault="000C6958" w:rsidP="00D93256">
      <w:pPr>
        <w:pStyle w:val="STPR2BulletsLevel2"/>
      </w:pPr>
      <w:r w:rsidRPr="003871E5">
        <w:t xml:space="preserve">Appendix C contains the full, national-level environmental baseline data, which is summarised in </w:t>
      </w:r>
      <w:r w:rsidRPr="00120C68">
        <w:rPr>
          <w:b/>
        </w:rPr>
        <w:t xml:space="preserve">Chapter </w:t>
      </w:r>
      <w:r w:rsidR="00330AC7" w:rsidRPr="00120C68">
        <w:rPr>
          <w:b/>
        </w:rPr>
        <w:fldChar w:fldCharType="begin"/>
      </w:r>
      <w:r w:rsidR="00330AC7" w:rsidRPr="00120C68">
        <w:rPr>
          <w:b/>
        </w:rPr>
        <w:instrText xml:space="preserve"> REF _Ref90565475 \r \h </w:instrText>
      </w:r>
      <w:r w:rsidR="004B3264" w:rsidRPr="00120C68">
        <w:rPr>
          <w:b/>
        </w:rPr>
        <w:instrText xml:space="preserve"> \* MERGEFORMAT </w:instrText>
      </w:r>
      <w:r w:rsidR="00330AC7" w:rsidRPr="00120C68">
        <w:rPr>
          <w:b/>
        </w:rPr>
      </w:r>
      <w:r w:rsidR="00330AC7" w:rsidRPr="00120C68">
        <w:rPr>
          <w:b/>
        </w:rPr>
        <w:fldChar w:fldCharType="separate"/>
      </w:r>
      <w:r w:rsidR="00C22A9E" w:rsidRPr="00C22A9E">
        <w:rPr>
          <w:rFonts w:cs="Arial"/>
          <w:b/>
        </w:rPr>
        <w:t>4</w:t>
      </w:r>
      <w:r w:rsidR="00330AC7" w:rsidRPr="00120C68">
        <w:rPr>
          <w:b/>
        </w:rPr>
        <w:fldChar w:fldCharType="end"/>
      </w:r>
      <w:r w:rsidRPr="003871E5">
        <w:t xml:space="preserve"> of the report</w:t>
      </w:r>
    </w:p>
    <w:p w14:paraId="099B3DDE" w14:textId="34757FC8" w:rsidR="0093654F" w:rsidRPr="003871E5" w:rsidRDefault="000C6958" w:rsidP="00D93256">
      <w:pPr>
        <w:pStyle w:val="STPR2BulletsLevel2"/>
      </w:pPr>
      <w:r w:rsidRPr="003871E5">
        <w:t>Appendix D contains summaries of the regional environmental baseline data</w:t>
      </w:r>
      <w:r w:rsidR="00444D25">
        <w:t xml:space="preserve"> and regional assessment summary</w:t>
      </w:r>
    </w:p>
    <w:p w14:paraId="519A8092" w14:textId="5D6F8DD2" w:rsidR="00443E51" w:rsidRPr="003871E5" w:rsidRDefault="00443E51" w:rsidP="00D93256">
      <w:pPr>
        <w:pStyle w:val="STPR2BulletsLevel2"/>
      </w:pPr>
      <w:r w:rsidRPr="003871E5">
        <w:t xml:space="preserve">Appendix E contains summaries </w:t>
      </w:r>
      <w:r w:rsidR="005C64B7" w:rsidRPr="003871E5">
        <w:t>of the consultation responses</w:t>
      </w:r>
    </w:p>
    <w:p w14:paraId="50E319E7" w14:textId="49B83210" w:rsidR="000C6958" w:rsidRDefault="002C289E" w:rsidP="00D93256">
      <w:pPr>
        <w:pStyle w:val="STPR2BulletsLevel2"/>
      </w:pPr>
      <w:r w:rsidRPr="003871E5">
        <w:t xml:space="preserve">Appendix F contains the </w:t>
      </w:r>
      <w:r w:rsidRPr="005852A5">
        <w:t xml:space="preserve">assessment of </w:t>
      </w:r>
      <w:r w:rsidR="002A0C2D" w:rsidRPr="002A0C2D">
        <w:t xml:space="preserve">the </w:t>
      </w:r>
      <w:r w:rsidRPr="005852A5">
        <w:t>STPR2</w:t>
      </w:r>
      <w:r w:rsidR="00652FED">
        <w:t xml:space="preserve"> multi</w:t>
      </w:r>
      <w:r w:rsidR="00F3670E">
        <w:t>-</w:t>
      </w:r>
      <w:r w:rsidR="00652FED">
        <w:t>modal</w:t>
      </w:r>
      <w:r w:rsidRPr="005852A5">
        <w:t xml:space="preserve"> packages</w:t>
      </w:r>
      <w:r w:rsidR="005852A5">
        <w:t xml:space="preserve"> </w:t>
      </w:r>
      <w:r w:rsidR="00A914FD">
        <w:t>and the 45 STPR2 recommendations</w:t>
      </w:r>
    </w:p>
    <w:p w14:paraId="638E8115" w14:textId="5EB11454" w:rsidR="00AD1BAC" w:rsidRPr="005852A5" w:rsidRDefault="00AD1BAC" w:rsidP="00D93256">
      <w:pPr>
        <w:pStyle w:val="STPR2BulletsLevel1"/>
        <w:sectPr w:rsidR="00AD1BAC" w:rsidRPr="005852A5" w:rsidSect="004D2780">
          <w:footerReference w:type="default" r:id="rId19"/>
          <w:pgSz w:w="11906" w:h="16838" w:code="9"/>
          <w:pgMar w:top="1701" w:right="1134" w:bottom="1134" w:left="1134" w:header="454" w:footer="567" w:gutter="0"/>
          <w:pgNumType w:start="1"/>
          <w:cols w:space="720"/>
          <w:noEndnote/>
          <w:docGrid w:linePitch="299"/>
        </w:sectPr>
      </w:pPr>
    </w:p>
    <w:p w14:paraId="6CFAEC20" w14:textId="2A81A0F7" w:rsidR="000C6958" w:rsidRDefault="000C6958" w:rsidP="004B3264">
      <w:pPr>
        <w:pStyle w:val="Heading1"/>
      </w:pPr>
      <w:bookmarkStart w:id="261" w:name="_Toc21446867"/>
      <w:bookmarkStart w:id="262" w:name="_Toc21447121"/>
      <w:bookmarkStart w:id="263" w:name="_Toc21447235"/>
      <w:bookmarkStart w:id="264" w:name="_Toc21447480"/>
      <w:bookmarkStart w:id="265" w:name="_Toc21447614"/>
      <w:bookmarkStart w:id="266" w:name="_Toc20903626"/>
      <w:bookmarkStart w:id="267" w:name="_Toc20903738"/>
      <w:bookmarkStart w:id="268" w:name="_Toc20903855"/>
      <w:bookmarkStart w:id="269" w:name="_Toc21078495"/>
      <w:bookmarkStart w:id="270" w:name="_Toc21080121"/>
      <w:bookmarkStart w:id="271" w:name="_Toc21353739"/>
      <w:bookmarkStart w:id="272" w:name="_Toc21354205"/>
      <w:bookmarkStart w:id="273" w:name="_Toc21446868"/>
      <w:bookmarkStart w:id="274" w:name="_Toc21447122"/>
      <w:bookmarkStart w:id="275" w:name="_Toc21447236"/>
      <w:bookmarkStart w:id="276" w:name="_Toc21447481"/>
      <w:bookmarkStart w:id="277" w:name="_Toc21447615"/>
      <w:bookmarkStart w:id="278" w:name="_Toc21078498"/>
      <w:bookmarkStart w:id="279" w:name="_Toc21080124"/>
      <w:bookmarkStart w:id="280" w:name="_Toc21353742"/>
      <w:bookmarkStart w:id="281" w:name="_Toc21354208"/>
      <w:bookmarkStart w:id="282" w:name="_Toc21446871"/>
      <w:bookmarkStart w:id="283" w:name="_Toc21447125"/>
      <w:bookmarkStart w:id="284" w:name="_Toc21447239"/>
      <w:bookmarkStart w:id="285" w:name="_Toc21447484"/>
      <w:bookmarkStart w:id="286" w:name="_Toc21447618"/>
      <w:bookmarkStart w:id="287" w:name="_Toc21078499"/>
      <w:bookmarkStart w:id="288" w:name="_Toc21080125"/>
      <w:bookmarkStart w:id="289" w:name="_Toc21353743"/>
      <w:bookmarkStart w:id="290" w:name="_Toc21354209"/>
      <w:bookmarkStart w:id="291" w:name="_Toc21446872"/>
      <w:bookmarkStart w:id="292" w:name="_Toc21447126"/>
      <w:bookmarkStart w:id="293" w:name="_Toc21447240"/>
      <w:bookmarkStart w:id="294" w:name="_Toc21447485"/>
      <w:bookmarkStart w:id="295" w:name="_Toc21447619"/>
      <w:bookmarkStart w:id="296" w:name="_Toc21078500"/>
      <w:bookmarkStart w:id="297" w:name="_Toc21080126"/>
      <w:bookmarkStart w:id="298" w:name="_Toc21353744"/>
      <w:bookmarkStart w:id="299" w:name="_Toc21354210"/>
      <w:bookmarkStart w:id="300" w:name="_Toc21446873"/>
      <w:bookmarkStart w:id="301" w:name="_Toc21447127"/>
      <w:bookmarkStart w:id="302" w:name="_Toc21447241"/>
      <w:bookmarkStart w:id="303" w:name="_Toc21447486"/>
      <w:bookmarkStart w:id="304" w:name="_Toc21447620"/>
      <w:bookmarkStart w:id="305" w:name="_Toc21078502"/>
      <w:bookmarkStart w:id="306" w:name="_Toc21080128"/>
      <w:bookmarkStart w:id="307" w:name="_Toc21353746"/>
      <w:bookmarkStart w:id="308" w:name="_Toc21354212"/>
      <w:bookmarkStart w:id="309" w:name="_Toc21446875"/>
      <w:bookmarkStart w:id="310" w:name="_Toc21447129"/>
      <w:bookmarkStart w:id="311" w:name="_Toc21447243"/>
      <w:bookmarkStart w:id="312" w:name="_Toc21447488"/>
      <w:bookmarkStart w:id="313" w:name="_Toc21447622"/>
      <w:bookmarkStart w:id="314" w:name="_Toc20744585"/>
      <w:bookmarkStart w:id="315" w:name="_Toc20754061"/>
      <w:bookmarkStart w:id="316" w:name="_Toc20756450"/>
      <w:bookmarkStart w:id="317" w:name="_Toc20758883"/>
      <w:bookmarkStart w:id="318" w:name="_Toc20758956"/>
      <w:bookmarkStart w:id="319" w:name="_Toc20759028"/>
      <w:bookmarkStart w:id="320" w:name="_Toc20759220"/>
      <w:bookmarkStart w:id="321" w:name="_Toc20898705"/>
      <w:bookmarkStart w:id="322" w:name="_Toc20898990"/>
      <w:bookmarkStart w:id="323" w:name="_Toc20903628"/>
      <w:bookmarkStart w:id="324" w:name="_Toc20903740"/>
      <w:bookmarkStart w:id="325" w:name="_Toc20903860"/>
      <w:bookmarkStart w:id="326" w:name="_Toc21078504"/>
      <w:bookmarkStart w:id="327" w:name="_Toc21080130"/>
      <w:bookmarkStart w:id="328" w:name="_Toc21353748"/>
      <w:bookmarkStart w:id="329" w:name="_Toc21354214"/>
      <w:bookmarkStart w:id="330" w:name="_Toc21446877"/>
      <w:bookmarkStart w:id="331" w:name="_Toc21447131"/>
      <w:bookmarkStart w:id="332" w:name="_Toc21447245"/>
      <w:bookmarkStart w:id="333" w:name="_Toc21447490"/>
      <w:bookmarkStart w:id="334" w:name="_Toc21447624"/>
      <w:bookmarkStart w:id="335" w:name="_Toc21510383"/>
      <w:bookmarkStart w:id="336" w:name="_Toc21510985"/>
      <w:bookmarkStart w:id="337" w:name="_Toc21523054"/>
      <w:bookmarkStart w:id="338" w:name="_Toc21672562"/>
      <w:bookmarkStart w:id="339" w:name="_Toc21677968"/>
      <w:bookmarkStart w:id="340" w:name="_Toc20744586"/>
      <w:bookmarkStart w:id="341" w:name="_Toc20754062"/>
      <w:bookmarkStart w:id="342" w:name="_Toc20756451"/>
      <w:bookmarkStart w:id="343" w:name="_Toc20758884"/>
      <w:bookmarkStart w:id="344" w:name="_Toc20758957"/>
      <w:bookmarkStart w:id="345" w:name="_Toc20759029"/>
      <w:bookmarkStart w:id="346" w:name="_Toc20759221"/>
      <w:bookmarkStart w:id="347" w:name="_Toc20898706"/>
      <w:bookmarkStart w:id="348" w:name="_Toc20898991"/>
      <w:bookmarkStart w:id="349" w:name="_Toc20903629"/>
      <w:bookmarkStart w:id="350" w:name="_Toc20903741"/>
      <w:bookmarkStart w:id="351" w:name="_Toc20903861"/>
      <w:bookmarkStart w:id="352" w:name="_Toc21078505"/>
      <w:bookmarkStart w:id="353" w:name="_Toc21080131"/>
      <w:bookmarkStart w:id="354" w:name="_Toc21353749"/>
      <w:bookmarkStart w:id="355" w:name="_Toc21354215"/>
      <w:bookmarkStart w:id="356" w:name="_Toc21446878"/>
      <w:bookmarkStart w:id="357" w:name="_Toc21447132"/>
      <w:bookmarkStart w:id="358" w:name="_Toc21447246"/>
      <w:bookmarkStart w:id="359" w:name="_Toc21447491"/>
      <w:bookmarkStart w:id="360" w:name="_Toc21447625"/>
      <w:bookmarkStart w:id="361" w:name="_Toc21510384"/>
      <w:bookmarkStart w:id="362" w:name="_Toc21510986"/>
      <w:bookmarkStart w:id="363" w:name="_Toc21523055"/>
      <w:bookmarkStart w:id="364" w:name="_Toc21672563"/>
      <w:bookmarkStart w:id="365" w:name="_Toc21677969"/>
      <w:bookmarkStart w:id="366" w:name="_Toc81993573"/>
      <w:bookmarkStart w:id="367" w:name="_Ref90564378"/>
      <w:bookmarkStart w:id="368" w:name="_Ref90564415"/>
      <w:bookmarkStart w:id="369" w:name="_Ref90564440"/>
      <w:bookmarkStart w:id="370" w:name="_Ref90564606"/>
      <w:bookmarkStart w:id="371" w:name="_Toc121339087"/>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4B3264">
        <w:lastRenderedPageBreak/>
        <w:t>STPR2</w:t>
      </w:r>
      <w:r>
        <w:t xml:space="preserve"> </w:t>
      </w:r>
      <w:r w:rsidRPr="00EF172D">
        <w:t>Overview</w:t>
      </w:r>
      <w:bookmarkEnd w:id="366"/>
      <w:bookmarkEnd w:id="367"/>
      <w:bookmarkEnd w:id="368"/>
      <w:bookmarkEnd w:id="369"/>
      <w:bookmarkEnd w:id="370"/>
      <w:bookmarkEnd w:id="371"/>
    </w:p>
    <w:p w14:paraId="3922523F" w14:textId="3359E0EA" w:rsidR="00F45A7E" w:rsidRDefault="00F45A7E" w:rsidP="0033560A">
      <w:pPr>
        <w:pStyle w:val="Heading2"/>
      </w:pPr>
      <w:bookmarkStart w:id="372" w:name="_Toc121339088"/>
      <w:r>
        <w:t>Purpose of STPR2</w:t>
      </w:r>
      <w:bookmarkEnd w:id="372"/>
    </w:p>
    <w:p w14:paraId="0793C3B6" w14:textId="4A45F0B3" w:rsidR="00F45A7E" w:rsidRDefault="00C51D88" w:rsidP="00D93256">
      <w:pPr>
        <w:pStyle w:val="STPR2BodyText"/>
      </w:pPr>
      <w:r>
        <w:t xml:space="preserve">The purpose of </w:t>
      </w:r>
      <w:r w:rsidR="002A0C2D" w:rsidRPr="002A0C2D">
        <w:t xml:space="preserve">the </w:t>
      </w:r>
      <w:r>
        <w:t>STPR2 is t</w:t>
      </w:r>
      <w:r w:rsidR="00F45A7E">
        <w:t>o conduct a Scotland-wide, evidence-based review of the performance of the strategic transport system, against multiple criteria</w:t>
      </w:r>
      <w:r w:rsidR="00156F44">
        <w:t>,</w:t>
      </w:r>
      <w:r w:rsidR="00F45A7E">
        <w:t xml:space="preserve"> including safety, environment, economy, integration, accessibility and social inclusion and, fundamentally, to support the Scottish Government’s aims, including sustainable inclusive growth and the move to a low carbon transport system.</w:t>
      </w:r>
    </w:p>
    <w:p w14:paraId="6AACF083" w14:textId="50382801" w:rsidR="00F45A7E" w:rsidRPr="00F45A7E" w:rsidRDefault="00F45A7E" w:rsidP="00D93256">
      <w:pPr>
        <w:pStyle w:val="STPR2BodyText"/>
      </w:pPr>
      <w:bookmarkStart w:id="373" w:name="_Toc81993577"/>
      <w:r>
        <w:t xml:space="preserve">In so doing, </w:t>
      </w:r>
      <w:r w:rsidR="002A0C2D" w:rsidRPr="002A0C2D">
        <w:t xml:space="preserve">the </w:t>
      </w:r>
      <w:r>
        <w:t>STPR2 make</w:t>
      </w:r>
      <w:r w:rsidR="00E309A0">
        <w:t>s</w:t>
      </w:r>
      <w:r>
        <w:t xml:space="preserve"> recommendations for potential transport investments for Scottish Ministers to consider as national investment priorities</w:t>
      </w:r>
      <w:r w:rsidR="000C5CA1">
        <w:t>.</w:t>
      </w:r>
      <w:r w:rsidR="000C5CA1" w:rsidRPr="000C5CA1">
        <w:t xml:space="preserve"> </w:t>
      </w:r>
      <w:r w:rsidR="002A0C2D">
        <w:t xml:space="preserve">The </w:t>
      </w:r>
      <w:r w:rsidR="006209A5" w:rsidRPr="006209A5">
        <w:t>STPR2 is an ambitious plan for investment for the next 20 years (2022 – 2042)</w:t>
      </w:r>
      <w:r w:rsidR="00390D1E">
        <w:t>,</w:t>
      </w:r>
      <w:r w:rsidR="006209A5" w:rsidRPr="006209A5">
        <w:t xml:space="preserve"> however it is not a funded plan and is subject to the funding allocations agreed by Parliament each year through the annual budget process</w:t>
      </w:r>
      <w:r w:rsidR="00A17371">
        <w:t>.</w:t>
      </w:r>
    </w:p>
    <w:p w14:paraId="0200C605" w14:textId="523F1EE4" w:rsidR="000C6958" w:rsidRPr="00B13024" w:rsidRDefault="000C6958" w:rsidP="0033560A">
      <w:pPr>
        <w:pStyle w:val="Heading2"/>
      </w:pPr>
      <w:bookmarkStart w:id="374" w:name="_Toc121339089"/>
      <w:r w:rsidRPr="00775A5E">
        <w:t>Content</w:t>
      </w:r>
      <w:r w:rsidRPr="00B13024">
        <w:t xml:space="preserve"> </w:t>
      </w:r>
      <w:r w:rsidR="00187FE7">
        <w:t>and</w:t>
      </w:r>
      <w:r w:rsidRPr="00B13024" w:rsidDel="00187FE7">
        <w:t xml:space="preserve"> </w:t>
      </w:r>
      <w:r w:rsidRPr="00B13024">
        <w:t>Scope</w:t>
      </w:r>
      <w:bookmarkEnd w:id="373"/>
      <w:r w:rsidR="00187FE7">
        <w:t xml:space="preserve"> of STPR2</w:t>
      </w:r>
      <w:bookmarkEnd w:id="374"/>
    </w:p>
    <w:p w14:paraId="6A60C674" w14:textId="5923771B" w:rsidR="00366831" w:rsidRDefault="002A0C2D" w:rsidP="00D93256">
      <w:pPr>
        <w:pStyle w:val="STPR2BodyText"/>
      </w:pPr>
      <w:r>
        <w:t xml:space="preserve">The </w:t>
      </w:r>
      <w:r w:rsidR="00366831">
        <w:t xml:space="preserve">STPR2 </w:t>
      </w:r>
      <w:r w:rsidR="00366831" w:rsidRPr="00BA7F36">
        <w:t>will guide the Scottish Government’s transport investment in Scotland for the next 20 years and help to deliver the vision, priorities and outcomes that are set out in</w:t>
      </w:r>
      <w:r w:rsidR="00F170FF">
        <w:t> </w:t>
      </w:r>
      <w:r w:rsidR="000B001C" w:rsidRPr="000B001C">
        <w:t xml:space="preserve">the </w:t>
      </w:r>
      <w:r w:rsidR="00366831">
        <w:t>NTS2.</w:t>
      </w:r>
    </w:p>
    <w:p w14:paraId="071CEFAC" w14:textId="0A48E6F7" w:rsidR="00C1115A" w:rsidRDefault="00C1115A" w:rsidP="00D93256">
      <w:pPr>
        <w:pStyle w:val="STPR2BodyText"/>
      </w:pPr>
      <w:r>
        <w:t xml:space="preserve">It is recognised that Scotland’s geography is unique and varied, ranging from rural lowlands to remote uplands, and from large cities to sparsely inhabited islands, meaning no two parts of Scotland are the same, nor are their travel patterns and demands. For that reason, </w:t>
      </w:r>
      <w:r w:rsidR="002A0C2D" w:rsidRPr="002A0C2D">
        <w:t xml:space="preserve">the </w:t>
      </w:r>
      <w:r>
        <w:t xml:space="preserve">STPR2 considered both national and regional issues in order to appraise </w:t>
      </w:r>
      <w:r w:rsidR="00587A66">
        <w:t>O</w:t>
      </w:r>
      <w:r>
        <w:t>ptions</w:t>
      </w:r>
      <w:r w:rsidR="00274A37">
        <w:t xml:space="preserve">, </w:t>
      </w:r>
      <w:r w:rsidR="00587A66">
        <w:t>G</w:t>
      </w:r>
      <w:r w:rsidR="00274A37">
        <w:t>r</w:t>
      </w:r>
      <w:r w:rsidR="00BC226E">
        <w:t xml:space="preserve">oupings </w:t>
      </w:r>
      <w:r w:rsidR="00A35CC6" w:rsidRPr="00A35CC6">
        <w:t xml:space="preserve">(similar types of intervention) </w:t>
      </w:r>
      <w:r w:rsidR="00BC226E">
        <w:t xml:space="preserve">and </w:t>
      </w:r>
      <w:r w:rsidR="00587A66">
        <w:t>P</w:t>
      </w:r>
      <w:r w:rsidR="00BC226E">
        <w:t xml:space="preserve">ackages of </w:t>
      </w:r>
      <w:r w:rsidR="00587A66">
        <w:t>I</w:t>
      </w:r>
      <w:r w:rsidR="00BC226E">
        <w:t>nterventions</w:t>
      </w:r>
      <w:r>
        <w:t xml:space="preserve"> in the context of place. </w:t>
      </w:r>
      <w:r w:rsidR="00E7040F">
        <w:t xml:space="preserve">Groupings and Packages are both </w:t>
      </w:r>
      <w:r w:rsidR="00E7040F" w:rsidRPr="00E7040F">
        <w:t>defined in the glossary</w:t>
      </w:r>
      <w:r w:rsidR="00A35CC6">
        <w:t>.</w:t>
      </w:r>
    </w:p>
    <w:p w14:paraId="7C235041" w14:textId="5FA0E8F0" w:rsidR="00C1115A" w:rsidRDefault="00C1115A" w:rsidP="00D93256">
      <w:pPr>
        <w:pStyle w:val="STPR2BodyText"/>
      </w:pPr>
      <w:r>
        <w:t>The national focus considered the strategic links between the cities and key ports, international gateways and cross-border links, whilst the regional focus considered the role of the strategic network in the context of regional economic geographies and changes emanating from, for example, the Planning Review, Enterprise and Skills Review, and City and Regional Growth Deals. This approach enable</w:t>
      </w:r>
      <w:r w:rsidR="006D0F06">
        <w:t>d</w:t>
      </w:r>
      <w:r>
        <w:t xml:space="preserve"> examination of regional issues which would have significant effects on the national strategic network, to deliver national investment priorities.</w:t>
      </w:r>
    </w:p>
    <w:p w14:paraId="717FCEDD" w14:textId="3B153127" w:rsidR="00C1115A" w:rsidRDefault="00C1115A" w:rsidP="00D93256">
      <w:pPr>
        <w:pStyle w:val="STPR2BodyText"/>
      </w:pPr>
      <w:r>
        <w:t xml:space="preserve">A total of 11 regions have been established for </w:t>
      </w:r>
      <w:r w:rsidR="002A0C2D" w:rsidRPr="002A0C2D">
        <w:t xml:space="preserve">the </w:t>
      </w:r>
      <w:r>
        <w:t>STPR2: Argyll and Bute, Ayrshire and Arran, Edinburgh and South</w:t>
      </w:r>
      <w:r w:rsidR="00D56F8D">
        <w:t xml:space="preserve"> </w:t>
      </w:r>
      <w:r>
        <w:t>East Scotland, Forth Valley, Glasgow City Region, Highlands and Islands, North East Scotland, Scottish Borders, Shetland Islands, South West Scotland and Tay Cities. Within North East Scotland, the Scottish Borders and South West Scotland work was carried out in advance of the STPR2 commission, and collectively these are referred to as the STPR2 Advanced Studies. Further details of the regional structure are set out in the National Case for Change Report (</w:t>
      </w:r>
      <w:r w:rsidR="00D2730A" w:rsidRPr="00D2730A">
        <w:t>Jacobs AECOM</w:t>
      </w:r>
      <w:r w:rsidR="00D2730A">
        <w:t xml:space="preserve">, </w:t>
      </w:r>
      <w:r w:rsidR="00D2730A" w:rsidRPr="00D2730A">
        <w:t>2021c</w:t>
      </w:r>
      <w:r w:rsidR="00D2730A">
        <w:t>;</w:t>
      </w:r>
      <w:r w:rsidR="00D2730A" w:rsidRPr="00D2730A">
        <w:t xml:space="preserve"> </w:t>
      </w:r>
      <w:r>
        <w:t>Transport Scotland, 2021a) and the 11 STPR2 regions are shown in Figure 2</w:t>
      </w:r>
      <w:r w:rsidR="00487DB5">
        <w:t>, on the following page</w:t>
      </w:r>
      <w:r>
        <w:t>.</w:t>
      </w:r>
    </w:p>
    <w:p w14:paraId="234DEA32" w14:textId="2FA41AB7" w:rsidR="00130B56" w:rsidRDefault="00C3691D" w:rsidP="00D93256">
      <w:pPr>
        <w:pStyle w:val="STPR2BodyText"/>
      </w:pPr>
      <w:r>
        <w:t xml:space="preserve">The </w:t>
      </w:r>
      <w:r w:rsidR="00A647EA">
        <w:t>STPR2 specifically focusses on Scotland’s key strategic transport assets. In this context, a strategic transport project is defined as</w:t>
      </w:r>
      <w:r w:rsidR="00046963">
        <w:t>:</w:t>
      </w:r>
    </w:p>
    <w:p w14:paraId="1A92E4C7" w14:textId="0EAAB834" w:rsidR="00422A2E" w:rsidRPr="00364BD1" w:rsidRDefault="00277F8B" w:rsidP="00D93256">
      <w:pPr>
        <w:pStyle w:val="STPR2BulletsLevel1"/>
      </w:pPr>
      <w:r>
        <w:t>A</w:t>
      </w:r>
      <w:r w:rsidR="00422A2E" w:rsidRPr="00364BD1">
        <w:t>ny transport project that plays a significant part in supporting the four NTS2 priorities and related outcomes; </w:t>
      </w:r>
    </w:p>
    <w:p w14:paraId="105F53A1" w14:textId="658A0398" w:rsidR="00422A2E" w:rsidRPr="00364BD1" w:rsidRDefault="00277F8B" w:rsidP="00D93256">
      <w:pPr>
        <w:pStyle w:val="STPR2BulletsLevel1"/>
      </w:pPr>
      <w:r>
        <w:t>P</w:t>
      </w:r>
      <w:r w:rsidR="00422A2E" w:rsidRPr="00364BD1">
        <w:t xml:space="preserve">rojects or groups of projects related to transport networks owned, operated and </w:t>
      </w:r>
      <w:r w:rsidR="00422A2E" w:rsidRPr="00364BD1">
        <w:lastRenderedPageBreak/>
        <w:t>funded directly by Transport Scotland; </w:t>
      </w:r>
    </w:p>
    <w:p w14:paraId="3417F6D8" w14:textId="076C2104" w:rsidR="00422A2E" w:rsidRPr="00364BD1" w:rsidRDefault="00277F8B" w:rsidP="00D93256">
      <w:pPr>
        <w:pStyle w:val="STPR2BulletsLevel1"/>
      </w:pPr>
      <w:r>
        <w:t>P</w:t>
      </w:r>
      <w:r w:rsidR="00422A2E" w:rsidRPr="00364BD1">
        <w:t xml:space="preserve">assenger and freight access to </w:t>
      </w:r>
      <w:r w:rsidR="00023587">
        <w:t xml:space="preserve">major </w:t>
      </w:r>
      <w:r w:rsidR="00422A2E" w:rsidRPr="00364BD1">
        <w:t>ports and airports; </w:t>
      </w:r>
    </w:p>
    <w:p w14:paraId="16658E85" w14:textId="1DDA0E15" w:rsidR="00422A2E" w:rsidRDefault="00D36A99" w:rsidP="00D93256">
      <w:pPr>
        <w:pStyle w:val="STPR2BulletsLevel1"/>
      </w:pPr>
      <w:r>
        <w:t>I</w:t>
      </w:r>
      <w:r w:rsidR="00422A2E" w:rsidRPr="00364BD1">
        <w:t>nter-urban bus and active travel networks and principal corridors within urban</w:t>
      </w:r>
      <w:r w:rsidR="005366FB">
        <w:t> </w:t>
      </w:r>
      <w:r w:rsidR="00422A2E" w:rsidRPr="00364BD1">
        <w:t>areas. </w:t>
      </w:r>
    </w:p>
    <w:p w14:paraId="6F2E5423" w14:textId="28DC72CA" w:rsidR="00FE05C9" w:rsidRDefault="00FE05C9" w:rsidP="00D93256">
      <w:pPr>
        <w:pStyle w:val="STPR2BodyText"/>
      </w:pPr>
    </w:p>
    <w:p w14:paraId="667A6A39" w14:textId="77777777" w:rsidR="00522C10" w:rsidRDefault="00522C10" w:rsidP="00D93256">
      <w:pPr>
        <w:pStyle w:val="STPR2CaptionFigures"/>
      </w:pPr>
      <w:bookmarkStart w:id="375" w:name="_Ref93053779"/>
    </w:p>
    <w:p w14:paraId="0EAAB1AB" w14:textId="4BBD6E1C" w:rsidR="00522C10" w:rsidRDefault="00FA02E3" w:rsidP="00D93256">
      <w:pPr>
        <w:pStyle w:val="STPR2CaptionFigures"/>
      </w:pPr>
      <w:r>
        <w:rPr>
          <w:noProof/>
        </w:rPr>
        <w:drawing>
          <wp:inline distT="0" distB="0" distL="0" distR="0" wp14:anchorId="3A6D354A" wp14:editId="1EC26D43">
            <wp:extent cx="6120765" cy="6376670"/>
            <wp:effectExtent l="0" t="0" r="0" b="5080"/>
            <wp:docPr id="2" name="Picture 2" descr="Map of Scotland showing the 11 STPR2 regions: Argyll and Bute, Ayrshire and Arran, Edinburgh and South East, Forth Valley, Glasgow City Region, Highlands and Islands, North East Scotland, Scottish Borders, Shetland Islands, South West Scotland and Tay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Scotland showing the 11 STPR2 regions: Argyll and Bute, Ayrshire and Arran, Edinburgh and South East, Forth Valley, Glasgow City Region, Highlands and Islands, North East Scotland, Scottish Borders, Shetland Islands, South West Scotland and Tay Citi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6376670"/>
                    </a:xfrm>
                    <a:prstGeom prst="rect">
                      <a:avLst/>
                    </a:prstGeom>
                    <a:noFill/>
                  </pic:spPr>
                </pic:pic>
              </a:graphicData>
            </a:graphic>
          </wp:inline>
        </w:drawing>
      </w:r>
    </w:p>
    <w:p w14:paraId="6B1B940F" w14:textId="38BC6A33" w:rsidR="00C70FCF" w:rsidRPr="00332D71" w:rsidRDefault="00C70FCF" w:rsidP="00D93256">
      <w:pPr>
        <w:pStyle w:val="STPR2CaptionFigures"/>
      </w:pPr>
      <w:bookmarkStart w:id="376" w:name="_Toc121231966"/>
      <w:r w:rsidRPr="0083205E">
        <w:t xml:space="preserve">Figure </w:t>
      </w:r>
      <w:r w:rsidRPr="00332D71">
        <w:fldChar w:fldCharType="begin"/>
      </w:r>
      <w:r w:rsidRPr="0083205E">
        <w:instrText>SEQ Figure \* ARABIC</w:instrText>
      </w:r>
      <w:r w:rsidRPr="00332D71">
        <w:fldChar w:fldCharType="separate"/>
      </w:r>
      <w:r w:rsidR="00C22A9E">
        <w:rPr>
          <w:noProof/>
        </w:rPr>
        <w:t>2</w:t>
      </w:r>
      <w:r w:rsidRPr="00332D71">
        <w:fldChar w:fldCharType="end"/>
      </w:r>
      <w:bookmarkEnd w:id="375"/>
      <w:r w:rsidRPr="0083205E">
        <w:t xml:space="preserve">: </w:t>
      </w:r>
      <w:r w:rsidR="00741AD3">
        <w:t xml:space="preserve">The </w:t>
      </w:r>
      <w:r w:rsidRPr="0083205E">
        <w:t xml:space="preserve">STPR2 </w:t>
      </w:r>
      <w:r w:rsidR="00436228">
        <w:t>r</w:t>
      </w:r>
      <w:r w:rsidRPr="0083205E">
        <w:t>egions</w:t>
      </w:r>
      <w:bookmarkEnd w:id="376"/>
    </w:p>
    <w:p w14:paraId="1F672A66" w14:textId="3B29BE09" w:rsidR="003871E5" w:rsidRDefault="003871E5" w:rsidP="00D93256">
      <w:pPr>
        <w:pStyle w:val="STPR2CaptionFigures"/>
      </w:pPr>
      <w:r w:rsidRPr="00FE05C9">
        <w:br w:type="page"/>
      </w:r>
    </w:p>
    <w:p w14:paraId="2AF79EC8" w14:textId="21D7867E" w:rsidR="000C6958" w:rsidRPr="00B13024" w:rsidRDefault="000C6958" w:rsidP="0033560A">
      <w:pPr>
        <w:pStyle w:val="Heading2"/>
      </w:pPr>
      <w:bookmarkStart w:id="377" w:name="_Toc81993578"/>
      <w:bookmarkStart w:id="378" w:name="_Ref90047437"/>
      <w:bookmarkStart w:id="379" w:name="_Toc121339090"/>
      <w:r w:rsidRPr="00B13024">
        <w:lastRenderedPageBreak/>
        <w:t xml:space="preserve">STPR2 </w:t>
      </w:r>
      <w:bookmarkEnd w:id="377"/>
      <w:r w:rsidR="00B65189">
        <w:t xml:space="preserve">Development </w:t>
      </w:r>
      <w:r w:rsidR="00803353">
        <w:t>Approach</w:t>
      </w:r>
      <w:bookmarkEnd w:id="378"/>
      <w:bookmarkEnd w:id="379"/>
    </w:p>
    <w:p w14:paraId="5999F0A8" w14:textId="370B8993" w:rsidR="00300D5E" w:rsidRPr="00F95AB8" w:rsidRDefault="00300D5E" w:rsidP="00D93256">
      <w:pPr>
        <w:pStyle w:val="STPR2BodyText"/>
      </w:pPr>
      <w:r>
        <w:t xml:space="preserve">The STPR2 process has been developed </w:t>
      </w:r>
      <w:r w:rsidR="009D051E">
        <w:t xml:space="preserve">in accordance with </w:t>
      </w:r>
      <w:r>
        <w:t>STAG. STAG is Transport Scotland’s formal option appraisal toolkit and methodology to guide the development and assessment of transport options in Scotland</w:t>
      </w:r>
      <w:r w:rsidR="0037033A">
        <w:t xml:space="preserve"> </w:t>
      </w:r>
      <w:r w:rsidR="0037033A" w:rsidRPr="0037033A">
        <w:t>and is compliant with UK Government’s Green Book</w:t>
      </w:r>
      <w:r>
        <w:t xml:space="preserve">. It provides an evidence-based and objective-led framework for: identifying transport problems and/or opportunities in a study area; setting objectives to address the transport problems/opportunities; and identifying and appraising options in a consistent manner with the potential to meet the objectives. </w:t>
      </w:r>
    </w:p>
    <w:p w14:paraId="6985CF30" w14:textId="77777777" w:rsidR="00996E8A" w:rsidRDefault="000C6958" w:rsidP="00D93256">
      <w:pPr>
        <w:pStyle w:val="STPR2BodyText"/>
      </w:pPr>
      <w:r w:rsidRPr="00C50049">
        <w:t>The four sequential stages in the STAG process</w:t>
      </w:r>
      <w:r w:rsidR="00A93745">
        <w:t xml:space="preserve"> </w:t>
      </w:r>
      <w:r w:rsidR="00996E8A">
        <w:t>are:</w:t>
      </w:r>
    </w:p>
    <w:p w14:paraId="010C0E26" w14:textId="30204988" w:rsidR="00996E8A" w:rsidRDefault="00DD6F14" w:rsidP="00D93256">
      <w:pPr>
        <w:pStyle w:val="STPR2BulletsLevel1"/>
      </w:pPr>
      <w:r>
        <w:t>Initial Appraisal: Case for Change</w:t>
      </w:r>
      <w:r w:rsidR="0037033A">
        <w:t xml:space="preserve"> (formerly Pre-Appraisal</w:t>
      </w:r>
      <w:r w:rsidR="00711B87">
        <w:t>)</w:t>
      </w:r>
      <w:r>
        <w:t xml:space="preserve">; </w:t>
      </w:r>
    </w:p>
    <w:p w14:paraId="56212FDF" w14:textId="5F436B58" w:rsidR="00996E8A" w:rsidRDefault="00DD6F14" w:rsidP="00D93256">
      <w:pPr>
        <w:pStyle w:val="STPR2BulletsLevel1"/>
      </w:pPr>
      <w:r>
        <w:t>Preliminary Appraisal</w:t>
      </w:r>
      <w:r w:rsidR="00711B87">
        <w:t xml:space="preserve"> (formerly Part 1)</w:t>
      </w:r>
      <w:r>
        <w:t>;</w:t>
      </w:r>
    </w:p>
    <w:p w14:paraId="0C927851" w14:textId="1EAD43EC" w:rsidR="00996E8A" w:rsidRDefault="00DD6F14" w:rsidP="00D93256">
      <w:pPr>
        <w:pStyle w:val="STPR2BulletsLevel1"/>
      </w:pPr>
      <w:r>
        <w:t xml:space="preserve">Detailed Appraisal </w:t>
      </w:r>
      <w:r w:rsidR="002D7911">
        <w:t xml:space="preserve">(formerly </w:t>
      </w:r>
      <w:r>
        <w:t>Part 2</w:t>
      </w:r>
      <w:r w:rsidR="002D7911">
        <w:t>)</w:t>
      </w:r>
      <w:r>
        <w:t xml:space="preserve">; </w:t>
      </w:r>
    </w:p>
    <w:p w14:paraId="1645A4B2" w14:textId="50A98F2A" w:rsidR="000C6958" w:rsidRDefault="00DD6F14" w:rsidP="00D93256">
      <w:pPr>
        <w:pStyle w:val="STPR2BulletsLevel1"/>
      </w:pPr>
      <w:r>
        <w:t xml:space="preserve">Post Appraisal: Monitoring </w:t>
      </w:r>
      <w:r w:rsidR="00EA10F1">
        <w:t>and</w:t>
      </w:r>
      <w:r>
        <w:t xml:space="preserve"> Evaluation</w:t>
      </w:r>
      <w:r w:rsidR="00CE3107">
        <w:t>.</w:t>
      </w:r>
      <w:r>
        <w:t xml:space="preserve"> </w:t>
      </w:r>
    </w:p>
    <w:p w14:paraId="42940884" w14:textId="3539E33F" w:rsidR="00F0312A" w:rsidRPr="00450D5D" w:rsidRDefault="00F0312A" w:rsidP="00D93256">
      <w:pPr>
        <w:pStyle w:val="STPR2BodyText"/>
      </w:pPr>
      <w:r w:rsidRPr="00450D5D">
        <w:t>Whilst consistent with the</w:t>
      </w:r>
      <w:r w:rsidR="00D86E42" w:rsidRPr="00D86E42">
        <w:t xml:space="preserve"> </w:t>
      </w:r>
      <w:r w:rsidR="00A95B17">
        <w:t xml:space="preserve">STAG </w:t>
      </w:r>
      <w:r w:rsidR="00D86E42" w:rsidRPr="00D86E42">
        <w:t>2008 version</w:t>
      </w:r>
      <w:r w:rsidR="00A95B17">
        <w:t>,</w:t>
      </w:r>
      <w:r w:rsidR="00D86E42" w:rsidRPr="00D86E42">
        <w:t xml:space="preserve"> incorporating periodic updates to the STAG Technical Database, the last of which was dated January 2018 </w:t>
      </w:r>
      <w:r w:rsidR="008717D8" w:rsidRPr="00450D5D">
        <w:t>(Transport Scotland, 2018),</w:t>
      </w:r>
      <w:r w:rsidRPr="00450D5D">
        <w:t xml:space="preserve"> the STPR2 approach, where appropriate, has sought to supplement the </w:t>
      </w:r>
      <w:r w:rsidR="0022328C" w:rsidRPr="00450D5D">
        <w:t>STAG</w:t>
      </w:r>
      <w:r w:rsidRPr="00450D5D">
        <w:t xml:space="preserve"> process by: </w:t>
      </w:r>
    </w:p>
    <w:p w14:paraId="44178F90" w14:textId="0DD73F6E" w:rsidR="00F0312A" w:rsidRPr="00450D5D" w:rsidRDefault="00EA286A" w:rsidP="00D93256">
      <w:pPr>
        <w:pStyle w:val="STPR2BulletsLevel1"/>
      </w:pPr>
      <w:r>
        <w:t>R</w:t>
      </w:r>
      <w:r w:rsidR="00F0312A" w:rsidRPr="00450D5D">
        <w:t>eflecting Transport Scotland’s current policy position by embedding the new NTS2 vision, priorities and outcomes</w:t>
      </w:r>
      <w:r w:rsidR="003C2486" w:rsidRPr="00450D5D">
        <w:t>;</w:t>
      </w:r>
    </w:p>
    <w:p w14:paraId="56EB5875" w14:textId="64E1A958" w:rsidR="00F0312A" w:rsidRPr="00450D5D" w:rsidRDefault="00EA286A" w:rsidP="00D93256">
      <w:pPr>
        <w:pStyle w:val="STPR2BulletsLevel1"/>
        <w:rPr>
          <w:szCs w:val="24"/>
        </w:rPr>
      </w:pPr>
      <w:r>
        <w:t>T</w:t>
      </w:r>
      <w:r w:rsidR="00F0312A" w:rsidRPr="002B26A3">
        <w:t>aking on board</w:t>
      </w:r>
      <w:r w:rsidR="006E62B1">
        <w:t xml:space="preserve"> the STAG updates published in January 2022 and</w:t>
      </w:r>
      <w:r w:rsidR="00F0312A" w:rsidRPr="002B26A3">
        <w:t xml:space="preserve"> new and emerging areas of appraisal research, including research into inclusive growth and valuing the health benefits of schemes which increase active travel;</w:t>
      </w:r>
      <w:r w:rsidR="002B26A3" w:rsidRPr="002B26A3">
        <w:t> </w:t>
      </w:r>
    </w:p>
    <w:p w14:paraId="1DAD75D8" w14:textId="394FEB69" w:rsidR="002C2367" w:rsidRPr="00450D5D" w:rsidRDefault="00EA286A" w:rsidP="00D93256">
      <w:pPr>
        <w:pStyle w:val="STPR2BulletsLevel1"/>
      </w:pPr>
      <w:r>
        <w:t>E</w:t>
      </w:r>
      <w:r w:rsidR="00F0312A" w:rsidRPr="00450D5D">
        <w:t xml:space="preserve">nsuring the outcomes from the wider suite of </w:t>
      </w:r>
      <w:r w:rsidR="00666792">
        <w:t>I</w:t>
      </w:r>
      <w:r w:rsidR="00F0312A" w:rsidRPr="00450D5D">
        <w:t xml:space="preserve">mpact </w:t>
      </w:r>
      <w:r w:rsidR="00666792">
        <w:t>A</w:t>
      </w:r>
      <w:r w:rsidR="00F0312A" w:rsidRPr="00450D5D">
        <w:t xml:space="preserve">ssessments being undertaken are fully integrated into the STPR2 appraisal process. </w:t>
      </w:r>
    </w:p>
    <w:p w14:paraId="7B6A1C4F" w14:textId="77777777" w:rsidR="00D31D80" w:rsidRPr="00F915D7" w:rsidRDefault="00D31D80" w:rsidP="00D93256">
      <w:pPr>
        <w:pStyle w:val="STPR2BodyText"/>
      </w:pPr>
      <w:r w:rsidRPr="00F915D7">
        <w:t xml:space="preserve">The Detailed Appraisal has taken cognisance of updated guidance, as set out within the Scottish Transport Appraisal Guidance - Managers Guide published in </w:t>
      </w:r>
      <w:r w:rsidR="001541E1">
        <w:t>January 2022</w:t>
      </w:r>
      <w:r w:rsidR="001541E1" w:rsidRPr="00F915D7">
        <w:t>.</w:t>
      </w:r>
      <w:r w:rsidRPr="00F915D7">
        <w:t xml:space="preserve"> This includes the new criterion of ‘Climate Change’, against which all </w:t>
      </w:r>
      <w:r w:rsidR="001541E1">
        <w:t>recommendations</w:t>
      </w:r>
      <w:r w:rsidR="001541E1" w:rsidRPr="00F915D7">
        <w:t xml:space="preserve"> have been appraised.</w:t>
      </w:r>
      <w:r w:rsidR="008E3F4C">
        <w:t xml:space="preserve"> The SEA approach to the climate change topic is discussed in </w:t>
      </w:r>
      <w:r w:rsidR="008E3F4C" w:rsidRPr="003B196E">
        <w:rPr>
          <w:b/>
          <w:bCs/>
        </w:rPr>
        <w:t>Section 7.9</w:t>
      </w:r>
      <w:r w:rsidR="008E3F4C">
        <w:t xml:space="preserve"> of this</w:t>
      </w:r>
      <w:r w:rsidR="00064F5E">
        <w:t> </w:t>
      </w:r>
      <w:r w:rsidR="008E3F4C">
        <w:t>report.</w:t>
      </w:r>
    </w:p>
    <w:p w14:paraId="4D4E61B2" w14:textId="6AF5105F" w:rsidR="00DE6976" w:rsidRPr="00F915D7" w:rsidRDefault="001D1464" w:rsidP="00D93256">
      <w:pPr>
        <w:pStyle w:val="STPR2BodyText"/>
      </w:pPr>
      <w:r w:rsidRPr="003B196E">
        <w:rPr>
          <w:b/>
          <w:bCs/>
        </w:rPr>
        <w:t xml:space="preserve">Sections </w:t>
      </w:r>
      <w:r w:rsidR="00A6624C" w:rsidRPr="003B196E">
        <w:rPr>
          <w:b/>
          <w:bCs/>
        </w:rPr>
        <w:t>2.4</w:t>
      </w:r>
      <w:r w:rsidRPr="003B196E">
        <w:rPr>
          <w:b/>
          <w:bCs/>
        </w:rPr>
        <w:t xml:space="preserve"> to </w:t>
      </w:r>
      <w:r w:rsidR="00A6624C" w:rsidRPr="003B196E">
        <w:rPr>
          <w:b/>
          <w:bCs/>
        </w:rPr>
        <w:t>2.7</w:t>
      </w:r>
      <w:r w:rsidR="000618CB" w:rsidRPr="00F915D7">
        <w:t xml:space="preserve"> </w:t>
      </w:r>
      <w:r w:rsidR="00A6624C">
        <w:t>describe</w:t>
      </w:r>
      <w:r w:rsidR="00D24E8B" w:rsidRPr="00F915D7">
        <w:t xml:space="preserve"> the key outputs </w:t>
      </w:r>
      <w:r w:rsidR="00693273" w:rsidRPr="00F915D7">
        <w:t>for</w:t>
      </w:r>
      <w:r w:rsidR="00D24E8B" w:rsidRPr="00F915D7">
        <w:t xml:space="preserve"> each of the STPR2 STAG Stages. The approach taken at each of these stages is described in detail in the </w:t>
      </w:r>
      <w:r w:rsidR="00113538" w:rsidRPr="00F915D7">
        <w:t xml:space="preserve">Final </w:t>
      </w:r>
      <w:r w:rsidR="00D24E8B" w:rsidRPr="00F915D7">
        <w:t xml:space="preserve">STPR2 </w:t>
      </w:r>
      <w:r w:rsidR="001541E1">
        <w:t>Technical R</w:t>
      </w:r>
      <w:r w:rsidR="001541E1" w:rsidRPr="00F915D7">
        <w:t>eport</w:t>
      </w:r>
      <w:r w:rsidR="00113538" w:rsidRPr="00F915D7">
        <w:t xml:space="preserve"> (Jacobs A</w:t>
      </w:r>
      <w:r w:rsidR="000B2F3A">
        <w:t>ECOM</w:t>
      </w:r>
      <w:r w:rsidR="00113538" w:rsidRPr="00F915D7">
        <w:t xml:space="preserve"> 202</w:t>
      </w:r>
      <w:r w:rsidR="006C49E2" w:rsidRPr="00F915D7">
        <w:t>2b</w:t>
      </w:r>
      <w:r w:rsidR="00113538" w:rsidRPr="00F915D7">
        <w:t>)</w:t>
      </w:r>
      <w:r w:rsidR="005057D4" w:rsidRPr="00F915D7">
        <w:t>.</w:t>
      </w:r>
      <w:r w:rsidR="00422A2E" w:rsidRPr="00F915D7">
        <w:t xml:space="preserve"> </w:t>
      </w:r>
      <w:r w:rsidR="00D07289" w:rsidRPr="00F915D7">
        <w:t>The SEA Post Adoption Statement</w:t>
      </w:r>
      <w:r w:rsidR="001541E1">
        <w:t>, which will be published in early-2023,</w:t>
      </w:r>
      <w:r w:rsidR="00D07289" w:rsidRPr="00F915D7">
        <w:t xml:space="preserve"> will </w:t>
      </w:r>
      <w:r w:rsidR="002035E8" w:rsidRPr="00F915D7">
        <w:t xml:space="preserve">set out </w:t>
      </w:r>
      <w:r w:rsidR="00D07289" w:rsidRPr="00F915D7">
        <w:t>h</w:t>
      </w:r>
      <w:r w:rsidR="00422A2E" w:rsidRPr="00F915D7">
        <w:t xml:space="preserve">ow the SEA influenced each of these </w:t>
      </w:r>
      <w:r w:rsidR="005057D4" w:rsidRPr="00F915D7">
        <w:t xml:space="preserve">STPR2 </w:t>
      </w:r>
      <w:r w:rsidR="00422A2E" w:rsidRPr="00F915D7">
        <w:t>stage</w:t>
      </w:r>
      <w:r w:rsidR="00F90F9D" w:rsidRPr="00F915D7">
        <w:t>s.</w:t>
      </w:r>
    </w:p>
    <w:p w14:paraId="5A624046" w14:textId="14E6AED8" w:rsidR="00E428D4" w:rsidRDefault="001D1464" w:rsidP="00573D94">
      <w:pPr>
        <w:pStyle w:val="Heading2"/>
      </w:pPr>
      <w:bookmarkStart w:id="380" w:name="_Ref93041719"/>
      <w:bookmarkStart w:id="381" w:name="_Ref93041723"/>
      <w:bookmarkStart w:id="382" w:name="_Toc121339091"/>
      <w:r w:rsidRPr="001D1464">
        <w:t>Initial Appraisal: Case for Change</w:t>
      </w:r>
      <w:bookmarkEnd w:id="380"/>
      <w:bookmarkEnd w:id="381"/>
      <w:bookmarkEnd w:id="382"/>
    </w:p>
    <w:p w14:paraId="6BF9BF99" w14:textId="7E09B0E2" w:rsidR="001D1464" w:rsidRPr="004F5EEB" w:rsidRDefault="001D1464" w:rsidP="00D93256">
      <w:pPr>
        <w:pStyle w:val="STPR2BodyText"/>
        <w:rPr>
          <w:i/>
          <w:iCs/>
        </w:rPr>
      </w:pPr>
      <w:r w:rsidRPr="004F5EEB">
        <w:t>A National Case for Change Report was published in February 2021</w:t>
      </w:r>
      <w:r w:rsidR="00E379FA">
        <w:t xml:space="preserve"> (</w:t>
      </w:r>
      <w:r w:rsidR="00E379FA" w:rsidRPr="00E379FA">
        <w:t>Transport Scotland</w:t>
      </w:r>
      <w:r w:rsidR="00E379FA">
        <w:t xml:space="preserve">, </w:t>
      </w:r>
      <w:r w:rsidR="00E379FA" w:rsidRPr="00E379FA">
        <w:t>2021a</w:t>
      </w:r>
      <w:r w:rsidR="00F33BFA">
        <w:t xml:space="preserve">; </w:t>
      </w:r>
      <w:r w:rsidR="00F33BFA" w:rsidRPr="00F33BFA">
        <w:t>Jacobs AECOM (2021c</w:t>
      </w:r>
      <w:r w:rsidR="00E379FA" w:rsidRPr="00E379FA">
        <w:t>)</w:t>
      </w:r>
      <w:r w:rsidRPr="004F5EEB">
        <w:t>. It specifically covers key challenges for transport and infrastructure, and the impact of COVID-19 on current and future transport patterns.</w:t>
      </w:r>
      <w:r w:rsidR="007716DA">
        <w:t xml:space="preserve"> The impact of the pandemic on transport </w:t>
      </w:r>
      <w:r w:rsidR="00CB362D">
        <w:t xml:space="preserve">patterns is also discussed in the </w:t>
      </w:r>
      <w:r w:rsidR="00D64CE4">
        <w:t>F</w:t>
      </w:r>
      <w:r w:rsidR="00CB362D">
        <w:t>inal STPR2 Technical Report (</w:t>
      </w:r>
      <w:r w:rsidR="00D74EC0" w:rsidRPr="00D74EC0">
        <w:t xml:space="preserve">Jacobs </w:t>
      </w:r>
      <w:r w:rsidR="007F59CB">
        <w:t>AECOM</w:t>
      </w:r>
      <w:r w:rsidR="00D74EC0">
        <w:t xml:space="preserve">, </w:t>
      </w:r>
      <w:r w:rsidR="00D74EC0" w:rsidRPr="00D74EC0">
        <w:t>2022f)</w:t>
      </w:r>
      <w:r w:rsidR="00D74EC0">
        <w:t>.</w:t>
      </w:r>
    </w:p>
    <w:p w14:paraId="67384ED6" w14:textId="4A06E386" w:rsidR="001D1464" w:rsidRPr="004F5EEB" w:rsidRDefault="001D1464" w:rsidP="00D93256">
      <w:pPr>
        <w:pStyle w:val="STPR2BodyText"/>
        <w:rPr>
          <w:i/>
          <w:iCs/>
        </w:rPr>
      </w:pPr>
      <w:r w:rsidRPr="004F5EEB">
        <w:t xml:space="preserve">A Case for Change Report was produced for each of the </w:t>
      </w:r>
      <w:r w:rsidR="00411339">
        <w:t>11 STPR2 r</w:t>
      </w:r>
      <w:r w:rsidRPr="004F5EEB">
        <w:t>egions and these were also published in February 2021</w:t>
      </w:r>
      <w:r w:rsidR="00722E2D" w:rsidRPr="00722E2D">
        <w:t xml:space="preserve"> </w:t>
      </w:r>
      <w:r w:rsidR="00722E2D">
        <w:t>(</w:t>
      </w:r>
      <w:r w:rsidR="00722E2D" w:rsidRPr="00722E2D">
        <w:t>Jacobs AECOM</w:t>
      </w:r>
      <w:r w:rsidR="00F33BFA">
        <w:t xml:space="preserve">, </w:t>
      </w:r>
      <w:r w:rsidR="00722E2D" w:rsidRPr="00722E2D">
        <w:t>2021</w:t>
      </w:r>
      <w:r w:rsidR="00F33BFA">
        <w:t>d</w:t>
      </w:r>
      <w:r w:rsidR="00722E2D" w:rsidRPr="00722E2D">
        <w:t>)</w:t>
      </w:r>
      <w:r w:rsidRPr="004F5EEB">
        <w:t>.</w:t>
      </w:r>
    </w:p>
    <w:p w14:paraId="76354420" w14:textId="3DA4C5DE" w:rsidR="001D1464" w:rsidRPr="004F5EEB" w:rsidRDefault="001D1464" w:rsidP="00D93256">
      <w:pPr>
        <w:pStyle w:val="STPR2BodyText"/>
        <w:rPr>
          <w:i/>
          <w:iCs/>
        </w:rPr>
      </w:pPr>
      <w:r w:rsidRPr="004F5EEB">
        <w:t xml:space="preserve">Five National Transport Planning Objectives </w:t>
      </w:r>
      <w:r w:rsidR="00D64CE4">
        <w:t>(TPOs)</w:t>
      </w:r>
      <w:r w:rsidRPr="004F5EEB">
        <w:t xml:space="preserve"> were developed for use across the country during the appraisal process. Sitting under each TPO is a series of sub-objectives to better define the overarching objectives and aid their application in appraisal (see </w:t>
      </w:r>
      <w:r w:rsidRPr="003B196E">
        <w:rPr>
          <w:b/>
          <w:bCs/>
        </w:rPr>
        <w:lastRenderedPageBreak/>
        <w:t>Section ‎</w:t>
      </w:r>
      <w:r w:rsidR="00EC74A1" w:rsidRPr="003B196E">
        <w:rPr>
          <w:b/>
          <w:bCs/>
        </w:rPr>
        <w:fldChar w:fldCharType="begin"/>
      </w:r>
      <w:r w:rsidR="00EC74A1" w:rsidRPr="003B196E">
        <w:rPr>
          <w:b/>
          <w:bCs/>
        </w:rPr>
        <w:instrText xml:space="preserve"> REF _Ref93043116 \r \h </w:instrText>
      </w:r>
      <w:r w:rsidR="003B196E">
        <w:rPr>
          <w:b/>
          <w:bCs/>
        </w:rPr>
        <w:instrText xml:space="preserve"> \* MERGEFORMAT </w:instrText>
      </w:r>
      <w:r w:rsidR="00EC74A1" w:rsidRPr="003B196E">
        <w:rPr>
          <w:b/>
          <w:bCs/>
        </w:rPr>
      </w:r>
      <w:r w:rsidR="00EC74A1" w:rsidRPr="003B196E">
        <w:rPr>
          <w:b/>
          <w:bCs/>
        </w:rPr>
        <w:fldChar w:fldCharType="separate"/>
      </w:r>
      <w:r w:rsidR="00C22A9E">
        <w:rPr>
          <w:b/>
          <w:bCs/>
        </w:rPr>
        <w:t>2.5</w:t>
      </w:r>
      <w:r w:rsidR="00EC74A1" w:rsidRPr="003B196E">
        <w:rPr>
          <w:b/>
          <w:bCs/>
        </w:rPr>
        <w:fldChar w:fldCharType="end"/>
      </w:r>
      <w:r w:rsidRPr="004F5EEB">
        <w:t>)</w:t>
      </w:r>
      <w:r w:rsidR="002C6274">
        <w:t>.</w:t>
      </w:r>
    </w:p>
    <w:p w14:paraId="0AD93F9B" w14:textId="77777777" w:rsidR="00D36011" w:rsidRDefault="00D36011" w:rsidP="00D93256">
      <w:pPr>
        <w:pStyle w:val="STPR2BodyText"/>
      </w:pPr>
      <w:r>
        <w:t>Each region has developed a set of specific sub-objectives that not only align directly to the outcomes sought by the NTS2 for Scotland as a whole, but that also reflect the transport and other relevant problems and opportunities within each specific region.</w:t>
      </w:r>
    </w:p>
    <w:p w14:paraId="4B69D86D" w14:textId="77777777" w:rsidR="001D1464" w:rsidRDefault="001D1464" w:rsidP="00D93256">
      <w:pPr>
        <w:pStyle w:val="STPR2BodyText"/>
      </w:pPr>
      <w:r w:rsidRPr="004F5EEB">
        <w:t xml:space="preserve">A long list of initial transport options was generated based on a range of sources, including: a review of options identified from recent local and regional studies; and extensive stakeholder engagement and public consultation activities. </w:t>
      </w:r>
      <w:r w:rsidR="002C6274">
        <w:t>Approximately 14,000</w:t>
      </w:r>
      <w:r w:rsidRPr="004F5EEB">
        <w:t xml:space="preserve"> individual ideas/suggestions/options were identified at this stage in the process.</w:t>
      </w:r>
    </w:p>
    <w:p w14:paraId="654241D6" w14:textId="3EDEA88E" w:rsidR="00D36011" w:rsidRDefault="00D36011" w:rsidP="00D93256">
      <w:pPr>
        <w:pStyle w:val="STPR2BodyText"/>
      </w:pPr>
      <w:r>
        <w:t xml:space="preserve">This long list included options from the three STPR2 Advanced Studies: North East Scotland, Scottish Borders and South West Scotland. Options from the three Advanced Studies were reviewed through the STPR2 sifting methodology and reported through Update Notes that sit alongside the Case for Change reports. Options from the three Advanced Studies have been incorporated into the list of Groupings and appraised within </w:t>
      </w:r>
      <w:r w:rsidR="007503D7">
        <w:t xml:space="preserve">the </w:t>
      </w:r>
      <w:r>
        <w:t>STPR2.</w:t>
      </w:r>
    </w:p>
    <w:p w14:paraId="65B146D5" w14:textId="01062EE9" w:rsidR="001D1464" w:rsidRPr="004F5EEB" w:rsidRDefault="001D1464" w:rsidP="00D93256">
      <w:pPr>
        <w:pStyle w:val="STPR2BodyText"/>
        <w:rPr>
          <w:i/>
          <w:iCs/>
        </w:rPr>
      </w:pPr>
      <w:r w:rsidRPr="004F5EEB">
        <w:t xml:space="preserve">Following an option cleaning and consolidation exercise, approximately 2,800 options were retained in the long list of interventions to be sifted. </w:t>
      </w:r>
    </w:p>
    <w:p w14:paraId="32584F5C" w14:textId="630DA083" w:rsidR="00C14C12" w:rsidRDefault="001D1464" w:rsidP="00D93256">
      <w:pPr>
        <w:pStyle w:val="STPR2BodyText"/>
      </w:pPr>
      <w:r w:rsidRPr="004F5EEB">
        <w:t>Each of the 2,800 options has been reviewed using a methodology developed to drive consistency in the sifting of options across all of the STPR2 regions.</w:t>
      </w:r>
      <w:r w:rsidR="00C14C12" w:rsidRPr="00C14C12">
        <w:t xml:space="preserve"> </w:t>
      </w:r>
      <w:r w:rsidR="00C14C12">
        <w:t>Following this process</w:t>
      </w:r>
      <w:r w:rsidR="006839F0">
        <w:t>,</w:t>
      </w:r>
      <w:r w:rsidR="00C14C12">
        <w:t xml:space="preserve"> options were either:</w:t>
      </w:r>
    </w:p>
    <w:p w14:paraId="00E943C2" w14:textId="59B27DA3" w:rsidR="00C14C12" w:rsidRDefault="003E7170" w:rsidP="00D93256">
      <w:pPr>
        <w:pStyle w:val="STPR2BulletsLevel1"/>
      </w:pPr>
      <w:r>
        <w:t>R</w:t>
      </w:r>
      <w:r w:rsidR="00C14C12">
        <w:t xml:space="preserve">ecommended at a national level for further consideration through the STPR2 process; </w:t>
      </w:r>
    </w:p>
    <w:p w14:paraId="0FD919F5" w14:textId="2F4577CF" w:rsidR="00C14C12" w:rsidRDefault="003E7170" w:rsidP="00D93256">
      <w:pPr>
        <w:pStyle w:val="STPR2BulletsLevel1"/>
      </w:pPr>
      <w:r>
        <w:t>R</w:t>
      </w:r>
      <w:r w:rsidR="00C14C12">
        <w:t>ecommended as part of a route/corridor-level intervention for further consideration through the STPR2 process; or</w:t>
      </w:r>
    </w:p>
    <w:p w14:paraId="5CF74486" w14:textId="5DAFA1D3" w:rsidR="001D1464" w:rsidRPr="00C14C12" w:rsidRDefault="003E7170" w:rsidP="00D93256">
      <w:pPr>
        <w:pStyle w:val="STPR2BulletsLevel1"/>
      </w:pPr>
      <w:r>
        <w:t>S</w:t>
      </w:r>
      <w:r w:rsidR="00C14C12">
        <w:t>ifted from the process and passed to the appropriate local/regional transport authorities and partnerships for consideration out</w:t>
      </w:r>
      <w:r>
        <w:t>side</w:t>
      </w:r>
      <w:r w:rsidR="00C14C12">
        <w:t xml:space="preserve"> </w:t>
      </w:r>
      <w:r w:rsidR="003E17B0" w:rsidRPr="003E17B0">
        <w:t xml:space="preserve">the </w:t>
      </w:r>
      <w:r w:rsidR="00C14C12">
        <w:t>STPR2.</w:t>
      </w:r>
    </w:p>
    <w:p w14:paraId="150CBF25" w14:textId="77777777" w:rsidR="001D1464" w:rsidRPr="00C14C12" w:rsidRDefault="001D1464" w:rsidP="00D93256">
      <w:pPr>
        <w:pStyle w:val="STPR2BodyText"/>
      </w:pPr>
      <w:r w:rsidRPr="004F5EEB">
        <w:t xml:space="preserve">Following the sifting exercise, approximately 1,400 options remained in the process. </w:t>
      </w:r>
    </w:p>
    <w:p w14:paraId="250DA896" w14:textId="013037C6" w:rsidR="001D1464" w:rsidRPr="004F5EEB" w:rsidRDefault="001D1464" w:rsidP="00D93256">
      <w:pPr>
        <w:pStyle w:val="STPR2BodyText"/>
        <w:rPr>
          <w:i/>
          <w:iCs/>
        </w:rPr>
      </w:pPr>
      <w:r w:rsidRPr="004F5EEB">
        <w:t xml:space="preserve">There were many options that shared common traits across the regions and many options which in isolation would not deliver the strategic improvements </w:t>
      </w:r>
      <w:r w:rsidR="003E17B0" w:rsidRPr="003E17B0">
        <w:t xml:space="preserve">the </w:t>
      </w:r>
      <w:r w:rsidRPr="004F5EEB">
        <w:t>STPR2 is seeking to deliver. Recognising the strategic and national dimension, options that were sifted in for further appraisal were allocated to Groupings</w:t>
      </w:r>
      <w:r w:rsidR="00C5050C">
        <w:t>, which</w:t>
      </w:r>
      <w:r w:rsidR="000D5A71">
        <w:t xml:space="preserve"> </w:t>
      </w:r>
      <w:r w:rsidRPr="004F5EEB">
        <w:t>were established to:</w:t>
      </w:r>
    </w:p>
    <w:p w14:paraId="18095A89" w14:textId="76E95A0D" w:rsidR="001D1464" w:rsidRPr="004F5EEB" w:rsidRDefault="001D1464" w:rsidP="00D93256">
      <w:pPr>
        <w:pStyle w:val="STPR2BulletsLevel1"/>
        <w:rPr>
          <w:i/>
          <w:iCs/>
        </w:rPr>
      </w:pPr>
      <w:r w:rsidRPr="004F5EEB">
        <w:t xml:space="preserve">Allow similar options to be collated together to provide a more manageable list for further appraisal; </w:t>
      </w:r>
    </w:p>
    <w:p w14:paraId="39E2FDA8" w14:textId="702301A3" w:rsidR="001D1464" w:rsidRPr="004F5EEB" w:rsidRDefault="001D1464" w:rsidP="00D93256">
      <w:pPr>
        <w:pStyle w:val="STPR2BulletsLevel1"/>
        <w:rPr>
          <w:i/>
          <w:iCs/>
        </w:rPr>
      </w:pPr>
      <w:r w:rsidRPr="004F5EEB">
        <w:t>Collate similar options across regions, thus aiding consistency in definition and appraisal; and, where appropriate</w:t>
      </w:r>
    </w:p>
    <w:p w14:paraId="5429DF3C" w14:textId="27C040C2" w:rsidR="001D1464" w:rsidRPr="004F5EEB" w:rsidRDefault="001D1464" w:rsidP="00D93256">
      <w:pPr>
        <w:pStyle w:val="STPR2BulletsLevel1"/>
        <w:rPr>
          <w:i/>
          <w:iCs/>
        </w:rPr>
      </w:pPr>
      <w:r w:rsidRPr="004F5EEB">
        <w:t>Allow options that may, on their own merit, not be considered strategic, however when grouped address the identified national and regional TPOs, Problems and Opportunities.</w:t>
      </w:r>
    </w:p>
    <w:p w14:paraId="7011C24F" w14:textId="0C8EBB5C" w:rsidR="00C646A4" w:rsidRPr="004F5EEB" w:rsidRDefault="00C646A4" w:rsidP="00D93256">
      <w:pPr>
        <w:pStyle w:val="STPR2BodyText"/>
        <w:rPr>
          <w:i/>
          <w:iCs/>
        </w:rPr>
      </w:pPr>
      <w:r w:rsidRPr="004F5EEB">
        <w:t xml:space="preserve">A total of 80 </w:t>
      </w:r>
      <w:r>
        <w:t>G</w:t>
      </w:r>
      <w:r w:rsidRPr="004F5EEB">
        <w:t xml:space="preserve">roupings were identified to take forward for </w:t>
      </w:r>
      <w:r>
        <w:t>P</w:t>
      </w:r>
      <w:r w:rsidRPr="004F5EEB">
        <w:t xml:space="preserve">reliminary </w:t>
      </w:r>
      <w:r>
        <w:t>A</w:t>
      </w:r>
      <w:r w:rsidRPr="004F5EEB">
        <w:t>ppraisal.</w:t>
      </w:r>
    </w:p>
    <w:p w14:paraId="7458568E" w14:textId="77777777" w:rsidR="00C646A4" w:rsidRDefault="00C646A4" w:rsidP="00D93256">
      <w:pPr>
        <w:pStyle w:val="STPR2BodyText"/>
      </w:pPr>
      <w:r w:rsidRPr="004F5EEB">
        <w:t xml:space="preserve">The Groupings were reviewed from both a regional and modal/technical perspective to determine those that would meet the criteria </w:t>
      </w:r>
      <w:r>
        <w:t>to be considered in more detail as part of the appraisal process</w:t>
      </w:r>
      <w:r w:rsidRPr="004F5EEB">
        <w:t>.</w:t>
      </w:r>
    </w:p>
    <w:p w14:paraId="1E25E72E" w14:textId="77777777" w:rsidR="00692C3B" w:rsidRPr="007F7A63" w:rsidDel="008D1E65" w:rsidRDefault="00692C3B" w:rsidP="00692C3B">
      <w:pPr>
        <w:pStyle w:val="Heading2"/>
      </w:pPr>
      <w:bookmarkStart w:id="383" w:name="_Toc121339092"/>
      <w:bookmarkStart w:id="384" w:name="_Ref93043116"/>
      <w:r w:rsidRPr="007F7A63">
        <w:t xml:space="preserve">STPR2 </w:t>
      </w:r>
      <w:r w:rsidRPr="007F7A63" w:rsidDel="008D1E65">
        <w:t>Transport Planning Objectives</w:t>
      </w:r>
      <w:bookmarkEnd w:id="383"/>
    </w:p>
    <w:p w14:paraId="2F22A01C" w14:textId="72F3E546" w:rsidR="00692C3B" w:rsidRPr="007C7BAE" w:rsidRDefault="00692C3B" w:rsidP="00D93256">
      <w:pPr>
        <w:pStyle w:val="STPR2BodyText"/>
      </w:pPr>
      <w:r w:rsidRPr="007C7BAE">
        <w:t>STAG is an objective</w:t>
      </w:r>
      <w:r>
        <w:t>-</w:t>
      </w:r>
      <w:r w:rsidRPr="007C7BAE">
        <w:t xml:space="preserve">led appraisal process, </w:t>
      </w:r>
      <w:r>
        <w:t>requiring TPOs to be</w:t>
      </w:r>
      <w:r w:rsidRPr="007C7BAE">
        <w:t xml:space="preserve"> developed that take full account of evidence pertaining to the particular problems and opportunities identified by </w:t>
      </w:r>
      <w:r w:rsidRPr="007C7BAE">
        <w:lastRenderedPageBreak/>
        <w:t xml:space="preserve">the </w:t>
      </w:r>
      <w:r>
        <w:t>Case for Change stage and</w:t>
      </w:r>
      <w:r w:rsidRPr="007C7BAE">
        <w:t xml:space="preserve"> within the context of the relevant policies and strategies and evidenced by stakeholders and data. T</w:t>
      </w:r>
      <w:r>
        <w:t>POs </w:t>
      </w:r>
      <w:r w:rsidRPr="007C7BAE">
        <w:t>should:</w:t>
      </w:r>
    </w:p>
    <w:p w14:paraId="5E652830" w14:textId="13100FC8" w:rsidR="00692C3B" w:rsidRPr="00DB5413" w:rsidRDefault="00692C3B" w:rsidP="00D93256">
      <w:pPr>
        <w:pStyle w:val="STPR2BulletsLevel1"/>
      </w:pPr>
      <w:r w:rsidRPr="00DB5413">
        <w:t xml:space="preserve">Provide a clear indication of what </w:t>
      </w:r>
      <w:r w:rsidR="00143B61" w:rsidRPr="00143B61">
        <w:t xml:space="preserve">the </w:t>
      </w:r>
      <w:r w:rsidRPr="00DB5413">
        <w:t>STPR2 is trying to accomplish;</w:t>
      </w:r>
    </w:p>
    <w:p w14:paraId="69C3A75B" w14:textId="1DB3D8B8" w:rsidR="00692C3B" w:rsidRPr="00DB5413" w:rsidRDefault="00692C3B" w:rsidP="00D93256">
      <w:pPr>
        <w:pStyle w:val="STPR2BulletsLevel1"/>
      </w:pPr>
      <w:r w:rsidRPr="00DB5413">
        <w:t xml:space="preserve">Introduce clarity where there may exist strong vested interests and entrenched views on priorities; </w:t>
      </w:r>
    </w:p>
    <w:p w14:paraId="11F839CF" w14:textId="77777777" w:rsidR="00692C3B" w:rsidRPr="00DB5413" w:rsidRDefault="00692C3B" w:rsidP="00D93256">
      <w:pPr>
        <w:pStyle w:val="STPR2BulletsLevel1"/>
      </w:pPr>
      <w:r w:rsidRPr="00DB5413">
        <w:t>Allow the proper appraisal of candidate options to allow the decision makers to make informed choices on investment priorities.</w:t>
      </w:r>
    </w:p>
    <w:p w14:paraId="7ACE7550" w14:textId="17F8D530" w:rsidR="00692C3B" w:rsidRDefault="00692C3B" w:rsidP="00D93256">
      <w:pPr>
        <w:pStyle w:val="STPR2BodyText"/>
      </w:pPr>
      <w:r>
        <w:t xml:space="preserve">At the national level, </w:t>
      </w:r>
      <w:r w:rsidR="00207314" w:rsidRPr="00207314">
        <w:t xml:space="preserve">the </w:t>
      </w:r>
      <w:r>
        <w:t xml:space="preserve">NTS2 sets out the Case for Change for Scotland and is at the heart of the objective-setting process for </w:t>
      </w:r>
      <w:r w:rsidR="00143B61" w:rsidRPr="00143B61">
        <w:t xml:space="preserve">the </w:t>
      </w:r>
      <w:r>
        <w:t xml:space="preserve">STPR2. A consistent set of TPOs has been developed for use across the country during the appraisal process. These objectives are directly linked to each of the NTS2 priorities and outcomes. Sitting below the five TPOs are a set of national sub-objectives. </w:t>
      </w:r>
    </w:p>
    <w:p w14:paraId="5D778A54" w14:textId="77777777" w:rsidR="00692C3B" w:rsidRDefault="00692C3B" w:rsidP="00D93256">
      <w:pPr>
        <w:pStyle w:val="STPR2BodyText"/>
      </w:pPr>
      <w:r>
        <w:t>Within this approach there is a need to reflect the regional focus from the analysis and stakeholder engagement undertaken to inform the STPR2 process. Therefore, each region has developed a set of specific sub-objectives to reflect the issues within their specific area.</w:t>
      </w:r>
    </w:p>
    <w:p w14:paraId="4E02938E" w14:textId="713EA763" w:rsidR="00692C3B" w:rsidDel="008D1E65" w:rsidRDefault="00692C3B" w:rsidP="00D93256">
      <w:pPr>
        <w:pStyle w:val="STPR2BodyText"/>
      </w:pPr>
      <w:r w:rsidRPr="007C7BAE" w:rsidDel="008D1E65">
        <w:t>The STPR2 TPOs</w:t>
      </w:r>
      <w:r>
        <w:t xml:space="preserve"> and corresponding sub-objectives</w:t>
      </w:r>
      <w:r w:rsidRPr="007C7BAE" w:rsidDel="008D1E65">
        <w:t xml:space="preserve"> are </w:t>
      </w:r>
      <w:r>
        <w:t>as follows:</w:t>
      </w:r>
    </w:p>
    <w:p w14:paraId="53E37CA9" w14:textId="77777777" w:rsidR="00692C3B" w:rsidRPr="00BB15B9" w:rsidRDefault="00692C3B" w:rsidP="00D93256">
      <w:pPr>
        <w:pStyle w:val="STPR2BodyBold"/>
      </w:pPr>
      <w:r w:rsidRPr="00BB15B9">
        <w:t>A sustainable strategic transport system that contributes significantly to the Scottish Government’s net zero emissions target</w:t>
      </w:r>
    </w:p>
    <w:p w14:paraId="59324393" w14:textId="7A32EAAE" w:rsidR="00692C3B" w:rsidRPr="00BB15B9" w:rsidRDefault="00692C3B" w:rsidP="00D93256">
      <w:pPr>
        <w:pStyle w:val="STPR2BulletsLevel1"/>
      </w:pPr>
      <w:r w:rsidRPr="00BB15B9">
        <w:t>Reduce the consumption of fossil fuels through a shift to more sustainable modes of transport</w:t>
      </w:r>
      <w:r w:rsidR="00F14B52">
        <w:t>;</w:t>
      </w:r>
    </w:p>
    <w:p w14:paraId="7857329E" w14:textId="64522FE0" w:rsidR="00692C3B" w:rsidRPr="00BB15B9" w:rsidRDefault="00692C3B" w:rsidP="00D93256">
      <w:pPr>
        <w:pStyle w:val="STPR2BulletsLevel1"/>
      </w:pPr>
      <w:r w:rsidRPr="00BB15B9">
        <w:t>Increase the mode share of active travel for shorter everyday journeys</w:t>
      </w:r>
      <w:r w:rsidR="00F14B52">
        <w:t>;</w:t>
      </w:r>
    </w:p>
    <w:p w14:paraId="443DDDE5" w14:textId="64694EFB" w:rsidR="00692C3B" w:rsidRPr="00BB15B9" w:rsidRDefault="00692C3B" w:rsidP="00D93256">
      <w:pPr>
        <w:pStyle w:val="STPR2BulletsLevel1"/>
      </w:pPr>
      <w:r w:rsidRPr="00BB15B9">
        <w:t>Increase the mode share of public transport by providing viable alternatives to single occupancy private car use</w:t>
      </w:r>
      <w:r w:rsidR="00F14B52">
        <w:t>;</w:t>
      </w:r>
    </w:p>
    <w:p w14:paraId="147675D5" w14:textId="77777777" w:rsidR="00692C3B" w:rsidRPr="00BB15B9" w:rsidRDefault="00692C3B" w:rsidP="00D93256">
      <w:pPr>
        <w:pStyle w:val="STPR2BulletsLevel1"/>
      </w:pPr>
      <w:r w:rsidRPr="00BB15B9">
        <w:t>Reduce emissions generated by the strategic transport system.</w:t>
      </w:r>
    </w:p>
    <w:p w14:paraId="1F93257A" w14:textId="77777777" w:rsidR="00692C3B" w:rsidRPr="00BB15B9" w:rsidRDefault="00692C3B" w:rsidP="00D93256">
      <w:pPr>
        <w:pStyle w:val="STPR2BodyBold"/>
      </w:pPr>
      <w:r w:rsidRPr="00BB15B9">
        <w:t>An inclusive strategic transport system that improves the affordability and accessibility of public transport</w:t>
      </w:r>
    </w:p>
    <w:p w14:paraId="6B117C87" w14:textId="4650574D" w:rsidR="00692C3B" w:rsidRPr="00BB15B9" w:rsidRDefault="00692C3B" w:rsidP="00D93256">
      <w:pPr>
        <w:pStyle w:val="STPR2BulletsLevel1"/>
      </w:pPr>
      <w:r w:rsidRPr="00BB15B9">
        <w:t>Increase public transport mode share by connecting sustainable modes of transport to facilitate integrated journeys</w:t>
      </w:r>
      <w:r w:rsidR="00F14B52">
        <w:t>;</w:t>
      </w:r>
    </w:p>
    <w:p w14:paraId="18E344A0" w14:textId="011A56F4" w:rsidR="00692C3B" w:rsidRPr="00BB15B9" w:rsidRDefault="00692C3B" w:rsidP="00D93256">
      <w:pPr>
        <w:pStyle w:val="STPR2BulletsLevel1"/>
      </w:pPr>
      <w:r w:rsidRPr="00BB15B9">
        <w:t>Improve mobility and inclusion, recognising the specific needs of disadvantaged and vulnerable users</w:t>
      </w:r>
      <w:r w:rsidR="00F14B52">
        <w:t>;</w:t>
      </w:r>
    </w:p>
    <w:p w14:paraId="61CC7215" w14:textId="43FB78ED" w:rsidR="00692C3B" w:rsidRPr="00BB15B9" w:rsidRDefault="00692C3B" w:rsidP="00D93256">
      <w:pPr>
        <w:pStyle w:val="STPR2BulletsLevel1"/>
      </w:pPr>
      <w:r w:rsidRPr="00BB15B9">
        <w:t>Reduce transport poverty by increasing travel choice</w:t>
      </w:r>
      <w:r w:rsidR="00F14B52">
        <w:t>;</w:t>
      </w:r>
    </w:p>
    <w:p w14:paraId="7B41862A" w14:textId="77777777" w:rsidR="00692C3B" w:rsidRPr="00BB15B9" w:rsidRDefault="00692C3B" w:rsidP="00D93256">
      <w:pPr>
        <w:pStyle w:val="STPR2BulletsLevel1"/>
      </w:pPr>
      <w:r w:rsidRPr="00BB15B9">
        <w:t>Reduce the reliance on private car for access to key centres for healthcare, employment and education.</w:t>
      </w:r>
    </w:p>
    <w:p w14:paraId="1BC4E0BC" w14:textId="77777777" w:rsidR="00692C3B" w:rsidRPr="00BB15B9" w:rsidRDefault="00692C3B" w:rsidP="00D93256">
      <w:pPr>
        <w:pStyle w:val="STPR2BodyBold"/>
      </w:pPr>
      <w:r w:rsidRPr="00BB15B9">
        <w:t>A cohesive strategic transport system that enhances communities as places, supporting health and wellbeing</w:t>
      </w:r>
    </w:p>
    <w:p w14:paraId="6AEE604A" w14:textId="3AD03BE5" w:rsidR="00692C3B" w:rsidRPr="00BB15B9" w:rsidRDefault="00692C3B" w:rsidP="00D93256">
      <w:pPr>
        <w:pStyle w:val="STPR2BulletsLevel1"/>
      </w:pPr>
      <w:r w:rsidRPr="00BB15B9">
        <w:t>Reduce demand for unsustainable travel by embedding the place principle in the changes to the strategic transport system</w:t>
      </w:r>
      <w:r w:rsidR="00F14B52">
        <w:t>;</w:t>
      </w:r>
    </w:p>
    <w:p w14:paraId="55F0E879" w14:textId="66195F2F" w:rsidR="00692C3B" w:rsidRPr="00BB15B9" w:rsidRDefault="00692C3B" w:rsidP="00D93256">
      <w:pPr>
        <w:pStyle w:val="STPR2BulletsLevel1"/>
      </w:pPr>
      <w:r w:rsidRPr="00BB15B9">
        <w:t>Increase the mode share of active travel for shorter everyday journeys</w:t>
      </w:r>
      <w:r w:rsidR="00F14B52">
        <w:t>;</w:t>
      </w:r>
    </w:p>
    <w:p w14:paraId="161351E3" w14:textId="278BEC76" w:rsidR="00692C3B" w:rsidRPr="00BB15B9" w:rsidRDefault="00692C3B" w:rsidP="00D93256">
      <w:pPr>
        <w:pStyle w:val="STPR2BulletsLevel1"/>
      </w:pPr>
      <w:r w:rsidRPr="00BB15B9">
        <w:t xml:space="preserve">Reduce demand for unsustainable travel arising from nationally significant growth areas, taking cognisance of </w:t>
      </w:r>
      <w:r w:rsidR="00D11369">
        <w:t xml:space="preserve">the </w:t>
      </w:r>
      <w:r w:rsidRPr="00BB15B9">
        <w:t>NPF4.</w:t>
      </w:r>
    </w:p>
    <w:p w14:paraId="7E392277" w14:textId="77777777" w:rsidR="00692C3B" w:rsidRPr="00EC74A1" w:rsidRDefault="00692C3B" w:rsidP="00D93256">
      <w:pPr>
        <w:pStyle w:val="STPR2BodyBold"/>
      </w:pPr>
      <w:r w:rsidRPr="00EC74A1">
        <w:t>An integrated strategic transport system that contributes towards sustainable inclusive growth in Scotland</w:t>
      </w:r>
    </w:p>
    <w:p w14:paraId="70EC277D" w14:textId="2F721E17" w:rsidR="00692C3B" w:rsidRPr="00BB15B9" w:rsidRDefault="00692C3B" w:rsidP="00D93256">
      <w:pPr>
        <w:pStyle w:val="STPR2BulletsLevel1"/>
      </w:pPr>
      <w:r w:rsidRPr="00BB15B9">
        <w:lastRenderedPageBreak/>
        <w:t>Increase sustainable access to labour markets and key centres for employment, education and training</w:t>
      </w:r>
      <w:r w:rsidR="00F14B52">
        <w:t>;</w:t>
      </w:r>
    </w:p>
    <w:p w14:paraId="2EB3D4C8" w14:textId="3AEE1D88" w:rsidR="00692C3B" w:rsidRPr="00BB15B9" w:rsidRDefault="00692C3B" w:rsidP="00D93256">
      <w:pPr>
        <w:pStyle w:val="STPR2BulletsLevel1"/>
      </w:pPr>
      <w:r w:rsidRPr="00BB15B9">
        <w:t>Increase competitiveness of key domestic and international markets, by reducing costs and improving journey time reliability for commercial transport</w:t>
      </w:r>
      <w:r w:rsidR="00F14B52">
        <w:t>;</w:t>
      </w:r>
    </w:p>
    <w:p w14:paraId="43F6C590" w14:textId="1631CE9E" w:rsidR="00692C3B" w:rsidRPr="00BB15B9" w:rsidRDefault="00692C3B" w:rsidP="00D93256">
      <w:pPr>
        <w:pStyle w:val="STPR2BulletsLevel1"/>
      </w:pPr>
      <w:r w:rsidRPr="00BB15B9">
        <w:t>Increase resilience of accesses to key domestic and international markets to encourage people to live, study, visit and invest in Scotland</w:t>
      </w:r>
      <w:r w:rsidR="00F14B52">
        <w:t>;</w:t>
      </w:r>
    </w:p>
    <w:p w14:paraId="6D05F509" w14:textId="77777777" w:rsidR="00692C3B" w:rsidRPr="00BB15B9" w:rsidRDefault="00692C3B" w:rsidP="00D93256">
      <w:pPr>
        <w:pStyle w:val="STPR2BulletsLevel1"/>
      </w:pPr>
      <w:r w:rsidRPr="00BB15B9">
        <w:t>Increase the mode share of freight by sustainable modes.</w:t>
      </w:r>
    </w:p>
    <w:p w14:paraId="18963E4D" w14:textId="77777777" w:rsidR="00692C3B" w:rsidRPr="00BB15B9" w:rsidRDefault="00692C3B" w:rsidP="00D93256">
      <w:pPr>
        <w:pStyle w:val="STPR2BodyBold"/>
      </w:pPr>
      <w:r w:rsidRPr="00BB15B9">
        <w:t>A reliable and resilient strategic transport system that is safe and secure for users</w:t>
      </w:r>
    </w:p>
    <w:p w14:paraId="56E0D654" w14:textId="41A8031E" w:rsidR="00692C3B" w:rsidRPr="00BB15B9" w:rsidRDefault="00692C3B" w:rsidP="00D93256">
      <w:pPr>
        <w:pStyle w:val="STPR2BulletsLevel1"/>
      </w:pPr>
      <w:r w:rsidRPr="00BB15B9">
        <w:t>Improve resilience from disruption through adaption of Scotland's trunk road, rail and strategic ferry infrastructure</w:t>
      </w:r>
      <w:r w:rsidR="00F14B52">
        <w:t>;</w:t>
      </w:r>
    </w:p>
    <w:p w14:paraId="0A8B43DD" w14:textId="55F84ABB" w:rsidR="00692C3B" w:rsidRPr="00BB15B9" w:rsidRDefault="00692C3B" w:rsidP="00D93256">
      <w:pPr>
        <w:pStyle w:val="STPR2BulletsLevel1"/>
      </w:pPr>
      <w:r w:rsidRPr="00BB15B9">
        <w:t>Reduce transport related casualties in line with reduction targets</w:t>
      </w:r>
      <w:r w:rsidR="00F14B52">
        <w:t>;</w:t>
      </w:r>
    </w:p>
    <w:p w14:paraId="1BB7259E" w14:textId="0F4713E1" w:rsidR="00692C3B" w:rsidRPr="00BB15B9" w:rsidRDefault="00692C3B" w:rsidP="00D93256">
      <w:pPr>
        <w:pStyle w:val="STPR2BulletsLevel1"/>
      </w:pPr>
      <w:r w:rsidRPr="00BB15B9">
        <w:t>Improve resilience through climate change adaptation within the management and maintenance of trunk road, rail and ferry infrastructure</w:t>
      </w:r>
      <w:r w:rsidR="00F14B52">
        <w:t>;</w:t>
      </w:r>
    </w:p>
    <w:p w14:paraId="5C2AD7F1" w14:textId="77777777" w:rsidR="00692C3B" w:rsidDel="008D1E65" w:rsidRDefault="00692C3B" w:rsidP="00D93256">
      <w:pPr>
        <w:pStyle w:val="STPR2BulletsLevel1"/>
      </w:pPr>
      <w:r w:rsidRPr="00BB15B9">
        <w:t>Improve perceived and actual security of the strategic transport system.</w:t>
      </w:r>
    </w:p>
    <w:p w14:paraId="49F918D7" w14:textId="4533E31A" w:rsidR="001D1464" w:rsidRPr="00CF2ED4" w:rsidRDefault="001D1464" w:rsidP="0033560A">
      <w:pPr>
        <w:pStyle w:val="Heading2"/>
      </w:pPr>
      <w:bookmarkStart w:id="385" w:name="_Toc119332571"/>
      <w:bookmarkStart w:id="386" w:name="_Toc119483907"/>
      <w:bookmarkStart w:id="387" w:name="_Toc119589213"/>
      <w:bookmarkStart w:id="388" w:name="_Toc121339093"/>
      <w:bookmarkEnd w:id="385"/>
      <w:bookmarkEnd w:id="386"/>
      <w:bookmarkEnd w:id="387"/>
      <w:r w:rsidRPr="00CF2ED4">
        <w:t xml:space="preserve">Preliminary </w:t>
      </w:r>
      <w:r w:rsidR="00097632" w:rsidRPr="00CF2ED4">
        <w:t>Appraisal</w:t>
      </w:r>
      <w:bookmarkEnd w:id="384"/>
      <w:bookmarkEnd w:id="388"/>
    </w:p>
    <w:p w14:paraId="191A88DC" w14:textId="37407B0D" w:rsidR="00EA3E6E" w:rsidRDefault="00097632" w:rsidP="00D93256">
      <w:pPr>
        <w:pStyle w:val="STPR2BodyText"/>
      </w:pPr>
      <w:r w:rsidRPr="004F5EEB">
        <w:t>The Preliminary Appraisal involved a qualitative appraisal of all Groupings against the following criteria: TPOs, STAG Criteria, Established Policy Directives and Deliverability Criteria.</w:t>
      </w:r>
      <w:r w:rsidR="00EA3E6E" w:rsidRPr="00EA3E6E">
        <w:t xml:space="preserve"> </w:t>
      </w:r>
      <w:r w:rsidR="00C00BB0">
        <w:t>P</w:t>
      </w:r>
      <w:r w:rsidR="00C00BB0" w:rsidRPr="00C00BB0">
        <w:t>arallel to the STAG process, the SEA and Statutory and I</w:t>
      </w:r>
      <w:r w:rsidR="00C00BB0">
        <w:t xml:space="preserve">mpact </w:t>
      </w:r>
      <w:r w:rsidR="00C00BB0" w:rsidRPr="00C00BB0">
        <w:t>A</w:t>
      </w:r>
      <w:r w:rsidR="00C00BB0">
        <w:t>s</w:t>
      </w:r>
      <w:r w:rsidR="00C00BB0" w:rsidRPr="00C00BB0">
        <w:t>s</w:t>
      </w:r>
      <w:r w:rsidR="00C00BB0">
        <w:t>essments</w:t>
      </w:r>
      <w:r w:rsidR="00C00BB0" w:rsidRPr="00C00BB0">
        <w:t xml:space="preserve"> were undertaken and informed the Preliminary Appraisal</w:t>
      </w:r>
      <w:r w:rsidR="00C00BB0">
        <w:t>.</w:t>
      </w:r>
      <w:r w:rsidR="00C00BB0" w:rsidRPr="00C00BB0">
        <w:t xml:space="preserve"> </w:t>
      </w:r>
      <w:r w:rsidR="00EA3E6E">
        <w:t>The five key STAG criteria</w:t>
      </w:r>
      <w:r w:rsidR="003404D6">
        <w:t xml:space="preserve"> used to appraise the Groupings</w:t>
      </w:r>
      <w:r w:rsidR="00EA3E6E">
        <w:t xml:space="preserve"> are as follows:</w:t>
      </w:r>
    </w:p>
    <w:p w14:paraId="2A010C5B" w14:textId="77777777" w:rsidR="00EA3E6E" w:rsidRDefault="00EA3E6E" w:rsidP="00D93256">
      <w:pPr>
        <w:pStyle w:val="STPR2BodyText"/>
      </w:pPr>
      <w:r>
        <w:t>Environment</w:t>
      </w:r>
    </w:p>
    <w:p w14:paraId="0543CDE3" w14:textId="07EEECD0" w:rsidR="00EA3E6E" w:rsidRDefault="00EA3E6E" w:rsidP="00D93256">
      <w:pPr>
        <w:pStyle w:val="STPR2BulletsLevel1"/>
      </w:pPr>
      <w:r>
        <w:t>Supporting net zero emissions targets;</w:t>
      </w:r>
    </w:p>
    <w:p w14:paraId="153E343E" w14:textId="2FC0823F" w:rsidR="00EA3E6E" w:rsidRDefault="00EA3E6E" w:rsidP="00D93256">
      <w:pPr>
        <w:pStyle w:val="STPR2BulletsLevel1"/>
      </w:pPr>
      <w:r>
        <w:t>Maximising the quality of the built and natural environment for the enjoyment of all.</w:t>
      </w:r>
    </w:p>
    <w:p w14:paraId="0E66D989" w14:textId="77777777" w:rsidR="00EA3E6E" w:rsidRDefault="00EA3E6E" w:rsidP="00D93256">
      <w:pPr>
        <w:pStyle w:val="STPR2BodyText"/>
      </w:pPr>
      <w:r>
        <w:t>Safety</w:t>
      </w:r>
    </w:p>
    <w:p w14:paraId="1AB41A4A" w14:textId="5B133FA0" w:rsidR="00EA3E6E" w:rsidRDefault="00EA3E6E" w:rsidP="00D93256">
      <w:pPr>
        <w:pStyle w:val="STPR2BulletsLevel1"/>
      </w:pPr>
      <w:r>
        <w:t>Reducing the risk and incidence of accidents and improving the security of the transport network for all users.</w:t>
      </w:r>
    </w:p>
    <w:p w14:paraId="0A61413C" w14:textId="77777777" w:rsidR="00EA3E6E" w:rsidRDefault="00EA3E6E" w:rsidP="00D93256">
      <w:pPr>
        <w:pStyle w:val="STPR2BodyText"/>
      </w:pPr>
      <w:r>
        <w:t>Economy</w:t>
      </w:r>
    </w:p>
    <w:p w14:paraId="50103EB0" w14:textId="26F439DF" w:rsidR="00EA3E6E" w:rsidRDefault="00EA3E6E" w:rsidP="00D93256">
      <w:pPr>
        <w:pStyle w:val="STPR2BulletsLevel1"/>
      </w:pPr>
      <w:r>
        <w:t>Improves connectivity, journey times and reliability to facilitate inclusive economic growth.</w:t>
      </w:r>
    </w:p>
    <w:p w14:paraId="1A41C001" w14:textId="77777777" w:rsidR="00EA3E6E" w:rsidRDefault="00EA3E6E" w:rsidP="00D93256">
      <w:pPr>
        <w:pStyle w:val="STPR2BodyText"/>
      </w:pPr>
      <w:r>
        <w:t>Integration</w:t>
      </w:r>
    </w:p>
    <w:p w14:paraId="676FA693" w14:textId="403B1C49" w:rsidR="00EA3E6E" w:rsidRDefault="00EA3E6E" w:rsidP="00D93256">
      <w:pPr>
        <w:pStyle w:val="STPR2BulletsLevel1"/>
      </w:pPr>
      <w:r>
        <w:t>Fitting the transport network together and ensuring a rational relationship between transport and land-use and wider policy.</w:t>
      </w:r>
    </w:p>
    <w:p w14:paraId="415648CB" w14:textId="77777777" w:rsidR="00EA3E6E" w:rsidRDefault="00EA3E6E" w:rsidP="00D93256">
      <w:pPr>
        <w:pStyle w:val="STPR2BodyText"/>
      </w:pPr>
      <w:r>
        <w:t>Accessibility and Social Inclusion</w:t>
      </w:r>
    </w:p>
    <w:p w14:paraId="1C119CEA" w14:textId="05F8FF04" w:rsidR="00097632" w:rsidRPr="00EA3E6E" w:rsidRDefault="00EA3E6E" w:rsidP="00D93256">
      <w:pPr>
        <w:pStyle w:val="STPR2BulletsLevel1"/>
      </w:pPr>
      <w:r>
        <w:t>Increasing the accessibility of the transport network and opportunities to travel</w:t>
      </w:r>
      <w:r w:rsidR="0012025E">
        <w:t xml:space="preserve">, </w:t>
      </w:r>
      <w:r w:rsidR="0012025E" w:rsidRPr="0012025E">
        <w:t>including access to jobs, communities, shops, services and other facilities</w:t>
      </w:r>
      <w:r w:rsidR="00F766AF">
        <w:t>,</w:t>
      </w:r>
      <w:r>
        <w:t xml:space="preserve"> for all users, particularly socially excluded groups.</w:t>
      </w:r>
    </w:p>
    <w:p w14:paraId="531CDC55" w14:textId="4C6F5F6F" w:rsidR="00097632" w:rsidRPr="004F5EEB" w:rsidRDefault="00097632" w:rsidP="00D93256">
      <w:pPr>
        <w:pStyle w:val="STPR2BodyText"/>
        <w:rPr>
          <w:i/>
          <w:iCs/>
        </w:rPr>
      </w:pPr>
      <w:r w:rsidRPr="004F5EEB">
        <w:t xml:space="preserve">The main purpose of the Preliminary Appraisal was to capture the </w:t>
      </w:r>
      <w:r w:rsidRPr="00D844EB">
        <w:rPr>
          <w:u w:val="single"/>
        </w:rPr>
        <w:t>likely</w:t>
      </w:r>
      <w:r w:rsidRPr="004F5EEB">
        <w:t xml:space="preserve"> </w:t>
      </w:r>
      <w:r w:rsidR="0093434B">
        <w:t>impa</w:t>
      </w:r>
      <w:r w:rsidR="009856D4" w:rsidRPr="004F5EEB">
        <w:t xml:space="preserve">cts </w:t>
      </w:r>
      <w:r w:rsidRPr="004F5EEB">
        <w:t>of Groupings, and key dependencies, with more detailed assessment undertaken at the Detailed Appraisal stage.</w:t>
      </w:r>
      <w:r w:rsidR="008673EB" w:rsidRPr="008673EB">
        <w:rPr>
          <w:rFonts w:ascii="Calibri" w:hAnsi="Calibri" w:cstheme="minorBidi"/>
          <w:color w:val="auto"/>
        </w:rPr>
        <w:t xml:space="preserve"> </w:t>
      </w:r>
      <w:r w:rsidR="008673EB" w:rsidRPr="008673EB">
        <w:t xml:space="preserve">Decisions on whether </w:t>
      </w:r>
      <w:r w:rsidR="00DD4297">
        <w:t>or not to take Groupings forward from Preliminary to Detailed</w:t>
      </w:r>
      <w:r w:rsidR="008D22E9">
        <w:t xml:space="preserve"> </w:t>
      </w:r>
      <w:r w:rsidR="00DD4297">
        <w:t>Appraisal</w:t>
      </w:r>
      <w:r w:rsidR="008673EB" w:rsidRPr="008673EB">
        <w:t xml:space="preserve"> were made based on overall performance against the TPOs, STAG criteria, and deliverability criteria, with consideration of alignment with </w:t>
      </w:r>
      <w:r w:rsidR="008673EB" w:rsidRPr="008673EB">
        <w:lastRenderedPageBreak/>
        <w:t xml:space="preserve">established policy directives, </w:t>
      </w:r>
      <w:r w:rsidR="008D22E9">
        <w:t>I</w:t>
      </w:r>
      <w:r w:rsidR="008673EB" w:rsidRPr="008673EB">
        <w:t xml:space="preserve">mpact </w:t>
      </w:r>
      <w:r w:rsidR="008D22E9">
        <w:t>A</w:t>
      </w:r>
      <w:r w:rsidR="008673EB" w:rsidRPr="008673EB">
        <w:t xml:space="preserve">ssessments and performance against </w:t>
      </w:r>
      <w:r w:rsidR="00243523" w:rsidRPr="00243523">
        <w:t xml:space="preserve">Transport </w:t>
      </w:r>
      <w:r w:rsidR="003E71EF" w:rsidRPr="003E71EF">
        <w:t xml:space="preserve">Behaviour </w:t>
      </w:r>
      <w:r w:rsidR="00243523" w:rsidRPr="00243523">
        <w:t>Scenarios.</w:t>
      </w:r>
      <w:r w:rsidR="008673EB">
        <w:t xml:space="preserve"> Appendix G of the </w:t>
      </w:r>
      <w:r w:rsidR="00243523" w:rsidRPr="00243523">
        <w:t xml:space="preserve">Final </w:t>
      </w:r>
      <w:r w:rsidR="008673EB">
        <w:t xml:space="preserve">STPR2 Technical Report (Jacobs </w:t>
      </w:r>
      <w:r w:rsidR="00243523" w:rsidRPr="00243523">
        <w:t>A</w:t>
      </w:r>
      <w:r w:rsidR="00634136">
        <w:t>ECOM,</w:t>
      </w:r>
      <w:r w:rsidR="008673EB">
        <w:t xml:space="preserve"> 2022b) summarises whether or not a </w:t>
      </w:r>
      <w:r w:rsidR="00243523" w:rsidRPr="00243523">
        <w:t>Grouping</w:t>
      </w:r>
      <w:r w:rsidR="008673EB">
        <w:t xml:space="preserve"> was taken forward to the final recommendations, and the rationale behind that decision.</w:t>
      </w:r>
      <w:r w:rsidR="00351821">
        <w:t xml:space="preserve"> It also sets out </w:t>
      </w:r>
      <w:r w:rsidR="00AA6131">
        <w:t>the options set aside at this stage in the process.</w:t>
      </w:r>
      <w:r w:rsidR="00634136">
        <w:t xml:space="preserve"> The </w:t>
      </w:r>
      <w:r w:rsidR="003F01FE">
        <w:t xml:space="preserve">Final STPR2 </w:t>
      </w:r>
      <w:r w:rsidR="00634136">
        <w:t xml:space="preserve">Technical Report </w:t>
      </w:r>
      <w:r w:rsidR="00871D28">
        <w:t>(</w:t>
      </w:r>
      <w:r w:rsidR="00871D28" w:rsidRPr="00871D28">
        <w:t>Jacobs AECOM 2022f)</w:t>
      </w:r>
      <w:r w:rsidR="00871D28">
        <w:t xml:space="preserve"> includes more detail on the </w:t>
      </w:r>
      <w:r w:rsidR="00871D28" w:rsidRPr="00871D28">
        <w:t xml:space="preserve">Transport </w:t>
      </w:r>
      <w:r w:rsidR="003E71EF" w:rsidRPr="003E71EF">
        <w:t xml:space="preserve">Behaviour </w:t>
      </w:r>
      <w:r w:rsidR="00871D28" w:rsidRPr="00871D28">
        <w:t>Scenarios</w:t>
      </w:r>
      <w:r w:rsidR="00871D28">
        <w:t>.</w:t>
      </w:r>
    </w:p>
    <w:p w14:paraId="02877CDD" w14:textId="47BA2B81" w:rsidR="00097632" w:rsidRPr="00CF2ED4" w:rsidRDefault="00097632" w:rsidP="00CF2ED4">
      <w:pPr>
        <w:pStyle w:val="Heading2"/>
      </w:pPr>
      <w:bookmarkStart w:id="389" w:name="_Toc121339094"/>
      <w:r w:rsidRPr="00CF2ED4">
        <w:t>Detailed Appraisal</w:t>
      </w:r>
      <w:bookmarkEnd w:id="389"/>
    </w:p>
    <w:p w14:paraId="6AFAA6A4" w14:textId="77777777" w:rsidR="00097632" w:rsidRPr="004F5EEB" w:rsidRDefault="00097632" w:rsidP="00D93256">
      <w:pPr>
        <w:pStyle w:val="STPR2BodyText"/>
        <w:rPr>
          <w:i/>
          <w:iCs/>
        </w:rPr>
      </w:pPr>
      <w:r w:rsidRPr="004F5EEB">
        <w:t xml:space="preserve">The Groupings, and the interventions included in the Groupings, that were identified to be taken forward from the Preliminary Appraisal </w:t>
      </w:r>
      <w:r w:rsidR="008F2039">
        <w:t>were</w:t>
      </w:r>
      <w:r w:rsidRPr="004F5EEB">
        <w:t xml:space="preserve"> developed into multi-modal ‘Packages’ for the Detailed Appraisal. </w:t>
      </w:r>
      <w:r w:rsidR="002647A9" w:rsidRPr="004F5EEB">
        <w:t xml:space="preserve">The following </w:t>
      </w:r>
      <w:r w:rsidR="002647A9">
        <w:t>P</w:t>
      </w:r>
      <w:r w:rsidR="002647A9" w:rsidRPr="004F5EEB">
        <w:t>ackages</w:t>
      </w:r>
      <w:r w:rsidRPr="004F5EEB">
        <w:t xml:space="preserve"> have been subject to Detailed Appraisal:</w:t>
      </w:r>
    </w:p>
    <w:p w14:paraId="2CD7D1F9" w14:textId="178DD480" w:rsidR="00097632" w:rsidRPr="004F5EEB" w:rsidRDefault="00097632" w:rsidP="00D93256">
      <w:pPr>
        <w:pStyle w:val="STPR2BulletsLevel1"/>
        <w:rPr>
          <w:i/>
          <w:iCs/>
        </w:rPr>
      </w:pPr>
      <w:r w:rsidRPr="004F5EEB">
        <w:t xml:space="preserve">Eleven Regional Packages; </w:t>
      </w:r>
    </w:p>
    <w:p w14:paraId="6E9F029D" w14:textId="77777777" w:rsidR="00097632" w:rsidRPr="004F5EEB" w:rsidRDefault="00097632" w:rsidP="00D93256">
      <w:pPr>
        <w:pStyle w:val="STPR2BulletsLevel1"/>
        <w:rPr>
          <w:i/>
          <w:iCs/>
        </w:rPr>
      </w:pPr>
      <w:r w:rsidRPr="004F5EEB">
        <w:t>One Package of National Interventions (</w:t>
      </w:r>
      <w:r w:rsidR="008F2039">
        <w:t>representing all of the recommendations).</w:t>
      </w:r>
    </w:p>
    <w:p w14:paraId="653433F9" w14:textId="373414D1" w:rsidR="002647A9" w:rsidRDefault="002647A9" w:rsidP="00D93256">
      <w:pPr>
        <w:pStyle w:val="STPR2BodyText"/>
      </w:pPr>
      <w:r w:rsidRPr="004F5EEB">
        <w:t xml:space="preserve">The </w:t>
      </w:r>
      <w:r>
        <w:t>approach to Packaging has varied depending on whether the Grouping was applicable only in a specific location(s) and circumstance(s) (for example</w:t>
      </w:r>
      <w:r w:rsidR="00FD5536">
        <w:t>,</w:t>
      </w:r>
      <w:r>
        <w:t xml:space="preserve"> railway stations, fixed links) or whether the Grouping may be broadly applicable to certain types of location (for example</w:t>
      </w:r>
      <w:r w:rsidR="00FD5536">
        <w:t>,</w:t>
      </w:r>
      <w:r>
        <w:t xml:space="preserve"> active freeways, mobility hubs)</w:t>
      </w:r>
      <w:r w:rsidRPr="004F5EEB">
        <w:t>.</w:t>
      </w:r>
    </w:p>
    <w:p w14:paraId="1EBAC9E0" w14:textId="1F162883" w:rsidR="002647A9" w:rsidRDefault="002647A9" w:rsidP="00D93256">
      <w:pPr>
        <w:pStyle w:val="STPR2BodyText"/>
      </w:pPr>
      <w:r>
        <w:t xml:space="preserve">Groupings made up of location-specific interventions were assigned directly to regions based on the location of the component interventions, ensuring that region-specific problems and opportunities are addressed. Groupings whose component interventions were not location-specific were assigned to applicable area-based categories, which have then been mapped to regions, for consistency in the types of measures that have been considered in regions made up of similar area-based categories. Further details of the Packaging process are provided in the Final </w:t>
      </w:r>
      <w:r w:rsidRPr="006074C5">
        <w:t>STPR2 Technical Report</w:t>
      </w:r>
      <w:r>
        <w:t xml:space="preserve"> (</w:t>
      </w:r>
      <w:r w:rsidRPr="006074C5">
        <w:t xml:space="preserve">Jacobs </w:t>
      </w:r>
      <w:r w:rsidR="00CE117F" w:rsidRPr="00CE117F">
        <w:t>AECOM</w:t>
      </w:r>
      <w:r>
        <w:t xml:space="preserve">, </w:t>
      </w:r>
      <w:r w:rsidRPr="006074C5">
        <w:t>2022</w:t>
      </w:r>
      <w:r w:rsidR="004D550A">
        <w:t>f</w:t>
      </w:r>
      <w:r w:rsidRPr="006074C5">
        <w:t>)</w:t>
      </w:r>
      <w:r>
        <w:t>.</w:t>
      </w:r>
    </w:p>
    <w:p w14:paraId="08DB80DD" w14:textId="147D8D24" w:rsidR="00FE3BDA" w:rsidRDefault="002647A9" w:rsidP="00D93256">
      <w:pPr>
        <w:pStyle w:val="STPR2BodyText"/>
      </w:pPr>
      <w:r w:rsidRPr="008673EB">
        <w:t xml:space="preserve">Detailed </w:t>
      </w:r>
      <w:r>
        <w:t>Appraisal Summary Tables (</w:t>
      </w:r>
      <w:r w:rsidRPr="008673EB">
        <w:t>ASTs</w:t>
      </w:r>
      <w:r>
        <w:t>)</w:t>
      </w:r>
      <w:r w:rsidRPr="008673EB">
        <w:t xml:space="preserve"> have been prepared to provide a clear and concise record of the performance of each Package under</w:t>
      </w:r>
      <w:r w:rsidR="00645B4B">
        <w:t xml:space="preserve"> </w:t>
      </w:r>
      <w:r w:rsidRPr="008673EB">
        <w:t xml:space="preserve">Low and High </w:t>
      </w:r>
      <w:r>
        <w:t xml:space="preserve">Transport </w:t>
      </w:r>
      <w:r w:rsidR="003E71EF" w:rsidRPr="003E71EF">
        <w:t xml:space="preserve">Behaviour </w:t>
      </w:r>
      <w:r>
        <w:t>Scenarios</w:t>
      </w:r>
      <w:r w:rsidRPr="008673EB">
        <w:t xml:space="preserve"> against the relevant TPOs and STAG criteria, policy alignment, and the </w:t>
      </w:r>
      <w:r>
        <w:t>Statutory and</w:t>
      </w:r>
      <w:r w:rsidRPr="008673EB">
        <w:t xml:space="preserve"> </w:t>
      </w:r>
      <w:r>
        <w:t>other</w:t>
      </w:r>
      <w:r w:rsidRPr="008673EB">
        <w:t xml:space="preserve"> </w:t>
      </w:r>
      <w:r>
        <w:t>Impact A</w:t>
      </w:r>
      <w:r w:rsidRPr="008673EB">
        <w:t>ssessments, with a summary of the appraisal metrics considered under each.</w:t>
      </w:r>
      <w:r w:rsidR="00FE3BDA" w:rsidRPr="00FE3BDA">
        <w:t xml:space="preserve"> The two scenarios broadly captur</w:t>
      </w:r>
      <w:r w:rsidR="00FE3BDA">
        <w:t>e</w:t>
      </w:r>
      <w:r w:rsidR="00FE3BDA" w:rsidRPr="00FE3BDA">
        <w:t xml:space="preserve"> ‘high growth sensitivity with no policy ambition on car kilometres’ (referred to as ‘high’) and ‘low growth sensitivity with a 20 per cent reduction policy ambition on car kilometres’ (referred to as ‘low’) levels of motorised traffic demand. The high Transport </w:t>
      </w:r>
      <w:r w:rsidR="003E71EF" w:rsidRPr="003E71EF">
        <w:t xml:space="preserve">Behaviour </w:t>
      </w:r>
      <w:r w:rsidR="00FE3BDA" w:rsidRPr="00FE3BDA">
        <w:t xml:space="preserve">Scenario is similar to a traditional ‘Do-Minimum’ forecast. The low Transport </w:t>
      </w:r>
      <w:r w:rsidR="003E71EF" w:rsidRPr="003E71EF">
        <w:t xml:space="preserve">Behaviour </w:t>
      </w:r>
      <w:r w:rsidR="00FE3BDA" w:rsidRPr="00FE3BDA">
        <w:t>Scenario reflects the same current policy ambitions of the Scottish Government. This provides a much broader context with which to appraise</w:t>
      </w:r>
      <w:r w:rsidR="003D7135" w:rsidRPr="003D7135">
        <w:t xml:space="preserve"> the</w:t>
      </w:r>
      <w:r w:rsidR="00FE3BDA" w:rsidRPr="00FE3BDA">
        <w:t xml:space="preserve"> STPR2 interventions.</w:t>
      </w:r>
      <w:r w:rsidR="007D2A57" w:rsidRPr="007D2A57">
        <w:t xml:space="preserve"> Further details </w:t>
      </w:r>
      <w:r w:rsidR="007D2A57">
        <w:t>on the scenario development</w:t>
      </w:r>
      <w:r w:rsidR="007D2A57" w:rsidRPr="007D2A57">
        <w:t xml:space="preserve"> are provided in the Final STPR2 Technical Report (Jacobs AECOM, 2022</w:t>
      </w:r>
      <w:r w:rsidR="00712020">
        <w:t>f</w:t>
      </w:r>
      <w:r w:rsidR="007D2A57" w:rsidRPr="007D2A57">
        <w:t>).</w:t>
      </w:r>
    </w:p>
    <w:p w14:paraId="1F302202" w14:textId="40A44ECA" w:rsidR="002647A9" w:rsidRDefault="002647A9" w:rsidP="00D93256">
      <w:pPr>
        <w:pStyle w:val="STPR2BodyText"/>
      </w:pPr>
      <w:r w:rsidRPr="008673EB">
        <w:t xml:space="preserve">Detailed </w:t>
      </w:r>
      <w:r w:rsidR="00240880">
        <w:t xml:space="preserve">Packaging </w:t>
      </w:r>
      <w:r w:rsidRPr="008673EB">
        <w:t>ASTs are contained within Appendix H</w:t>
      </w:r>
      <w:r>
        <w:t xml:space="preserve"> of the Final </w:t>
      </w:r>
      <w:r w:rsidRPr="008673EB">
        <w:t xml:space="preserve">STPR2 Technical Report (Jacobs </w:t>
      </w:r>
      <w:r w:rsidR="00CE117F" w:rsidRPr="00CE117F">
        <w:t>AECOM</w:t>
      </w:r>
      <w:r w:rsidRPr="008673EB">
        <w:t>, 2022</w:t>
      </w:r>
      <w:r w:rsidR="004D550A">
        <w:t>f</w:t>
      </w:r>
      <w:r w:rsidRPr="008673EB">
        <w:t>)</w:t>
      </w:r>
      <w:r w:rsidR="00FD532A">
        <w:t xml:space="preserve">. </w:t>
      </w:r>
    </w:p>
    <w:p w14:paraId="60A8AABD" w14:textId="595DBCB6" w:rsidR="00337073" w:rsidRDefault="00E0353E" w:rsidP="00702D9F">
      <w:pPr>
        <w:pStyle w:val="Heading2"/>
      </w:pPr>
      <w:bookmarkStart w:id="390" w:name="_Toc119332574"/>
      <w:bookmarkStart w:id="391" w:name="_Toc119483910"/>
      <w:bookmarkStart w:id="392" w:name="_Toc119589216"/>
      <w:bookmarkStart w:id="393" w:name="_Toc119332575"/>
      <w:bookmarkStart w:id="394" w:name="_Toc119483911"/>
      <w:bookmarkStart w:id="395" w:name="_Toc119589217"/>
      <w:bookmarkStart w:id="396" w:name="_Toc119332576"/>
      <w:bookmarkStart w:id="397" w:name="_Toc119483912"/>
      <w:bookmarkStart w:id="398" w:name="_Toc119589218"/>
      <w:bookmarkStart w:id="399" w:name="_Toc119332577"/>
      <w:bookmarkStart w:id="400" w:name="_Toc119483913"/>
      <w:bookmarkStart w:id="401" w:name="_Toc119589219"/>
      <w:bookmarkStart w:id="402" w:name="_Toc119332578"/>
      <w:bookmarkStart w:id="403" w:name="_Toc119483914"/>
      <w:bookmarkStart w:id="404" w:name="_Toc119589220"/>
      <w:bookmarkStart w:id="405" w:name="_Toc119332579"/>
      <w:bookmarkStart w:id="406" w:name="_Toc119483915"/>
      <w:bookmarkStart w:id="407" w:name="_Toc119589221"/>
      <w:bookmarkStart w:id="408" w:name="_Toc119332580"/>
      <w:bookmarkStart w:id="409" w:name="_Toc119483916"/>
      <w:bookmarkStart w:id="410" w:name="_Toc119589222"/>
      <w:bookmarkStart w:id="411" w:name="_Toc119332581"/>
      <w:bookmarkStart w:id="412" w:name="_Toc119483917"/>
      <w:bookmarkStart w:id="413" w:name="_Toc119589223"/>
      <w:bookmarkStart w:id="414" w:name="_Toc119332582"/>
      <w:bookmarkStart w:id="415" w:name="_Toc119483918"/>
      <w:bookmarkStart w:id="416" w:name="_Toc119589224"/>
      <w:bookmarkStart w:id="417" w:name="_Toc119332583"/>
      <w:bookmarkStart w:id="418" w:name="_Toc119483919"/>
      <w:bookmarkStart w:id="419" w:name="_Toc119589225"/>
      <w:bookmarkStart w:id="420" w:name="_Toc119332584"/>
      <w:bookmarkStart w:id="421" w:name="_Toc119483920"/>
      <w:bookmarkStart w:id="422" w:name="_Toc119589226"/>
      <w:bookmarkStart w:id="423" w:name="_Toc119332585"/>
      <w:bookmarkStart w:id="424" w:name="_Toc119483921"/>
      <w:bookmarkStart w:id="425" w:name="_Toc119589227"/>
      <w:bookmarkStart w:id="426" w:name="_Toc119332586"/>
      <w:bookmarkStart w:id="427" w:name="_Toc119483922"/>
      <w:bookmarkStart w:id="428" w:name="_Toc119589228"/>
      <w:bookmarkStart w:id="429" w:name="_Toc119332587"/>
      <w:bookmarkStart w:id="430" w:name="_Toc119483923"/>
      <w:bookmarkStart w:id="431" w:name="_Toc119589229"/>
      <w:bookmarkStart w:id="432" w:name="_Toc119332588"/>
      <w:bookmarkStart w:id="433" w:name="_Toc119483924"/>
      <w:bookmarkStart w:id="434" w:name="_Toc119589230"/>
      <w:bookmarkStart w:id="435" w:name="_Toc119332589"/>
      <w:bookmarkStart w:id="436" w:name="_Toc119483925"/>
      <w:bookmarkStart w:id="437" w:name="_Toc119589231"/>
      <w:bookmarkStart w:id="438" w:name="_Toc119332590"/>
      <w:bookmarkStart w:id="439" w:name="_Toc119483926"/>
      <w:bookmarkStart w:id="440" w:name="_Toc119589232"/>
      <w:bookmarkStart w:id="441" w:name="_Toc119332591"/>
      <w:bookmarkStart w:id="442" w:name="_Toc119483927"/>
      <w:bookmarkStart w:id="443" w:name="_Toc119589233"/>
      <w:bookmarkStart w:id="444" w:name="_Toc119332592"/>
      <w:bookmarkStart w:id="445" w:name="_Toc119483928"/>
      <w:bookmarkStart w:id="446" w:name="_Toc119589234"/>
      <w:bookmarkStart w:id="447" w:name="_Toc119332593"/>
      <w:bookmarkStart w:id="448" w:name="_Toc119483929"/>
      <w:bookmarkStart w:id="449" w:name="_Toc119589235"/>
      <w:bookmarkStart w:id="450" w:name="_Toc119332594"/>
      <w:bookmarkStart w:id="451" w:name="_Toc119483930"/>
      <w:bookmarkStart w:id="452" w:name="_Toc119589236"/>
      <w:bookmarkStart w:id="453" w:name="_Toc119332595"/>
      <w:bookmarkStart w:id="454" w:name="_Toc119483931"/>
      <w:bookmarkStart w:id="455" w:name="_Toc119589237"/>
      <w:bookmarkStart w:id="456" w:name="_Toc119332596"/>
      <w:bookmarkStart w:id="457" w:name="_Toc119483932"/>
      <w:bookmarkStart w:id="458" w:name="_Toc119589238"/>
      <w:bookmarkStart w:id="459" w:name="_Toc119332597"/>
      <w:bookmarkStart w:id="460" w:name="_Toc119483933"/>
      <w:bookmarkStart w:id="461" w:name="_Toc119589239"/>
      <w:bookmarkStart w:id="462" w:name="_Toc119332598"/>
      <w:bookmarkStart w:id="463" w:name="_Toc119483934"/>
      <w:bookmarkStart w:id="464" w:name="_Toc119589240"/>
      <w:bookmarkStart w:id="465" w:name="_Toc119332599"/>
      <w:bookmarkStart w:id="466" w:name="_Toc119483935"/>
      <w:bookmarkStart w:id="467" w:name="_Toc119589241"/>
      <w:bookmarkStart w:id="468" w:name="_Toc119332600"/>
      <w:bookmarkStart w:id="469" w:name="_Toc119483936"/>
      <w:bookmarkStart w:id="470" w:name="_Toc119589242"/>
      <w:bookmarkStart w:id="471" w:name="_Toc119332601"/>
      <w:bookmarkStart w:id="472" w:name="_Toc119483937"/>
      <w:bookmarkStart w:id="473" w:name="_Toc119589243"/>
      <w:bookmarkStart w:id="474" w:name="_Toc119332602"/>
      <w:bookmarkStart w:id="475" w:name="_Toc119483938"/>
      <w:bookmarkStart w:id="476" w:name="_Toc119589244"/>
      <w:bookmarkStart w:id="477" w:name="_Toc119332603"/>
      <w:bookmarkStart w:id="478" w:name="_Toc119483939"/>
      <w:bookmarkStart w:id="479" w:name="_Toc119589245"/>
      <w:bookmarkStart w:id="480" w:name="_Toc119332604"/>
      <w:bookmarkStart w:id="481" w:name="_Toc119483940"/>
      <w:bookmarkStart w:id="482" w:name="_Toc119589246"/>
      <w:bookmarkStart w:id="483" w:name="_Toc119332605"/>
      <w:bookmarkStart w:id="484" w:name="_Toc119483941"/>
      <w:bookmarkStart w:id="485" w:name="_Toc119589247"/>
      <w:bookmarkStart w:id="486" w:name="_Toc121339095"/>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4B3264">
        <w:t xml:space="preserve">STPR2 </w:t>
      </w:r>
      <w:r w:rsidR="00C752B0">
        <w:t>Recommendations</w:t>
      </w:r>
      <w:bookmarkEnd w:id="486"/>
    </w:p>
    <w:p w14:paraId="0BC51EEC" w14:textId="51211A30" w:rsidR="008E1A69" w:rsidRDefault="008E1A69" w:rsidP="00D93256">
      <w:pPr>
        <w:pStyle w:val="STPR2BodyText"/>
      </w:pPr>
      <w:r>
        <w:t xml:space="preserve">The role of </w:t>
      </w:r>
      <w:r w:rsidR="003D7135" w:rsidRPr="003D7135">
        <w:t xml:space="preserve">the </w:t>
      </w:r>
      <w:r>
        <w:t xml:space="preserve">STPR2 is to provide the evidence base to recommend the transport investment priorities for Scottish Ministers for the next 20 years, in the face of great uncertainty and challenges. As we continue to emerge from the short-term impacts associated with the COVID-19 pandemic, it is vitally important to consider transport investments around the overall vision set out in </w:t>
      </w:r>
      <w:r w:rsidR="00207314" w:rsidRPr="00207314">
        <w:t xml:space="preserve">the </w:t>
      </w:r>
      <w:r>
        <w:t xml:space="preserve">NTS2 to ensure that we continue, at </w:t>
      </w:r>
      <w:r>
        <w:lastRenderedPageBreak/>
        <w:t>pace, towards the delivery of a sustainable, inclusive, safe and accessible transport system, helping deliver a healthier, fairer and more prosperous Scotland for communities, businesses and visitors.</w:t>
      </w:r>
    </w:p>
    <w:p w14:paraId="468B3250" w14:textId="77777777" w:rsidR="000805D9" w:rsidRPr="008542BC" w:rsidRDefault="000805D9" w:rsidP="00D93256">
      <w:pPr>
        <w:pStyle w:val="STPR2BodyText"/>
      </w:pPr>
      <w:r>
        <w:t xml:space="preserve">A total of 45 recommendations are presented </w:t>
      </w:r>
      <w:r w:rsidR="00D646C7">
        <w:t>below</w:t>
      </w:r>
      <w:r>
        <w:t xml:space="preserve">. These consist of some interventions that are specific to a particular location, others apply to certain regions in the country, and finally some of the recommendations are applicable across the whole country. </w:t>
      </w:r>
    </w:p>
    <w:p w14:paraId="65160313" w14:textId="19DD5736" w:rsidR="008E1A69" w:rsidRPr="008542BC" w:rsidRDefault="008E1A69" w:rsidP="00D93256">
      <w:pPr>
        <w:pStyle w:val="STPR2BodyText"/>
      </w:pPr>
      <w:r w:rsidRPr="007154A8">
        <w:t xml:space="preserve">Within the list of recommendations, there are no specific priorities, as each component is important in addressing the complex needs of our nation, nor are these interventions the sole responsibility of Transport Scotland to deliver; indeed many will rely on working together or for others to take forward. However, by including these in </w:t>
      </w:r>
      <w:r w:rsidR="003D7135" w:rsidRPr="003D7135">
        <w:t xml:space="preserve">the </w:t>
      </w:r>
      <w:r w:rsidRPr="007154A8">
        <w:t>STPR2, Transport Scotland has confirmed its commitment to supporting and working in partnership with others to develop the recommended interventions</w:t>
      </w:r>
      <w:r w:rsidR="00BD4CA8">
        <w:t>.</w:t>
      </w:r>
    </w:p>
    <w:p w14:paraId="1880CBD8" w14:textId="6E27C1CD" w:rsidR="008E1A69" w:rsidRDefault="008E1A69" w:rsidP="00D93256">
      <w:pPr>
        <w:pStyle w:val="STPR2BodyText"/>
      </w:pPr>
      <w:r>
        <w:t xml:space="preserve">In many cases the interventions build on the individual investment and policy decisions taken in recent years, but the overall balance of the recommendations will help deliver </w:t>
      </w:r>
      <w:r w:rsidR="00207314" w:rsidRPr="00207314">
        <w:t xml:space="preserve">the </w:t>
      </w:r>
      <w:r>
        <w:t>NTS2 and meet the commitments contained within the associated Delivery Plans.</w:t>
      </w:r>
    </w:p>
    <w:p w14:paraId="2018CC14" w14:textId="12F7BDAD" w:rsidR="008E1A69" w:rsidRDefault="0023644B" w:rsidP="00D93256">
      <w:pPr>
        <w:pStyle w:val="STPR2BodyText"/>
      </w:pPr>
      <w:r>
        <w:t>A</w:t>
      </w:r>
      <w:r w:rsidR="00036F8A">
        <w:t xml:space="preserve"> list of</w:t>
      </w:r>
      <w:r w:rsidR="008E1A69">
        <w:t xml:space="preserve"> the recommendations</w:t>
      </w:r>
      <w:r>
        <w:t xml:space="preserve"> is provided below</w:t>
      </w:r>
      <w:r w:rsidR="008E1A69">
        <w:t>. For presentational purposes the recommendations have been grouped into six themes, as follows:</w:t>
      </w:r>
    </w:p>
    <w:p w14:paraId="7259CDFD" w14:textId="77777777" w:rsidR="008E1A69" w:rsidRDefault="008E1A69" w:rsidP="00D93256">
      <w:pPr>
        <w:pStyle w:val="STPR2BulletsLevel1"/>
        <w:rPr>
          <w:rStyle w:val="normaltextrun"/>
        </w:rPr>
      </w:pPr>
      <w:r w:rsidRPr="1CA9AD1A">
        <w:rPr>
          <w:rStyle w:val="normaltextrun"/>
        </w:rPr>
        <w:t xml:space="preserve">Improving </w:t>
      </w:r>
      <w:r>
        <w:rPr>
          <w:rStyle w:val="normaltextrun"/>
        </w:rPr>
        <w:t>a</w:t>
      </w:r>
      <w:r w:rsidRPr="1CA9AD1A">
        <w:rPr>
          <w:rStyle w:val="normaltextrun"/>
        </w:rPr>
        <w:t xml:space="preserve">ctive </w:t>
      </w:r>
      <w:r>
        <w:rPr>
          <w:rStyle w:val="normaltextrun"/>
        </w:rPr>
        <w:t>t</w:t>
      </w:r>
      <w:r w:rsidRPr="1CA9AD1A">
        <w:rPr>
          <w:rStyle w:val="normaltextrun"/>
        </w:rPr>
        <w:t xml:space="preserve">ravel </w:t>
      </w:r>
      <w:r>
        <w:rPr>
          <w:rStyle w:val="normaltextrun"/>
        </w:rPr>
        <w:t>i</w:t>
      </w:r>
      <w:r w:rsidRPr="1CA9AD1A">
        <w:rPr>
          <w:rStyle w:val="normaltextrun"/>
        </w:rPr>
        <w:t>nfrastructure;</w:t>
      </w:r>
    </w:p>
    <w:p w14:paraId="7A4061FC" w14:textId="77777777" w:rsidR="008E1A69" w:rsidRPr="00450D5D" w:rsidRDefault="008E1A69" w:rsidP="00D93256">
      <w:pPr>
        <w:pStyle w:val="STPR2BulletsLevel1"/>
        <w:rPr>
          <w:rStyle w:val="normaltextrun"/>
        </w:rPr>
      </w:pPr>
      <w:r w:rsidRPr="00450D5D">
        <w:rPr>
          <w:rStyle w:val="normaltextrun"/>
        </w:rPr>
        <w:t xml:space="preserve">Influencing </w:t>
      </w:r>
      <w:r>
        <w:rPr>
          <w:rStyle w:val="normaltextrun"/>
        </w:rPr>
        <w:t>t</w:t>
      </w:r>
      <w:r w:rsidRPr="00450D5D">
        <w:rPr>
          <w:rStyle w:val="normaltextrun"/>
        </w:rPr>
        <w:t xml:space="preserve">ravel </w:t>
      </w:r>
      <w:r>
        <w:rPr>
          <w:rStyle w:val="normaltextrun"/>
        </w:rPr>
        <w:t>c</w:t>
      </w:r>
      <w:r w:rsidRPr="00450D5D">
        <w:rPr>
          <w:rStyle w:val="normaltextrun"/>
        </w:rPr>
        <w:t>hoices</w:t>
      </w:r>
      <w:r>
        <w:rPr>
          <w:rStyle w:val="normaltextrun"/>
        </w:rPr>
        <w:t xml:space="preserve"> and behaviour</w:t>
      </w:r>
      <w:r w:rsidRPr="00450D5D">
        <w:rPr>
          <w:rStyle w:val="normaltextrun"/>
        </w:rPr>
        <w:t>;</w:t>
      </w:r>
    </w:p>
    <w:p w14:paraId="12FC0326" w14:textId="77777777" w:rsidR="000805D9" w:rsidRPr="008542BC" w:rsidRDefault="000805D9" w:rsidP="00D93256">
      <w:pPr>
        <w:pStyle w:val="STPR2BulletsLevel1"/>
      </w:pPr>
      <w:r w:rsidRPr="1CA9AD1A">
        <w:rPr>
          <w:rStyle w:val="normaltextrun"/>
        </w:rPr>
        <w:t xml:space="preserve">Enhancing </w:t>
      </w:r>
      <w:r w:rsidR="0062482E">
        <w:rPr>
          <w:rStyle w:val="normaltextrun"/>
        </w:rPr>
        <w:t>a</w:t>
      </w:r>
      <w:r w:rsidRPr="1CA9AD1A">
        <w:rPr>
          <w:rStyle w:val="normaltextrun"/>
        </w:rPr>
        <w:t>ccess to affordable public transport;</w:t>
      </w:r>
    </w:p>
    <w:p w14:paraId="6911935B" w14:textId="77777777" w:rsidR="000805D9" w:rsidRPr="008542BC" w:rsidRDefault="000805D9" w:rsidP="00D93256">
      <w:pPr>
        <w:pStyle w:val="STPR2BulletsLevel1"/>
      </w:pPr>
      <w:r w:rsidRPr="1CA9AD1A">
        <w:rPr>
          <w:rStyle w:val="normaltextrun"/>
        </w:rPr>
        <w:t xml:space="preserve">Decarbonising </w:t>
      </w:r>
      <w:r w:rsidR="0062482E">
        <w:rPr>
          <w:rStyle w:val="normaltextrun"/>
        </w:rPr>
        <w:t>t</w:t>
      </w:r>
      <w:r w:rsidRPr="1CA9AD1A">
        <w:rPr>
          <w:rStyle w:val="normaltextrun"/>
        </w:rPr>
        <w:t>ransport;</w:t>
      </w:r>
    </w:p>
    <w:p w14:paraId="624EFFFE" w14:textId="371DFB2E" w:rsidR="000805D9" w:rsidRPr="008542BC" w:rsidRDefault="000805D9" w:rsidP="00D93256">
      <w:pPr>
        <w:pStyle w:val="STPR2BulletsLevel1"/>
      </w:pPr>
      <w:r w:rsidRPr="1CA9AD1A">
        <w:rPr>
          <w:rStyle w:val="normaltextrun"/>
        </w:rPr>
        <w:t xml:space="preserve">Increasing </w:t>
      </w:r>
      <w:r w:rsidR="0062482E">
        <w:rPr>
          <w:rStyle w:val="normaltextrun"/>
        </w:rPr>
        <w:t>s</w:t>
      </w:r>
      <w:r w:rsidRPr="1CA9AD1A">
        <w:rPr>
          <w:rStyle w:val="normaltextrun"/>
        </w:rPr>
        <w:t xml:space="preserve">afety and </w:t>
      </w:r>
      <w:r w:rsidR="0062482E">
        <w:rPr>
          <w:rStyle w:val="normaltextrun"/>
        </w:rPr>
        <w:t>r</w:t>
      </w:r>
      <w:r w:rsidRPr="1CA9AD1A">
        <w:rPr>
          <w:rStyle w:val="normaltextrun"/>
        </w:rPr>
        <w:t xml:space="preserve">esilience on </w:t>
      </w:r>
      <w:r w:rsidR="008E1A69">
        <w:rPr>
          <w:rStyle w:val="normaltextrun"/>
        </w:rPr>
        <w:t>the s</w:t>
      </w:r>
      <w:r w:rsidR="008E1A69" w:rsidRPr="1CA9AD1A">
        <w:rPr>
          <w:rStyle w:val="normaltextrun"/>
        </w:rPr>
        <w:t xml:space="preserve">trategic </w:t>
      </w:r>
      <w:r w:rsidR="008E1A69">
        <w:rPr>
          <w:rStyle w:val="normaltextrun"/>
        </w:rPr>
        <w:t>t</w:t>
      </w:r>
      <w:r w:rsidR="008E1A69" w:rsidRPr="1CA9AD1A">
        <w:rPr>
          <w:rStyle w:val="normaltextrun"/>
        </w:rPr>
        <w:t xml:space="preserve">ransport </w:t>
      </w:r>
      <w:r w:rsidR="008E1A69">
        <w:rPr>
          <w:rStyle w:val="normaltextrun"/>
        </w:rPr>
        <w:t>n</w:t>
      </w:r>
      <w:r w:rsidR="008E1A69" w:rsidRPr="1CA9AD1A">
        <w:rPr>
          <w:rStyle w:val="normaltextrun"/>
        </w:rPr>
        <w:t xml:space="preserve">etwork; </w:t>
      </w:r>
    </w:p>
    <w:p w14:paraId="0BBFAFBC" w14:textId="77777777" w:rsidR="000805D9" w:rsidRPr="008542BC" w:rsidRDefault="008E1A69" w:rsidP="00D93256">
      <w:pPr>
        <w:pStyle w:val="STPR2BulletsLevel1"/>
      </w:pPr>
      <w:r>
        <w:rPr>
          <w:rStyle w:val="normaltextrun"/>
        </w:rPr>
        <w:t>Strengthening</w:t>
      </w:r>
      <w:r w:rsidR="000805D9" w:rsidRPr="1CA9AD1A">
        <w:rPr>
          <w:rStyle w:val="normaltextrun"/>
        </w:rPr>
        <w:t xml:space="preserve"> </w:t>
      </w:r>
      <w:r w:rsidR="0062482E">
        <w:rPr>
          <w:rStyle w:val="normaltextrun"/>
        </w:rPr>
        <w:t>s</w:t>
      </w:r>
      <w:r w:rsidR="000805D9" w:rsidRPr="1CA9AD1A">
        <w:rPr>
          <w:rStyle w:val="normaltextrun"/>
        </w:rPr>
        <w:t xml:space="preserve">trategic </w:t>
      </w:r>
      <w:r w:rsidR="0062482E">
        <w:rPr>
          <w:rStyle w:val="normaltextrun"/>
        </w:rPr>
        <w:t>c</w:t>
      </w:r>
      <w:r w:rsidR="000805D9" w:rsidRPr="1CA9AD1A">
        <w:rPr>
          <w:rStyle w:val="normaltextrun"/>
        </w:rPr>
        <w:t>onnections.</w:t>
      </w:r>
    </w:p>
    <w:p w14:paraId="53C56775" w14:textId="77777777" w:rsidR="000805D9" w:rsidRPr="00450D5D" w:rsidRDefault="00E560EC" w:rsidP="00D93256">
      <w:pPr>
        <w:pStyle w:val="STPR2BodyText"/>
        <w:rPr>
          <w:szCs w:val="24"/>
        </w:rPr>
      </w:pPr>
      <w:r w:rsidRPr="00450D5D">
        <w:t xml:space="preserve">Improving Active Travel </w:t>
      </w:r>
      <w:r w:rsidRPr="00450D5D">
        <w:rPr>
          <w:szCs w:val="24"/>
        </w:rPr>
        <w:t>Infrastructure</w:t>
      </w:r>
    </w:p>
    <w:p w14:paraId="571EDB21" w14:textId="77777777" w:rsidR="00E560EC" w:rsidRPr="002C2965" w:rsidRDefault="00E560EC" w:rsidP="002C2965">
      <w:pPr>
        <w:pStyle w:val="ListParagraph"/>
      </w:pPr>
      <w:r w:rsidRPr="002C2965">
        <w:t>Connected neighbourhoods</w:t>
      </w:r>
    </w:p>
    <w:p w14:paraId="55C962D8" w14:textId="77777777" w:rsidR="00E560EC" w:rsidRPr="002C2965" w:rsidRDefault="009024A0" w:rsidP="002C2965">
      <w:pPr>
        <w:pStyle w:val="ListParagraph"/>
      </w:pPr>
      <w:r w:rsidRPr="002C2965">
        <w:t>Active freeways and cycle parking hubs</w:t>
      </w:r>
    </w:p>
    <w:p w14:paraId="29E1DADA" w14:textId="77777777" w:rsidR="009024A0" w:rsidRPr="002C2965" w:rsidRDefault="009024A0" w:rsidP="002C2965">
      <w:pPr>
        <w:pStyle w:val="ListParagraph"/>
      </w:pPr>
      <w:r w:rsidRPr="002C2965">
        <w:t>Village-town</w:t>
      </w:r>
      <w:r w:rsidR="007A512C" w:rsidRPr="002C2965">
        <w:t xml:space="preserve"> active travel connections</w:t>
      </w:r>
    </w:p>
    <w:p w14:paraId="5895A3A0" w14:textId="77777777" w:rsidR="00583136" w:rsidRPr="002C2965" w:rsidRDefault="007A512C" w:rsidP="002C2965">
      <w:pPr>
        <w:pStyle w:val="ListParagraph"/>
      </w:pPr>
      <w:r w:rsidRPr="002C2965">
        <w:t>Connecting towns by active travel</w:t>
      </w:r>
    </w:p>
    <w:p w14:paraId="7FB3276F" w14:textId="77777777" w:rsidR="000805D9" w:rsidRPr="002C2965" w:rsidRDefault="00583136" w:rsidP="002C2965">
      <w:pPr>
        <w:pStyle w:val="ListParagraph"/>
      </w:pPr>
      <w:r w:rsidRPr="002C2965">
        <w:t>Long-distance active travel network</w:t>
      </w:r>
    </w:p>
    <w:p w14:paraId="16FCC643" w14:textId="77777777" w:rsidR="002C0480" w:rsidRPr="00450D5D" w:rsidRDefault="00A20A11" w:rsidP="00D93256">
      <w:pPr>
        <w:pStyle w:val="STPR2BodyText"/>
      </w:pPr>
      <w:r w:rsidRPr="00450D5D">
        <w:t>Influencing Travel Choices</w:t>
      </w:r>
      <w:r w:rsidR="008E1A69">
        <w:t xml:space="preserve"> and Behaviour</w:t>
      </w:r>
    </w:p>
    <w:p w14:paraId="7A4EB268" w14:textId="77777777" w:rsidR="008E1A69" w:rsidRPr="00450D5D" w:rsidRDefault="008E1A69" w:rsidP="008E1A69">
      <w:pPr>
        <w:pStyle w:val="ListParagraph"/>
      </w:pPr>
      <w:r w:rsidRPr="00450D5D">
        <w:t xml:space="preserve">Behavioural change </w:t>
      </w:r>
      <w:r>
        <w:t>i</w:t>
      </w:r>
      <w:r w:rsidRPr="00450D5D">
        <w:t>nitiatives</w:t>
      </w:r>
    </w:p>
    <w:p w14:paraId="381F3738" w14:textId="77777777" w:rsidR="00A267F3" w:rsidRPr="00450D5D" w:rsidRDefault="006F5E55" w:rsidP="002C2965">
      <w:pPr>
        <w:pStyle w:val="ListParagraph"/>
      </w:pPr>
      <w:r w:rsidRPr="00450D5D">
        <w:t>Changing road user behaviour</w:t>
      </w:r>
    </w:p>
    <w:p w14:paraId="20962780" w14:textId="77777777" w:rsidR="006F5E55" w:rsidRPr="00450D5D" w:rsidRDefault="00E86BAF" w:rsidP="002C2965">
      <w:pPr>
        <w:pStyle w:val="ListParagraph"/>
      </w:pPr>
      <w:r w:rsidRPr="00450D5D">
        <w:t>Increasing active travel to school</w:t>
      </w:r>
    </w:p>
    <w:p w14:paraId="3B763044" w14:textId="77777777" w:rsidR="00E86BAF" w:rsidRPr="00450D5D" w:rsidRDefault="00E86BAF" w:rsidP="002C2965">
      <w:pPr>
        <w:pStyle w:val="ListParagraph"/>
      </w:pPr>
      <w:r w:rsidRPr="00450D5D">
        <w:t>Improving access to bikes</w:t>
      </w:r>
    </w:p>
    <w:p w14:paraId="40268794" w14:textId="77777777" w:rsidR="00E86BAF" w:rsidRPr="00450D5D" w:rsidRDefault="00E86BAF" w:rsidP="002C2965">
      <w:pPr>
        <w:pStyle w:val="ListParagraph"/>
      </w:pPr>
      <w:r w:rsidRPr="00450D5D">
        <w:t>Expansion of 20mph limits and zones</w:t>
      </w:r>
    </w:p>
    <w:p w14:paraId="212C21AB" w14:textId="77777777" w:rsidR="004E0FF6" w:rsidRPr="00450D5D" w:rsidRDefault="004E0FF6" w:rsidP="00D93256">
      <w:pPr>
        <w:pStyle w:val="STPR2BodyText"/>
      </w:pPr>
      <w:r w:rsidRPr="00450D5D">
        <w:t>Enhancing Access to Affordable Public Transport</w:t>
      </w:r>
    </w:p>
    <w:p w14:paraId="35145BFD" w14:textId="77777777" w:rsidR="004E0FF6" w:rsidRPr="00450D5D" w:rsidRDefault="00EF2D42" w:rsidP="002C2965">
      <w:pPr>
        <w:pStyle w:val="ListParagraph"/>
      </w:pPr>
      <w:r w:rsidRPr="00450D5D">
        <w:t>Clyde Metro</w:t>
      </w:r>
    </w:p>
    <w:p w14:paraId="6919BB98" w14:textId="77777777" w:rsidR="00EF2D42" w:rsidRPr="00450D5D" w:rsidRDefault="00EF2D42" w:rsidP="002C2965">
      <w:pPr>
        <w:pStyle w:val="ListParagraph"/>
      </w:pPr>
      <w:r w:rsidRPr="00450D5D">
        <w:t>Edinburgh and South</w:t>
      </w:r>
      <w:r w:rsidR="008E1A69">
        <w:t xml:space="preserve"> </w:t>
      </w:r>
      <w:r w:rsidRPr="00450D5D">
        <w:t>East Scotland Mass Transit</w:t>
      </w:r>
    </w:p>
    <w:p w14:paraId="1B3EA963" w14:textId="77777777" w:rsidR="00EF2D42" w:rsidRPr="00450D5D" w:rsidRDefault="00CF62EB" w:rsidP="002C2965">
      <w:pPr>
        <w:pStyle w:val="ListParagraph"/>
      </w:pPr>
      <w:r w:rsidRPr="00450D5D">
        <w:t>Aberdeen Rapid Transit</w:t>
      </w:r>
    </w:p>
    <w:p w14:paraId="4DF4F569" w14:textId="77777777" w:rsidR="00CF62EB" w:rsidRPr="00450D5D" w:rsidRDefault="00CF62EB" w:rsidP="002C2965">
      <w:pPr>
        <w:pStyle w:val="ListParagraph"/>
      </w:pPr>
      <w:r w:rsidRPr="00450D5D">
        <w:t>Provision of strategic bus pr</w:t>
      </w:r>
      <w:r w:rsidR="00CD40C7" w:rsidRPr="00450D5D">
        <w:t>iority measures</w:t>
      </w:r>
    </w:p>
    <w:p w14:paraId="49778AB2" w14:textId="77777777" w:rsidR="00CD40C7" w:rsidRPr="00450D5D" w:rsidRDefault="00CD40C7" w:rsidP="002C2965">
      <w:pPr>
        <w:pStyle w:val="ListParagraph"/>
      </w:pPr>
      <w:r w:rsidRPr="00450D5D">
        <w:t xml:space="preserve">Highland </w:t>
      </w:r>
      <w:r w:rsidR="00761EF8">
        <w:t>M</w:t>
      </w:r>
      <w:r w:rsidRPr="00450D5D">
        <w:t>ain</w:t>
      </w:r>
      <w:r w:rsidR="00761EF8">
        <w:t xml:space="preserve"> L</w:t>
      </w:r>
      <w:r w:rsidRPr="00450D5D">
        <w:t>ine rail corridor enhancements</w:t>
      </w:r>
    </w:p>
    <w:p w14:paraId="0A10A86F" w14:textId="77777777" w:rsidR="00CD40C7" w:rsidRPr="00450D5D" w:rsidRDefault="00CD40C7" w:rsidP="002C2965">
      <w:pPr>
        <w:pStyle w:val="ListParagraph"/>
      </w:pPr>
      <w:r w:rsidRPr="00450D5D">
        <w:t>Per</w:t>
      </w:r>
      <w:r w:rsidR="006B6338" w:rsidRPr="00450D5D">
        <w:t>t</w:t>
      </w:r>
      <w:r w:rsidRPr="00450D5D">
        <w:t>h</w:t>
      </w:r>
      <w:r w:rsidR="006B6338" w:rsidRPr="00450D5D">
        <w:t>-Dundee</w:t>
      </w:r>
      <w:r w:rsidR="00796292" w:rsidRPr="00450D5D">
        <w:t>-Aberdeen rail corridor enhancements</w:t>
      </w:r>
    </w:p>
    <w:p w14:paraId="3C1A4EAA" w14:textId="77777777" w:rsidR="00796292" w:rsidRPr="00450D5D" w:rsidRDefault="00796292" w:rsidP="002C2965">
      <w:pPr>
        <w:pStyle w:val="ListParagraph"/>
      </w:pPr>
      <w:r w:rsidRPr="00450D5D">
        <w:t>Edinburgh</w:t>
      </w:r>
      <w:r w:rsidR="008E1A69">
        <w:t>/</w:t>
      </w:r>
      <w:r w:rsidRPr="00450D5D">
        <w:t>Glasgow-Perth</w:t>
      </w:r>
      <w:r w:rsidR="00533BBD">
        <w:t>/Dundee</w:t>
      </w:r>
      <w:r w:rsidRPr="00450D5D">
        <w:t xml:space="preserve"> rail corridor enhancements</w:t>
      </w:r>
    </w:p>
    <w:p w14:paraId="5848AD44" w14:textId="77777777" w:rsidR="00796292" w:rsidRPr="00450D5D" w:rsidRDefault="00796292" w:rsidP="002C2965">
      <w:pPr>
        <w:pStyle w:val="ListParagraph"/>
      </w:pPr>
      <w:r w:rsidRPr="00450D5D">
        <w:lastRenderedPageBreak/>
        <w:t>Support</w:t>
      </w:r>
      <w:r w:rsidR="00AA3B5C" w:rsidRPr="00450D5D">
        <w:t>ing integrated journeys at ferry terminals</w:t>
      </w:r>
    </w:p>
    <w:p w14:paraId="772BFDEA" w14:textId="77777777" w:rsidR="00AA3B5C" w:rsidRPr="00450D5D" w:rsidRDefault="00AA3B5C" w:rsidP="002C2965">
      <w:pPr>
        <w:pStyle w:val="ListParagraph"/>
      </w:pPr>
      <w:r w:rsidRPr="00450D5D">
        <w:t xml:space="preserve">Infrastructure to provide access for all at </w:t>
      </w:r>
      <w:r w:rsidR="008E1A69" w:rsidRPr="00450D5D">
        <w:t>rail</w:t>
      </w:r>
      <w:r w:rsidR="008E1A69">
        <w:t>way</w:t>
      </w:r>
      <w:r w:rsidRPr="00450D5D">
        <w:t xml:space="preserve"> stations</w:t>
      </w:r>
    </w:p>
    <w:p w14:paraId="6DB8EFA5" w14:textId="77777777" w:rsidR="00AA3B5C" w:rsidRPr="00450D5D" w:rsidRDefault="004D1735" w:rsidP="002C2965">
      <w:pPr>
        <w:pStyle w:val="ListParagraph"/>
      </w:pPr>
      <w:r w:rsidRPr="00450D5D">
        <w:t xml:space="preserve">Investment in Demand Responsive Transport </w:t>
      </w:r>
      <w:r w:rsidR="003F7A0C" w:rsidRPr="00450D5D">
        <w:t>and Mobility as a Service</w:t>
      </w:r>
    </w:p>
    <w:p w14:paraId="6ACE6DAC" w14:textId="77777777" w:rsidR="008E1A69" w:rsidRPr="00450D5D" w:rsidRDefault="008E1A69" w:rsidP="008E1A69">
      <w:pPr>
        <w:pStyle w:val="ListParagraph"/>
      </w:pPr>
      <w:r w:rsidRPr="00450D5D">
        <w:t>Improved public transport</w:t>
      </w:r>
      <w:r>
        <w:t xml:space="preserve"> passenger</w:t>
      </w:r>
      <w:r w:rsidRPr="00450D5D">
        <w:t xml:space="preserve"> interchange facilities</w:t>
      </w:r>
    </w:p>
    <w:p w14:paraId="0C524C82" w14:textId="77777777" w:rsidR="0018198A" w:rsidRPr="00450D5D" w:rsidRDefault="00023BA7" w:rsidP="002C2965">
      <w:pPr>
        <w:pStyle w:val="ListParagraph"/>
      </w:pPr>
      <w:r w:rsidRPr="00450D5D">
        <w:t>Framework for</w:t>
      </w:r>
      <w:r w:rsidR="00DA03EB">
        <w:t xml:space="preserve"> the</w:t>
      </w:r>
      <w:r w:rsidRPr="00450D5D">
        <w:t xml:space="preserve"> delivery of mobility hubs</w:t>
      </w:r>
    </w:p>
    <w:p w14:paraId="4C4DD5CB" w14:textId="77777777" w:rsidR="00023BA7" w:rsidRPr="00450D5D" w:rsidRDefault="00F34436" w:rsidP="002C2965">
      <w:pPr>
        <w:pStyle w:val="ListParagraph"/>
      </w:pPr>
      <w:r>
        <w:t>Smart,</w:t>
      </w:r>
      <w:r w:rsidR="00023BA7" w:rsidRPr="00450D5D">
        <w:t xml:space="preserve"> integrated public transport ticketing</w:t>
      </w:r>
    </w:p>
    <w:p w14:paraId="610F99EC" w14:textId="77777777" w:rsidR="00023BA7" w:rsidRPr="00450D5D" w:rsidRDefault="00C50439" w:rsidP="00D93256">
      <w:pPr>
        <w:pStyle w:val="STPR2BodyText"/>
        <w:rPr>
          <w:szCs w:val="24"/>
        </w:rPr>
      </w:pPr>
      <w:r w:rsidRPr="00450D5D">
        <w:t>Decarbonising transport</w:t>
      </w:r>
    </w:p>
    <w:p w14:paraId="2E90D006" w14:textId="77777777" w:rsidR="00C50439" w:rsidRPr="00450D5D" w:rsidRDefault="00C50439" w:rsidP="00E66812">
      <w:pPr>
        <w:pStyle w:val="ListParagraph"/>
      </w:pPr>
      <w:r w:rsidRPr="00450D5D">
        <w:t>Ferry vessel renewal and replacement</w:t>
      </w:r>
      <w:r w:rsidR="008E1A69">
        <w:t>,</w:t>
      </w:r>
      <w:r w:rsidRPr="00450D5D">
        <w:t xml:space="preserve"> and progressive decarbonisation</w:t>
      </w:r>
    </w:p>
    <w:p w14:paraId="04892F21" w14:textId="77777777" w:rsidR="00262B27" w:rsidRPr="00450D5D" w:rsidRDefault="00DA03EB" w:rsidP="00E66812">
      <w:pPr>
        <w:pStyle w:val="ListParagraph"/>
      </w:pPr>
      <w:r>
        <w:t>D</w:t>
      </w:r>
      <w:r w:rsidR="00262B27" w:rsidRPr="00450D5D">
        <w:t>ecarbonisation</w:t>
      </w:r>
      <w:r>
        <w:t xml:space="preserve"> of the rail network</w:t>
      </w:r>
    </w:p>
    <w:p w14:paraId="1DE1BA44" w14:textId="77777777" w:rsidR="00262B27" w:rsidRPr="00450D5D" w:rsidRDefault="00262B27" w:rsidP="00E66812">
      <w:pPr>
        <w:pStyle w:val="ListParagraph"/>
      </w:pPr>
      <w:r w:rsidRPr="00450D5D">
        <w:t>Decarbonisation of the bus network</w:t>
      </w:r>
    </w:p>
    <w:p w14:paraId="77B37BCC" w14:textId="77777777" w:rsidR="00262B27" w:rsidRPr="00450D5D" w:rsidRDefault="00543532" w:rsidP="00E66812">
      <w:pPr>
        <w:pStyle w:val="ListParagraph"/>
      </w:pPr>
      <w:r w:rsidRPr="00450D5D">
        <w:t>Behavioural change and modal shift</w:t>
      </w:r>
      <w:r w:rsidR="007C3855">
        <w:t xml:space="preserve"> for freight</w:t>
      </w:r>
    </w:p>
    <w:p w14:paraId="3BA12AAF" w14:textId="77777777" w:rsidR="008E1A69" w:rsidRPr="00450D5D" w:rsidRDefault="008E1A69" w:rsidP="008E1A69">
      <w:pPr>
        <w:pStyle w:val="ListParagraph"/>
      </w:pPr>
      <w:r w:rsidRPr="00450D5D">
        <w:t>Zero emission vehicles and infrastructure transition</w:t>
      </w:r>
    </w:p>
    <w:p w14:paraId="30EF52DE" w14:textId="77777777" w:rsidR="008E1A69" w:rsidRPr="00450D5D" w:rsidRDefault="008E1A69" w:rsidP="00D93256">
      <w:pPr>
        <w:pStyle w:val="STPR2BodyText"/>
      </w:pPr>
      <w:r w:rsidRPr="00450D5D">
        <w:t>Increasing Safety and Re</w:t>
      </w:r>
      <w:r>
        <w:t>silience</w:t>
      </w:r>
      <w:r w:rsidRPr="00450D5D">
        <w:t xml:space="preserve"> on the Strategic Transport Network</w:t>
      </w:r>
    </w:p>
    <w:p w14:paraId="684AD993" w14:textId="77777777" w:rsidR="008E1A69" w:rsidRPr="00450D5D" w:rsidRDefault="008E1A69" w:rsidP="008E1A69">
      <w:pPr>
        <w:pStyle w:val="ListParagraph"/>
        <w:keepNext/>
        <w:keepLines/>
      </w:pPr>
      <w:r w:rsidRPr="00450D5D">
        <w:t>Access to Argyll (A83)</w:t>
      </w:r>
    </w:p>
    <w:p w14:paraId="1A89CED2" w14:textId="77777777" w:rsidR="008E1A69" w:rsidRPr="00450D5D" w:rsidRDefault="008E1A69" w:rsidP="008E1A69">
      <w:pPr>
        <w:pStyle w:val="ListParagraph"/>
      </w:pPr>
      <w:r w:rsidRPr="00450D5D">
        <w:t xml:space="preserve">Trunk road </w:t>
      </w:r>
      <w:r>
        <w:t xml:space="preserve">and motorway </w:t>
      </w:r>
      <w:r w:rsidRPr="00450D5D">
        <w:t>safety improvements to progress towards ‘Vision Zero’</w:t>
      </w:r>
    </w:p>
    <w:p w14:paraId="33D00FC7" w14:textId="6976E142" w:rsidR="008E1A69" w:rsidRPr="00450D5D" w:rsidRDefault="008E1A69" w:rsidP="008E1A69">
      <w:pPr>
        <w:pStyle w:val="ListParagraph"/>
      </w:pPr>
      <w:r w:rsidRPr="00450D5D">
        <w:t xml:space="preserve">Trunk road and motorway </w:t>
      </w:r>
      <w:r>
        <w:t>c</w:t>
      </w:r>
      <w:r w:rsidRPr="00450D5D">
        <w:t>limate change adaptation and resilience</w:t>
      </w:r>
    </w:p>
    <w:p w14:paraId="4FFA15B1" w14:textId="77777777" w:rsidR="008212B6" w:rsidRPr="00450D5D" w:rsidRDefault="008E1A69" w:rsidP="002C2965">
      <w:pPr>
        <w:pStyle w:val="ListParagraph"/>
      </w:pPr>
      <w:r w:rsidRPr="00450D5D">
        <w:t>Trunk road and motorway</w:t>
      </w:r>
      <w:r w:rsidR="008212B6" w:rsidRPr="00450D5D">
        <w:t xml:space="preserve"> renewal for reliability, resilience</w:t>
      </w:r>
      <w:r w:rsidR="00745798" w:rsidRPr="00450D5D">
        <w:t xml:space="preserve"> and safety</w:t>
      </w:r>
    </w:p>
    <w:p w14:paraId="481EFD51" w14:textId="77777777" w:rsidR="00745798" w:rsidRPr="00450D5D" w:rsidRDefault="00A465C2" w:rsidP="00A465C2">
      <w:pPr>
        <w:pStyle w:val="ListParagraph"/>
      </w:pPr>
      <w:r>
        <w:t>F</w:t>
      </w:r>
      <w:r w:rsidR="00745798" w:rsidRPr="00450D5D">
        <w:t>uture</w:t>
      </w:r>
      <w:r w:rsidRPr="00A465C2">
        <w:t xml:space="preserve"> Intelligent Transport Systems</w:t>
      </w:r>
    </w:p>
    <w:p w14:paraId="67E8FA58" w14:textId="77777777" w:rsidR="00745798" w:rsidRPr="00450D5D" w:rsidRDefault="00A465C2" w:rsidP="002C2965">
      <w:pPr>
        <w:pStyle w:val="ListParagraph"/>
      </w:pPr>
      <w:r>
        <w:t>Traffic Scotland System renewal</w:t>
      </w:r>
    </w:p>
    <w:p w14:paraId="6FD8EDB7" w14:textId="77777777" w:rsidR="00745798" w:rsidRPr="00450D5D" w:rsidRDefault="00B0111E" w:rsidP="002C2965">
      <w:pPr>
        <w:pStyle w:val="ListParagraph"/>
      </w:pPr>
      <w:r w:rsidRPr="00450D5D">
        <w:t>Intelligent Transport System</w:t>
      </w:r>
      <w:r w:rsidR="00A465C2" w:rsidRPr="00A465C2">
        <w:t xml:space="preserve"> renewal</w:t>
      </w:r>
      <w:r w:rsidR="00A465C2">
        <w:t xml:space="preserve"> and replacement</w:t>
      </w:r>
    </w:p>
    <w:p w14:paraId="702466F6" w14:textId="77777777" w:rsidR="00B0111E" w:rsidRPr="00450D5D" w:rsidRDefault="00B0111E" w:rsidP="002C2965">
      <w:pPr>
        <w:pStyle w:val="ListParagraph"/>
      </w:pPr>
      <w:r w:rsidRPr="00450D5D">
        <w:t>Strategy for improving rest and welfare facilities for hauliers</w:t>
      </w:r>
    </w:p>
    <w:p w14:paraId="3F8ED158" w14:textId="77777777" w:rsidR="00B0111E" w:rsidRPr="00450D5D" w:rsidRDefault="0050442F" w:rsidP="002C2965">
      <w:pPr>
        <w:pStyle w:val="ListParagraph"/>
      </w:pPr>
      <w:r w:rsidRPr="00450D5D">
        <w:t>Improving active travel on trunk roads through communities</w:t>
      </w:r>
    </w:p>
    <w:p w14:paraId="6501FF0C" w14:textId="77777777" w:rsidR="0050442F" w:rsidRPr="00450D5D" w:rsidRDefault="0050442F" w:rsidP="002C2965">
      <w:pPr>
        <w:pStyle w:val="ListParagraph"/>
      </w:pPr>
      <w:r w:rsidRPr="00450D5D">
        <w:t>Speed management plan</w:t>
      </w:r>
    </w:p>
    <w:p w14:paraId="18A266A6" w14:textId="77777777" w:rsidR="008906BE" w:rsidRPr="00450D5D" w:rsidRDefault="008E1A69" w:rsidP="00D93256">
      <w:pPr>
        <w:pStyle w:val="STPR2BodyText"/>
      </w:pPr>
      <w:r>
        <w:t>Strengthen</w:t>
      </w:r>
      <w:r w:rsidRPr="00450D5D">
        <w:t>ing</w:t>
      </w:r>
      <w:r w:rsidR="008906BE" w:rsidRPr="00450D5D">
        <w:t xml:space="preserve"> strategic connections</w:t>
      </w:r>
    </w:p>
    <w:p w14:paraId="2948A860" w14:textId="77777777" w:rsidR="008906BE" w:rsidRPr="00450D5D" w:rsidRDefault="008906BE" w:rsidP="002C2965">
      <w:pPr>
        <w:pStyle w:val="ListParagraph"/>
      </w:pPr>
      <w:r w:rsidRPr="00450D5D">
        <w:t>Sustainable access to Grangemouth Investment Zone</w:t>
      </w:r>
    </w:p>
    <w:p w14:paraId="63703BF2" w14:textId="77777777" w:rsidR="008906BE" w:rsidRPr="00450D5D" w:rsidRDefault="009E5726" w:rsidP="002C2965">
      <w:pPr>
        <w:pStyle w:val="ListParagraph"/>
      </w:pPr>
      <w:r w:rsidRPr="00450D5D">
        <w:t>Access to Stranraer and the ports at Cairnryan</w:t>
      </w:r>
    </w:p>
    <w:p w14:paraId="63B8A148" w14:textId="77777777" w:rsidR="00C23673" w:rsidRPr="00450D5D" w:rsidRDefault="00C23673" w:rsidP="002C2965">
      <w:pPr>
        <w:pStyle w:val="ListParagraph"/>
      </w:pPr>
      <w:r w:rsidRPr="00450D5D">
        <w:t>Potential Sound of Harris</w:t>
      </w:r>
      <w:r w:rsidR="008E1A69">
        <w:t>,</w:t>
      </w:r>
      <w:r w:rsidRPr="00450D5D">
        <w:t xml:space="preserve"> Sound of Barra fixed link and fixed link between</w:t>
      </w:r>
      <w:r w:rsidR="005D56CE" w:rsidRPr="00450D5D">
        <w:t xml:space="preserve"> Mull and</w:t>
      </w:r>
      <w:r w:rsidR="00A32A57" w:rsidRPr="00450D5D">
        <w:t xml:space="preserve"> Scottish mainland</w:t>
      </w:r>
    </w:p>
    <w:p w14:paraId="3D10365A" w14:textId="77777777" w:rsidR="00B53095" w:rsidRPr="00450D5D" w:rsidRDefault="00B53095" w:rsidP="002C2965">
      <w:pPr>
        <w:pStyle w:val="ListParagraph"/>
      </w:pPr>
      <w:r w:rsidRPr="00450D5D">
        <w:t>Investment in port infrastructure to support vessel renewal and replacement</w:t>
      </w:r>
      <w:r w:rsidR="00ED5704">
        <w:t>,</w:t>
      </w:r>
      <w:r w:rsidRPr="00450D5D">
        <w:t xml:space="preserve"> and </w:t>
      </w:r>
      <w:r w:rsidR="009A010B" w:rsidRPr="00450D5D">
        <w:t>progressive decarbonisation</w:t>
      </w:r>
    </w:p>
    <w:p w14:paraId="3201E374" w14:textId="77777777" w:rsidR="009A010B" w:rsidRPr="00450D5D" w:rsidRDefault="009A010B" w:rsidP="002C2965">
      <w:pPr>
        <w:pStyle w:val="ListParagraph"/>
      </w:pPr>
      <w:r w:rsidRPr="00450D5D">
        <w:t>Major station masterplans</w:t>
      </w:r>
    </w:p>
    <w:p w14:paraId="0D7F9AEE" w14:textId="77777777" w:rsidR="009A010B" w:rsidRPr="00450D5D" w:rsidRDefault="009A010B" w:rsidP="002C2965">
      <w:pPr>
        <w:pStyle w:val="ListParagraph"/>
      </w:pPr>
      <w:r w:rsidRPr="00450D5D">
        <w:t>Rail freight terminals and facilities</w:t>
      </w:r>
    </w:p>
    <w:p w14:paraId="7367625E" w14:textId="77777777" w:rsidR="00A20A11" w:rsidRDefault="00AC0C9E" w:rsidP="002C2965">
      <w:pPr>
        <w:pStyle w:val="ListParagraph"/>
      </w:pPr>
      <w:r w:rsidRPr="00450D5D">
        <w:t>High speed and cross</w:t>
      </w:r>
      <w:r w:rsidR="00FA64F7">
        <w:t>-</w:t>
      </w:r>
      <w:r w:rsidRPr="00450D5D">
        <w:t>border rail enhancements</w:t>
      </w:r>
    </w:p>
    <w:p w14:paraId="6468BC84" w14:textId="77777777" w:rsidR="00A20A11" w:rsidRDefault="00A20A11" w:rsidP="002C0480"/>
    <w:p w14:paraId="57FF4BA0" w14:textId="1A0AC157" w:rsidR="001962AE" w:rsidRPr="00450D5D" w:rsidRDefault="001962AE" w:rsidP="002C2965">
      <w:pPr>
        <w:pStyle w:val="ListParagraph"/>
        <w:sectPr w:rsidR="001962AE" w:rsidRPr="00450D5D" w:rsidSect="00AD1BAC">
          <w:pgSz w:w="11906" w:h="16838" w:code="9"/>
          <w:pgMar w:top="1701" w:right="1134" w:bottom="1134" w:left="1134" w:header="454" w:footer="567" w:gutter="0"/>
          <w:cols w:space="720"/>
          <w:noEndnote/>
          <w:docGrid w:linePitch="299"/>
        </w:sectPr>
      </w:pPr>
    </w:p>
    <w:p w14:paraId="2D32E9AE" w14:textId="36260B7D" w:rsidR="000C6958" w:rsidRDefault="000C6958" w:rsidP="003C3E51">
      <w:pPr>
        <w:pStyle w:val="Heading1"/>
      </w:pPr>
      <w:bookmarkStart w:id="487" w:name="_Toc81993584"/>
      <w:bookmarkStart w:id="488" w:name="_Ref90564450"/>
      <w:bookmarkStart w:id="489" w:name="_Ref90564613"/>
      <w:bookmarkStart w:id="490" w:name="_Ref90564736"/>
      <w:bookmarkStart w:id="491" w:name="_Ref90565469"/>
      <w:bookmarkStart w:id="492" w:name="_Toc121339096"/>
      <w:r>
        <w:lastRenderedPageBreak/>
        <w:t>Policy Context</w:t>
      </w:r>
      <w:bookmarkEnd w:id="487"/>
      <w:bookmarkEnd w:id="488"/>
      <w:bookmarkEnd w:id="489"/>
      <w:bookmarkEnd w:id="490"/>
      <w:bookmarkEnd w:id="491"/>
      <w:bookmarkEnd w:id="492"/>
    </w:p>
    <w:p w14:paraId="153B7F8C" w14:textId="01519CE8" w:rsidR="000C6958" w:rsidRPr="00C25D73" w:rsidRDefault="008D3521" w:rsidP="003C3E51">
      <w:pPr>
        <w:pStyle w:val="Heading2"/>
      </w:pPr>
      <w:bookmarkStart w:id="493" w:name="_Toc121339097"/>
      <w:r w:rsidRPr="003C3E51">
        <w:t>Overview</w:t>
      </w:r>
      <w:bookmarkEnd w:id="493"/>
    </w:p>
    <w:p w14:paraId="0699C4E0" w14:textId="7F38EF02" w:rsidR="00990C7F" w:rsidRPr="00E645D5" w:rsidRDefault="00990C7F" w:rsidP="00D93256">
      <w:pPr>
        <w:pStyle w:val="STPR2BodyText"/>
      </w:pPr>
      <w:bookmarkStart w:id="494" w:name="_Toc81993592"/>
      <w:r w:rsidRPr="008145D4">
        <w:t xml:space="preserve">A number of </w:t>
      </w:r>
      <w:r w:rsidR="001E68D0">
        <w:t>G</w:t>
      </w:r>
      <w:r w:rsidRPr="008145D4">
        <w:t xml:space="preserve">overnment policies, strategies and commitments set the overall context for </w:t>
      </w:r>
      <w:r w:rsidR="003D7135" w:rsidRPr="003D7135">
        <w:t xml:space="preserve">the </w:t>
      </w:r>
      <w:r w:rsidRPr="008145D4">
        <w:t xml:space="preserve">STPR2. It is therefore important to highlight the key issues of direct relevance to this review and outline how these </w:t>
      </w:r>
      <w:r>
        <w:t>have</w:t>
      </w:r>
      <w:r w:rsidRPr="008145D4">
        <w:t xml:space="preserve"> influence</w:t>
      </w:r>
      <w:r>
        <w:t>d</w:t>
      </w:r>
      <w:r w:rsidRPr="008145D4">
        <w:t xml:space="preserve"> and shape</w:t>
      </w:r>
      <w:r>
        <w:t>d</w:t>
      </w:r>
      <w:r w:rsidRPr="008145D4">
        <w:t xml:space="preserve"> </w:t>
      </w:r>
      <w:r w:rsidR="003D7135" w:rsidRPr="003D7135">
        <w:t xml:space="preserve">the </w:t>
      </w:r>
      <w:r>
        <w:t>STPR2</w:t>
      </w:r>
      <w:r w:rsidRPr="008145D4">
        <w:t xml:space="preserve">. </w:t>
      </w:r>
      <w:r>
        <w:t>This includes, but is not limited to,</w:t>
      </w:r>
      <w:r w:rsidRPr="008145D4">
        <w:t xml:space="preserve"> </w:t>
      </w:r>
      <w:r w:rsidR="00547695" w:rsidRPr="00547695">
        <w:t xml:space="preserve">the </w:t>
      </w:r>
      <w:r>
        <w:t xml:space="preserve">NTS2 </w:t>
      </w:r>
      <w:r w:rsidRPr="008145D4">
        <w:t xml:space="preserve">and </w:t>
      </w:r>
      <w:r w:rsidR="00A322BF">
        <w:t xml:space="preserve">its </w:t>
      </w:r>
      <w:r>
        <w:t xml:space="preserve">associated </w:t>
      </w:r>
      <w:r w:rsidRPr="008145D4">
        <w:t>Delivery Plan</w:t>
      </w:r>
      <w:r w:rsidR="00287CEA">
        <w:t>s</w:t>
      </w:r>
      <w:r w:rsidRPr="008145D4">
        <w:t>;</w:t>
      </w:r>
      <w:r>
        <w:t xml:space="preserve"> </w:t>
      </w:r>
      <w:r w:rsidRPr="008145D4">
        <w:t>Climate Change Plan Update;</w:t>
      </w:r>
      <w:r>
        <w:t xml:space="preserve"> </w:t>
      </w:r>
      <w:r w:rsidRPr="00C56CEA">
        <w:t xml:space="preserve">the second Cleaner Air </w:t>
      </w:r>
      <w:r w:rsidR="00451A96">
        <w:t>f</w:t>
      </w:r>
      <w:r w:rsidRPr="00C56CEA">
        <w:t>or Scotland strategy</w:t>
      </w:r>
      <w:r>
        <w:t xml:space="preserve">; </w:t>
      </w:r>
      <w:r w:rsidR="00CE62C5">
        <w:t>the NSET</w:t>
      </w:r>
      <w:r w:rsidR="0066611A">
        <w:t xml:space="preserve">; </w:t>
      </w:r>
      <w:r w:rsidR="00A95AF1">
        <w:t>the Revised Draft</w:t>
      </w:r>
      <w:r>
        <w:t xml:space="preserve"> NPF4</w:t>
      </w:r>
      <w:r w:rsidR="00AD62C2">
        <w:t>; and The Bute House Agreement</w:t>
      </w:r>
      <w:r>
        <w:t>. This Chapter provides an overview of these policies</w:t>
      </w:r>
      <w:r w:rsidR="004D1CEB">
        <w:t xml:space="preserve"> and strategies</w:t>
      </w:r>
      <w:r>
        <w:t>. Consideration is also given to existing funding commitments.</w:t>
      </w:r>
    </w:p>
    <w:p w14:paraId="54227C99" w14:textId="02AF36A2" w:rsidR="00990C7F" w:rsidRDefault="00990C7F" w:rsidP="003C3E51">
      <w:pPr>
        <w:pStyle w:val="Heading2"/>
      </w:pPr>
      <w:bookmarkStart w:id="495" w:name="_Toc88654121"/>
      <w:bookmarkStart w:id="496" w:name="_Toc121339098"/>
      <w:r w:rsidRPr="00721769">
        <w:t>NTS2 and Delivery Plan</w:t>
      </w:r>
      <w:bookmarkEnd w:id="495"/>
      <w:r w:rsidR="00C716D4">
        <w:t>s</w:t>
      </w:r>
      <w:bookmarkEnd w:id="496"/>
    </w:p>
    <w:p w14:paraId="4A12CE67" w14:textId="7A48E6AD" w:rsidR="00990C7F" w:rsidRDefault="007528DB" w:rsidP="003C3E51">
      <w:pPr>
        <w:pStyle w:val="Heading3"/>
      </w:pPr>
      <w:bookmarkStart w:id="497" w:name="_Toc121339099"/>
      <w:r>
        <w:t>NTS2 Overview</w:t>
      </w:r>
      <w:bookmarkEnd w:id="497"/>
    </w:p>
    <w:p w14:paraId="5970979A" w14:textId="55A8F5F1" w:rsidR="00B72FE0" w:rsidRDefault="00742C89" w:rsidP="00D93256">
      <w:pPr>
        <w:pStyle w:val="STPR2BodyText"/>
      </w:pPr>
      <w:r>
        <w:t xml:space="preserve">The </w:t>
      </w:r>
      <w:r w:rsidR="00990C7F">
        <w:t>NTS2</w:t>
      </w:r>
      <w:r w:rsidR="00990C7F" w:rsidRPr="007C7BAE">
        <w:t xml:space="preserve"> provides the national transport policy framework, setting out a clear vision of a sustainable, inclusive, safe and accessible transport system which helps deliver a healthier, fairer and more prosperous Scotland for communities, businesses and visitors. It sets out key priorities to support that vision: </w:t>
      </w:r>
    </w:p>
    <w:p w14:paraId="67BEE950" w14:textId="34EF24EC" w:rsidR="007528DB" w:rsidRPr="007528DB" w:rsidRDefault="007528DB" w:rsidP="00D93256">
      <w:pPr>
        <w:pStyle w:val="STPR2BulletsLevel1"/>
      </w:pPr>
      <w:r w:rsidRPr="007528DB">
        <w:t>Reduces inequalities</w:t>
      </w:r>
      <w:r w:rsidR="00F43FA4">
        <w:t>;</w:t>
      </w:r>
    </w:p>
    <w:p w14:paraId="220985B8" w14:textId="5568517E" w:rsidR="007528DB" w:rsidRPr="007528DB" w:rsidRDefault="007528DB" w:rsidP="00D93256">
      <w:pPr>
        <w:pStyle w:val="STPR2BulletsLevel1"/>
      </w:pPr>
      <w:r w:rsidRPr="007528DB">
        <w:t>Takes climate action</w:t>
      </w:r>
      <w:r w:rsidR="00F43FA4">
        <w:t>;</w:t>
      </w:r>
    </w:p>
    <w:p w14:paraId="625BADA5" w14:textId="1E0B2DDC" w:rsidR="007528DB" w:rsidRPr="007528DB" w:rsidRDefault="007528DB" w:rsidP="00D93256">
      <w:pPr>
        <w:pStyle w:val="STPR2BulletsLevel1"/>
      </w:pPr>
      <w:r w:rsidRPr="007528DB">
        <w:t>Helps deliver inclusive economic growth</w:t>
      </w:r>
      <w:r w:rsidR="00F43FA4">
        <w:t>;</w:t>
      </w:r>
    </w:p>
    <w:p w14:paraId="72218FEB" w14:textId="77777777" w:rsidR="007528DB" w:rsidRPr="007528DB" w:rsidRDefault="007528DB" w:rsidP="00D93256">
      <w:pPr>
        <w:pStyle w:val="STPR2BulletsLevel1"/>
      </w:pPr>
      <w:r w:rsidRPr="007528DB">
        <w:t>Improves our health and wellbeing</w:t>
      </w:r>
    </w:p>
    <w:p w14:paraId="3105C2F2" w14:textId="1F24D885" w:rsidR="004C6E6E" w:rsidRDefault="00742C89" w:rsidP="00D93256">
      <w:pPr>
        <w:pStyle w:val="STPR2BodyText"/>
      </w:pPr>
      <w:r>
        <w:t xml:space="preserve">The </w:t>
      </w:r>
      <w:r w:rsidR="00990C7F">
        <w:t>NTS2</w:t>
      </w:r>
      <w:r w:rsidR="00990C7F" w:rsidRPr="002309EB">
        <w:t xml:space="preserve"> is set within the context of a </w:t>
      </w:r>
      <w:r w:rsidR="004D15B6">
        <w:t>c</w:t>
      </w:r>
      <w:r w:rsidR="00990C7F" w:rsidRPr="002309EB">
        <w:t xml:space="preserve">limate </w:t>
      </w:r>
      <w:r w:rsidR="004D15B6">
        <w:t>e</w:t>
      </w:r>
      <w:r w:rsidR="00990C7F" w:rsidRPr="002309EB">
        <w:t>mergency, with the Scottish Government committed to transitioning our transport system to one that is net</w:t>
      </w:r>
      <w:r w:rsidR="00990C7F">
        <w:t xml:space="preserve"> </w:t>
      </w:r>
      <w:r w:rsidR="00990C7F" w:rsidRPr="002309EB">
        <w:t xml:space="preserve">zero in carbon emissions by 2045. Set against a backdrop of increasing amounts of travel in Scotland over recent years, particularly vehicular travel, </w:t>
      </w:r>
      <w:r w:rsidR="00AE17D4" w:rsidRPr="00AE17D4">
        <w:t xml:space="preserve">the </w:t>
      </w:r>
      <w:r w:rsidR="00990C7F">
        <w:t>NTS2</w:t>
      </w:r>
      <w:r w:rsidR="00990C7F" w:rsidRPr="002309EB">
        <w:t xml:space="preserve"> clearly </w:t>
      </w:r>
      <w:r w:rsidR="00990C7F">
        <w:t>articulat</w:t>
      </w:r>
      <w:r w:rsidR="00990C7F" w:rsidRPr="002309EB">
        <w:t xml:space="preserve">es the need for change in transport provision in Scotland. </w:t>
      </w:r>
      <w:r>
        <w:t xml:space="preserve">The </w:t>
      </w:r>
      <w:r w:rsidR="00990C7F" w:rsidRPr="002309EB">
        <w:t>S</w:t>
      </w:r>
      <w:r w:rsidR="00990C7F" w:rsidRPr="00C17012">
        <w:t>TPR2 has a key part to play in supporting the delivery of the priorities and outcomes by outlining a range of targeted measures to achieve fundamental change in overall travel demand, a shift to more sustainable modes such as walking,</w:t>
      </w:r>
      <w:r w:rsidR="00E058D5">
        <w:t xml:space="preserve"> wheeling,</w:t>
      </w:r>
      <w:r w:rsidR="00990C7F" w:rsidRPr="00C17012">
        <w:t xml:space="preserve"> cycling and public transport, and in transitioning to a net zero economy.</w:t>
      </w:r>
    </w:p>
    <w:p w14:paraId="045FC6EA" w14:textId="78B6C7D5" w:rsidR="00222925" w:rsidRDefault="00990C7F" w:rsidP="00D93256">
      <w:pPr>
        <w:pStyle w:val="STPR2BodyText"/>
      </w:pPr>
      <w:r w:rsidRPr="00554CF0">
        <w:t xml:space="preserve">The development of </w:t>
      </w:r>
      <w:r w:rsidR="00AE17D4" w:rsidRPr="00AE17D4">
        <w:t xml:space="preserve">the </w:t>
      </w:r>
      <w:r>
        <w:t>NTS2</w:t>
      </w:r>
      <w:r w:rsidRPr="00554CF0">
        <w:t xml:space="preserve"> has involved a comprehensive review of the key transport challenges facing Scotland and has included extensive engagement with a network of partners and</w:t>
      </w:r>
      <w:r>
        <w:t xml:space="preserve"> authorities </w:t>
      </w:r>
      <w:r w:rsidRPr="00554CF0">
        <w:t xml:space="preserve">across the country comprising individuals, businesses and third sector organisations, to gather the views of a wide range of users of the transport system. Through this process, it has been identified that Scotland’s transport system continues to face a number of challenges: many people encounter problems when trying to access the services they need; vehicles continue to emit greenhouse gases and pollute the places residents live and work; businesses still face congestion and delays when reaching their customers; and people still face barriers when wanting to </w:t>
      </w:r>
      <w:r w:rsidR="00C82F2A">
        <w:t xml:space="preserve">walk, wheel or </w:t>
      </w:r>
      <w:r w:rsidRPr="00554CF0">
        <w:t>cycle to their destination.</w:t>
      </w:r>
      <w:r>
        <w:t xml:space="preserve"> </w:t>
      </w:r>
    </w:p>
    <w:p w14:paraId="67236184" w14:textId="77777777" w:rsidR="00990C7F" w:rsidRPr="003C3E51" w:rsidRDefault="00990C7F" w:rsidP="00115E65">
      <w:pPr>
        <w:pStyle w:val="Heading3"/>
      </w:pPr>
      <w:bookmarkStart w:id="498" w:name="_Toc88654124"/>
      <w:bookmarkStart w:id="499" w:name="_Toc121339100"/>
      <w:r w:rsidRPr="003C3E51">
        <w:t>Embedding NTS2</w:t>
      </w:r>
      <w:bookmarkEnd w:id="498"/>
      <w:bookmarkEnd w:id="499"/>
    </w:p>
    <w:p w14:paraId="5360F652" w14:textId="0813B973" w:rsidR="00990C7F" w:rsidRDefault="00990C7F" w:rsidP="00D93256">
      <w:pPr>
        <w:pStyle w:val="STPR2BodyText"/>
      </w:pPr>
      <w:r>
        <w:t>I</w:t>
      </w:r>
      <w:r w:rsidRPr="00FB580D">
        <w:t>mportant context is provided by the</w:t>
      </w:r>
      <w:r w:rsidRPr="006E40A0">
        <w:t xml:space="preserve"> </w:t>
      </w:r>
      <w:r>
        <w:t>S</w:t>
      </w:r>
      <w:r w:rsidRPr="00FB580D">
        <w:t xml:space="preserve">ustainable </w:t>
      </w:r>
      <w:r>
        <w:t>T</w:t>
      </w:r>
      <w:r w:rsidRPr="00FB580D">
        <w:t xml:space="preserve">ravel </w:t>
      </w:r>
      <w:r>
        <w:t>H</w:t>
      </w:r>
      <w:r w:rsidRPr="00FB580D">
        <w:t xml:space="preserve">ierarchy and </w:t>
      </w:r>
      <w:r>
        <w:t>S</w:t>
      </w:r>
      <w:r w:rsidRPr="00FB580D">
        <w:t xml:space="preserve">ustainable </w:t>
      </w:r>
      <w:r>
        <w:t>I</w:t>
      </w:r>
      <w:r w:rsidRPr="00FB580D">
        <w:t xml:space="preserve">nvestment </w:t>
      </w:r>
      <w:r>
        <w:t>H</w:t>
      </w:r>
      <w:r w:rsidRPr="00FB580D">
        <w:t xml:space="preserve">ierarchy </w:t>
      </w:r>
      <w:r>
        <w:t xml:space="preserve">set out in </w:t>
      </w:r>
      <w:r w:rsidR="00742C89">
        <w:t xml:space="preserve">the </w:t>
      </w:r>
      <w:r w:rsidRPr="009909C2">
        <w:t>NTS2 (</w:t>
      </w:r>
      <w:r w:rsidRPr="00B7331D">
        <w:t>see</w:t>
      </w:r>
      <w:r>
        <w:t xml:space="preserve"> </w:t>
      </w:r>
      <w:r w:rsidR="008B527D">
        <w:fldChar w:fldCharType="begin"/>
      </w:r>
      <w:r w:rsidR="008B527D">
        <w:instrText xml:space="preserve"> REF _Ref92969652 \h </w:instrText>
      </w:r>
      <w:r w:rsidR="008B527D">
        <w:fldChar w:fldCharType="separate"/>
      </w:r>
      <w:r w:rsidR="00C22A9E" w:rsidRPr="00FE0769">
        <w:t xml:space="preserve">Figure </w:t>
      </w:r>
      <w:r w:rsidR="00C22A9E">
        <w:rPr>
          <w:noProof/>
        </w:rPr>
        <w:t>3</w:t>
      </w:r>
      <w:r w:rsidR="008B527D">
        <w:fldChar w:fldCharType="end"/>
      </w:r>
      <w:r w:rsidRPr="002F4367">
        <w:t xml:space="preserve">) to </w:t>
      </w:r>
      <w:r w:rsidRPr="00FF3075">
        <w:t xml:space="preserve">manage </w:t>
      </w:r>
      <w:r w:rsidRPr="009909C2">
        <w:t>the demand for transport and support the creation of successful places in the future.</w:t>
      </w:r>
      <w:bookmarkStart w:id="500" w:name="_Ref15548851"/>
    </w:p>
    <w:p w14:paraId="5C1DD298" w14:textId="2264AE8D" w:rsidR="00FE0769" w:rsidRDefault="000E67CC" w:rsidP="00D93256">
      <w:pPr>
        <w:pStyle w:val="STPR2BodyText"/>
      </w:pPr>
      <w:r>
        <w:rPr>
          <w:noProof/>
        </w:rPr>
        <w:lastRenderedPageBreak/>
        <w:drawing>
          <wp:inline distT="0" distB="0" distL="0" distR="0" wp14:anchorId="7DF1ACFC" wp14:editId="21E651C1">
            <wp:extent cx="6126480" cy="1522911"/>
            <wp:effectExtent l="0" t="0" r="7620" b="1270"/>
            <wp:docPr id="4" name="Picture 4" descr="The sustainable travel hierarchy graphic shows that priority is given to walking and wheeling, followed by cycling, followed by public transport, followed by taxis and shared transport, followed by private car. &#10;The sustainable investment hierarchy graphic shows that priority is given to investment that reduces the need to travel unsustainably, followed by investment in maintaining and safely operating existing assets, followed by investment to make better use of use of existing capacity, followed by investment in targeted infrastructure improv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ustainable travel hierarchy graphic shows that priority is given to walking and wheeling, followed by cycling, followed by public transport, followed by taxis and shared transport, followed by private car. &#10;The sustainable investment hierarchy graphic shows that priority is given to investment that reduces the need to travel unsustainably, followed by investment in maintaining and safely operating existing assets, followed by investment to make better use of use of existing capacity, followed by investment in targeted infrastructure improvements.&#10;"/>
                    <pic:cNvPicPr/>
                  </pic:nvPicPr>
                  <pic:blipFill>
                    <a:blip r:embed="rId21"/>
                    <a:stretch>
                      <a:fillRect/>
                    </a:stretch>
                  </pic:blipFill>
                  <pic:spPr>
                    <a:xfrm>
                      <a:off x="0" y="0"/>
                      <a:ext cx="6126480" cy="1522911"/>
                    </a:xfrm>
                    <a:prstGeom prst="rect">
                      <a:avLst/>
                    </a:prstGeom>
                  </pic:spPr>
                </pic:pic>
              </a:graphicData>
            </a:graphic>
          </wp:inline>
        </w:drawing>
      </w:r>
    </w:p>
    <w:p w14:paraId="632E5C37" w14:textId="13BA7F88" w:rsidR="003871E5" w:rsidRDefault="00FE0769" w:rsidP="00D93256">
      <w:pPr>
        <w:pStyle w:val="STPR2CaptionFigures"/>
      </w:pPr>
      <w:bookmarkStart w:id="501" w:name="_Ref90019292"/>
      <w:bookmarkStart w:id="502" w:name="_Ref92969652"/>
      <w:bookmarkStart w:id="503" w:name="_Toc90031474"/>
      <w:bookmarkStart w:id="504" w:name="_Toc121231967"/>
      <w:r w:rsidRPr="00FE0769">
        <w:t xml:space="preserve">Figure </w:t>
      </w:r>
      <w:bookmarkEnd w:id="501"/>
      <w:r w:rsidR="000E2FE0">
        <w:fldChar w:fldCharType="begin"/>
      </w:r>
      <w:r w:rsidR="000E2FE0">
        <w:instrText xml:space="preserve"> SEQ Figure \* ARABIC </w:instrText>
      </w:r>
      <w:r w:rsidR="000E2FE0">
        <w:fldChar w:fldCharType="separate"/>
      </w:r>
      <w:r w:rsidR="00C22A9E">
        <w:rPr>
          <w:noProof/>
        </w:rPr>
        <w:t>3</w:t>
      </w:r>
      <w:r w:rsidR="000E2FE0">
        <w:rPr>
          <w:noProof/>
        </w:rPr>
        <w:fldChar w:fldCharType="end"/>
      </w:r>
      <w:bookmarkEnd w:id="502"/>
      <w:r w:rsidRPr="00FE0769">
        <w:t>: Sustainable Travel Hierarchy and Sustainable Investment Hierarchy</w:t>
      </w:r>
      <w:bookmarkEnd w:id="503"/>
      <w:bookmarkEnd w:id="504"/>
    </w:p>
    <w:bookmarkEnd w:id="500"/>
    <w:p w14:paraId="560B8D3C" w14:textId="6A641C75" w:rsidR="00990C7F" w:rsidRDefault="000175B5" w:rsidP="00D93256">
      <w:pPr>
        <w:pStyle w:val="STPR2BodyText"/>
      </w:pPr>
      <w:r>
        <w:t xml:space="preserve">The </w:t>
      </w:r>
      <w:r w:rsidR="00990C7F" w:rsidRPr="00BF749A">
        <w:t>NTS2 states that the Sustainable Transport Hierarchy should be embedded in decision</w:t>
      </w:r>
      <w:r w:rsidR="00FD078A">
        <w:t>-</w:t>
      </w:r>
      <w:r w:rsidR="00990C7F" w:rsidRPr="00BF749A">
        <w:t>making</w:t>
      </w:r>
      <w:r w:rsidR="00990C7F">
        <w:t>;</w:t>
      </w:r>
      <w:r w:rsidR="00990C7F" w:rsidRPr="00BF749A">
        <w:t xml:space="preserve"> promoting walking, wheeling, cycling, public transport and shared transport options in preference to single occupancy private car use. At a national level the Sustainable Investment Hierarchy should be used to inform budgetary decisions, considering: </w:t>
      </w:r>
      <w:r w:rsidR="00990C7F">
        <w:t>i</w:t>
      </w:r>
      <w:r w:rsidR="00990C7F" w:rsidRPr="00BF749A">
        <w:t xml:space="preserve">nvestment aimed at reducing the need to travel unsustainably; investment aimed at maintaining and safely operating existing assets taking due consideration of the need to adapt to the impacts of climate change; </w:t>
      </w:r>
      <w:r w:rsidR="00990C7F">
        <w:t>i</w:t>
      </w:r>
      <w:r w:rsidR="00990C7F" w:rsidRPr="00BF749A">
        <w:t>nvestment promoting a range of measures, including innovative solutions, to make better use of existing capacity, ensuring that existing transport networks and systems are fully optimised (these may include technology</w:t>
      </w:r>
      <w:r w:rsidR="00990C7F">
        <w:t>-</w:t>
      </w:r>
      <w:r w:rsidR="00990C7F" w:rsidRPr="00BF749A">
        <w:t xml:space="preserve">based, regulatory, fiscal or value engineering solutions to asset renewals); and </w:t>
      </w:r>
      <w:r w:rsidR="00990C7F">
        <w:t>i</w:t>
      </w:r>
      <w:r w:rsidR="00990C7F" w:rsidRPr="00BF749A">
        <w:t xml:space="preserve">nvestment involving targeted infrastructure improvements. In other words, there is an expectation that </w:t>
      </w:r>
      <w:r w:rsidR="00742C89">
        <w:t xml:space="preserve">the </w:t>
      </w:r>
      <w:r w:rsidR="00990C7F" w:rsidRPr="00BF749A">
        <w:t>STPR2 should not bring forward recommendations for infrastructure improvements without first considering the requirement for, and effectiveness of, interventions in the first three categories.</w:t>
      </w:r>
    </w:p>
    <w:p w14:paraId="1B0D38E5" w14:textId="6C0F2CFF" w:rsidR="007022A0" w:rsidRDefault="00990C7F" w:rsidP="00D93256">
      <w:pPr>
        <w:pStyle w:val="STPR2BodyText"/>
      </w:pPr>
      <w:r w:rsidRPr="004C1288">
        <w:t>At the Option Generation and Sifting stage</w:t>
      </w:r>
      <w:r>
        <w:t xml:space="preserve"> of </w:t>
      </w:r>
      <w:r w:rsidR="00742C89" w:rsidRPr="00742C89">
        <w:t xml:space="preserve">the </w:t>
      </w:r>
      <w:r>
        <w:t xml:space="preserve">STPR2 (discussed further in </w:t>
      </w:r>
      <w:r w:rsidRPr="008F39F5">
        <w:rPr>
          <w:b/>
          <w:bCs/>
        </w:rPr>
        <w:t xml:space="preserve">Chapter </w:t>
      </w:r>
      <w:r w:rsidR="000A59E8">
        <w:rPr>
          <w:b/>
          <w:bCs/>
        </w:rPr>
        <w:t>7</w:t>
      </w:r>
      <w:r w:rsidR="00F6432B">
        <w:rPr>
          <w:b/>
          <w:bCs/>
        </w:rPr>
        <w:t xml:space="preserve">: </w:t>
      </w:r>
      <w:r w:rsidR="000A59E8" w:rsidRPr="00CB2E12">
        <w:rPr>
          <w:b/>
          <w:bCs/>
        </w:rPr>
        <w:fldChar w:fldCharType="begin"/>
      </w:r>
      <w:r w:rsidR="000A59E8" w:rsidRPr="00CB2E12">
        <w:rPr>
          <w:b/>
          <w:bCs/>
        </w:rPr>
        <w:instrText xml:space="preserve"> REF _Ref90642790 \h </w:instrText>
      </w:r>
      <w:r w:rsidR="00CB2E12" w:rsidRPr="00CB2E12">
        <w:rPr>
          <w:b/>
          <w:bCs/>
        </w:rPr>
        <w:instrText xml:space="preserve"> \* MERGEFORMAT </w:instrText>
      </w:r>
      <w:r w:rsidR="000A59E8" w:rsidRPr="00CB2E12">
        <w:rPr>
          <w:b/>
          <w:bCs/>
        </w:rPr>
      </w:r>
      <w:r w:rsidR="000A59E8" w:rsidRPr="00CB2E12">
        <w:rPr>
          <w:b/>
          <w:bCs/>
        </w:rPr>
        <w:fldChar w:fldCharType="separate"/>
      </w:r>
      <w:r w:rsidR="00C22A9E" w:rsidRPr="00C22A9E">
        <w:rPr>
          <w:b/>
          <w:bCs/>
        </w:rPr>
        <w:t>The Approach to the</w:t>
      </w:r>
      <w:r w:rsidR="00C22A9E">
        <w:t xml:space="preserve"> </w:t>
      </w:r>
      <w:r w:rsidR="00C22A9E" w:rsidRPr="00C22A9E">
        <w:rPr>
          <w:b/>
          <w:bCs/>
        </w:rPr>
        <w:t>Assessment</w:t>
      </w:r>
      <w:r w:rsidR="000A59E8" w:rsidRPr="00CB2E12">
        <w:rPr>
          <w:b/>
          <w:bCs/>
        </w:rPr>
        <w:fldChar w:fldCharType="end"/>
      </w:r>
      <w:r w:rsidRPr="00CB2E12">
        <w:rPr>
          <w:b/>
          <w:bCs/>
        </w:rPr>
        <w:t>),</w:t>
      </w:r>
      <w:r w:rsidRPr="004C1288">
        <w:t xml:space="preserve"> the Sustainable Travel Hierarch</w:t>
      </w:r>
      <w:r>
        <w:t>y</w:t>
      </w:r>
      <w:r w:rsidRPr="004C1288">
        <w:t xml:space="preserve"> ha</w:t>
      </w:r>
      <w:r>
        <w:t>s</w:t>
      </w:r>
      <w:r w:rsidRPr="004C1288">
        <w:t xml:space="preserve"> been applied to</w:t>
      </w:r>
      <w:r w:rsidR="00ED066C">
        <w:t> </w:t>
      </w:r>
      <w:r w:rsidRPr="004C1288">
        <w:t>promote interventions that prioritise walking, wheeling, cycling and public transport-based modes ahead of private car trips</w:t>
      </w:r>
      <w:r>
        <w:t xml:space="preserve">. In addition, each option considered within </w:t>
      </w:r>
      <w:r w:rsidR="00742C89" w:rsidRPr="00742C89">
        <w:t xml:space="preserve">the </w:t>
      </w:r>
      <w:r>
        <w:t xml:space="preserve">STPR2 has been assessed in terms of its position within the Sustainable Investment Hierarchy, in order to ensure that budgetary decisions are informed with sustainability in mind, in line with the approach promoted in </w:t>
      </w:r>
      <w:r w:rsidR="00AC41AF">
        <w:t xml:space="preserve">the </w:t>
      </w:r>
      <w:r>
        <w:t>NTS2</w:t>
      </w:r>
      <w:r w:rsidR="00E97928">
        <w:t xml:space="preserve">: for example </w:t>
      </w:r>
      <w:r w:rsidR="00E97928" w:rsidRPr="004C1288">
        <w:t>interventions that reduce the need to travel unsustainably are prioritised over targeted infrastructure measures</w:t>
      </w:r>
      <w:r>
        <w:t>. Consideration has been given to whether each option being assessed is either</w:t>
      </w:r>
      <w:r w:rsidR="007022A0">
        <w:t>;</w:t>
      </w:r>
    </w:p>
    <w:p w14:paraId="2CE0E815" w14:textId="619E5287" w:rsidR="003C15A4" w:rsidRDefault="005D2BB9" w:rsidP="00D93256">
      <w:pPr>
        <w:pStyle w:val="STPR2BulletsLevel1"/>
      </w:pPr>
      <w:r>
        <w:t>T</w:t>
      </w:r>
      <w:r w:rsidR="00990C7F">
        <w:t>he only option available to address the identified problems and/or opportunities</w:t>
      </w:r>
      <w:r w:rsidR="003C15A4">
        <w:t>;</w:t>
      </w:r>
      <w:r w:rsidR="00990C7F">
        <w:t xml:space="preserve"> or is </w:t>
      </w:r>
    </w:p>
    <w:p w14:paraId="1436094C" w14:textId="17FFF360" w:rsidR="00990C7F" w:rsidRDefault="005D2BB9" w:rsidP="00D93256">
      <w:pPr>
        <w:pStyle w:val="STPR2BulletsLevel1"/>
      </w:pPr>
      <w:r>
        <w:t>T</w:t>
      </w:r>
      <w:r w:rsidR="00990C7F">
        <w:t>he option that best aligns with the Sustainable Investment Hierarchy.</w:t>
      </w:r>
    </w:p>
    <w:p w14:paraId="780F5B8F" w14:textId="541598B6" w:rsidR="00990C7F" w:rsidRPr="003C3E51" w:rsidRDefault="00990C7F" w:rsidP="003C3E51">
      <w:pPr>
        <w:pStyle w:val="Heading3"/>
      </w:pPr>
      <w:bookmarkStart w:id="505" w:name="_Toc88654125"/>
      <w:bookmarkStart w:id="506" w:name="_Toc121339101"/>
      <w:r w:rsidRPr="003C3E51">
        <w:t>NTS2 Delivery Plan</w:t>
      </w:r>
      <w:bookmarkEnd w:id="505"/>
      <w:r w:rsidR="00F13AE6">
        <w:t>s</w:t>
      </w:r>
      <w:bookmarkEnd w:id="506"/>
    </w:p>
    <w:p w14:paraId="5232DF33" w14:textId="4E5F40D5" w:rsidR="00395E47" w:rsidRDefault="00990C7F" w:rsidP="00D93256">
      <w:pPr>
        <w:pStyle w:val="STPR2BodyText"/>
      </w:pPr>
      <w:r>
        <w:t xml:space="preserve">The </w:t>
      </w:r>
      <w:r w:rsidRPr="00C72910">
        <w:t>first NTS2 Delivery Plan</w:t>
      </w:r>
      <w:r w:rsidR="00036AD7">
        <w:t xml:space="preserve"> (</w:t>
      </w:r>
      <w:r w:rsidR="00036AD7" w:rsidRPr="00DA1E91">
        <w:t>Transport Scotland</w:t>
      </w:r>
      <w:r w:rsidR="00036AD7">
        <w:t>, 2020</w:t>
      </w:r>
      <w:r w:rsidR="00FA6B86">
        <w:t>a</w:t>
      </w:r>
      <w:r w:rsidR="00036AD7">
        <w:t>)</w:t>
      </w:r>
      <w:r>
        <w:t xml:space="preserve"> </w:t>
      </w:r>
      <w:r w:rsidR="00EF309E">
        <w:t>was published in December 2020</w:t>
      </w:r>
      <w:r w:rsidR="00517EBA">
        <w:t xml:space="preserve"> and covers the period to March 2022</w:t>
      </w:r>
      <w:r>
        <w:t>.</w:t>
      </w:r>
      <w:r w:rsidR="00EF309E">
        <w:t xml:space="preserve"> Together with</w:t>
      </w:r>
      <w:r w:rsidR="00AC41AF" w:rsidRPr="00AC41AF">
        <w:t xml:space="preserve"> the</w:t>
      </w:r>
      <w:r w:rsidR="00EF309E">
        <w:t xml:space="preserve"> NTS2, these documents set out the vision and priorities for the transport system covering the next two decades. The second NTS2 Delivery Plan</w:t>
      </w:r>
      <w:r w:rsidR="00633757">
        <w:t xml:space="preserve"> (Transport Scotland, 2022</w:t>
      </w:r>
      <w:r w:rsidR="00144AD6">
        <w:t>b</w:t>
      </w:r>
      <w:r w:rsidR="00633757">
        <w:t>)</w:t>
      </w:r>
      <w:r w:rsidR="00EF309E">
        <w:t>,</w:t>
      </w:r>
      <w:r w:rsidR="00517EBA">
        <w:t xml:space="preserve"> covering the</w:t>
      </w:r>
      <w:r w:rsidR="00955EC4">
        <w:t xml:space="preserve"> period 2022 to 2023, sets out the practical actions which are underway</w:t>
      </w:r>
      <w:r w:rsidR="00A16964">
        <w:t>, or due to begin, across Scottish Government which will deliver the NTS2 vision</w:t>
      </w:r>
      <w:r w:rsidR="00395E47" w:rsidRPr="00395E47">
        <w:t xml:space="preserve">, and provide a co-ordinated overview to transport investments and projects. At a local level the Regional Transport Strategies and Delivery Plans provide a detailed overview of the regional and local priorities, projects, actions and services, aligned with </w:t>
      </w:r>
      <w:r w:rsidR="00125398" w:rsidRPr="00125398">
        <w:t xml:space="preserve">the </w:t>
      </w:r>
      <w:r w:rsidR="00395E47" w:rsidRPr="00395E47">
        <w:t>NTS2 priorities</w:t>
      </w:r>
      <w:r w:rsidR="00395E47">
        <w:t>.</w:t>
      </w:r>
      <w:r w:rsidR="00517EBA">
        <w:t xml:space="preserve"> </w:t>
      </w:r>
      <w:r>
        <w:t xml:space="preserve"> </w:t>
      </w:r>
    </w:p>
    <w:p w14:paraId="00386A93" w14:textId="2A045D7F" w:rsidR="00990C7F" w:rsidRDefault="00D25F91" w:rsidP="00D93256">
      <w:pPr>
        <w:pStyle w:val="STPR2BodyText"/>
      </w:pPr>
      <w:r>
        <w:t>The second Delivery Plan</w:t>
      </w:r>
      <w:r w:rsidR="00990C7F">
        <w:t xml:space="preserve"> updates on areas</w:t>
      </w:r>
      <w:r w:rsidR="00805B8B">
        <w:t xml:space="preserve"> around</w:t>
      </w:r>
      <w:r w:rsidR="00770424">
        <w:t>:</w:t>
      </w:r>
      <w:r w:rsidR="00990C7F">
        <w:t xml:space="preserve"> increasing accountability, </w:t>
      </w:r>
      <w:r w:rsidR="00FD6349">
        <w:t>including</w:t>
      </w:r>
      <w:r w:rsidR="00990C7F">
        <w:t xml:space="preserve">, amongst other initiatives, the NTS2 Delivery Board </w:t>
      </w:r>
      <w:r w:rsidR="004B0557">
        <w:t>which brings</w:t>
      </w:r>
      <w:r w:rsidR="00990C7F">
        <w:t xml:space="preserve"> together senior transport </w:t>
      </w:r>
      <w:r w:rsidR="00990C7F">
        <w:lastRenderedPageBreak/>
        <w:t>sector representatives</w:t>
      </w:r>
      <w:r w:rsidR="00C17282">
        <w:t>, and r</w:t>
      </w:r>
      <w:r w:rsidR="00C17282" w:rsidRPr="00790A86">
        <w:t>econven</w:t>
      </w:r>
      <w:r w:rsidR="00C17282">
        <w:t>ing of</w:t>
      </w:r>
      <w:r w:rsidR="00C17282" w:rsidRPr="00790A86">
        <w:t xml:space="preserve"> the Transport Governance and Collaboration Working Group with representation from regional transport partnerships</w:t>
      </w:r>
      <w:r w:rsidR="00C17282">
        <w:t xml:space="preserve">; investing for the future, which recognises the role of </w:t>
      </w:r>
      <w:r w:rsidR="00353DF0" w:rsidRPr="00353DF0">
        <w:t xml:space="preserve">the </w:t>
      </w:r>
      <w:r w:rsidR="00C17282">
        <w:t xml:space="preserve">STPR2 </w:t>
      </w:r>
      <w:r w:rsidR="00C17282" w:rsidRPr="009324E7">
        <w:t xml:space="preserve">to meet the </w:t>
      </w:r>
      <w:r w:rsidR="00C17282">
        <w:t xml:space="preserve">transport </w:t>
      </w:r>
      <w:r w:rsidR="00C17282" w:rsidRPr="009324E7">
        <w:t>challenges and changes over the next 20 years</w:t>
      </w:r>
      <w:r w:rsidR="00C17282">
        <w:t>; mission zero and supporting a Just Transition</w:t>
      </w:r>
      <w:r w:rsidR="00583184">
        <w:t>, which focuses on</w:t>
      </w:r>
      <w:r w:rsidR="000B5AF9">
        <w:t xml:space="preserve"> </w:t>
      </w:r>
      <w:r w:rsidR="000B5AF9" w:rsidRPr="00216200">
        <w:t>embed</w:t>
      </w:r>
      <w:r w:rsidR="000B5AF9">
        <w:t>ding</w:t>
      </w:r>
      <w:r w:rsidR="000B5AF9" w:rsidRPr="00216200">
        <w:t xml:space="preserve"> Just Transition principles through policy development and actions to support the move to net zero</w:t>
      </w:r>
      <w:r w:rsidR="000B5AF9">
        <w:t>; and equality objectives, recognising the importance of reducing inequalities and commitments to advancing equality of opportunities across protected characteristics</w:t>
      </w:r>
      <w:r w:rsidR="00990C7F">
        <w:t>.</w:t>
      </w:r>
    </w:p>
    <w:p w14:paraId="0F5D32FE" w14:textId="54397DD6" w:rsidR="00990C7F" w:rsidRDefault="00990C7F" w:rsidP="00D93256">
      <w:pPr>
        <w:pStyle w:val="STPR2BodyText"/>
      </w:pPr>
      <w:bookmarkStart w:id="507" w:name="_Hlk88733009"/>
      <w:r>
        <w:t xml:space="preserve">When </w:t>
      </w:r>
      <w:r w:rsidR="00E41BD5" w:rsidRPr="00E41BD5">
        <w:t xml:space="preserve">the </w:t>
      </w:r>
      <w:r>
        <w:t xml:space="preserve">NTS2 was published in February 2020 it recognised the need for its implementation to be flexible to adapt to emerging and changing evidence. This is particularly relevant in light of the COVID-19 pandemic and Government response, and the impact of this on Scotland’s economy and society. </w:t>
      </w:r>
      <w:r w:rsidRPr="00C72910">
        <w:t>As a result, the NTS2</w:t>
      </w:r>
      <w:r>
        <w:t xml:space="preserve"> vision and outcomes remain valid in terms of a long-term strategy setting the framework for decision</w:t>
      </w:r>
      <w:r w:rsidR="00323CDE">
        <w:t>-</w:t>
      </w:r>
      <w:r>
        <w:t xml:space="preserve">making on transport in Scotland. However, given the impacts from the pandemic, it is pertinent to take account of the emerging evidence of the impact of COVID-19 on travel demand and behaviour, and its impact in </w:t>
      </w:r>
      <w:r w:rsidRPr="003C3E51">
        <w:t>terms</w:t>
      </w:r>
      <w:r>
        <w:t xml:space="preserve"> of exacerbating existing inequalities, including around access to</w:t>
      </w:r>
      <w:r w:rsidR="00872E52">
        <w:t>,</w:t>
      </w:r>
      <w:r>
        <w:t xml:space="preserve"> and affordability of</w:t>
      </w:r>
      <w:r w:rsidR="00872E52">
        <w:t>,</w:t>
      </w:r>
      <w:r>
        <w:t xml:space="preserve"> transport, particularly for those already experiencing disadvantage. </w:t>
      </w:r>
      <w:r w:rsidRPr="00C72910">
        <w:t>Th</w:t>
      </w:r>
      <w:r w:rsidR="00872E52">
        <w:t>e</w:t>
      </w:r>
      <w:r w:rsidRPr="00C72910">
        <w:t xml:space="preserve"> first Delivery Plan</w:t>
      </w:r>
      <w:r>
        <w:t xml:space="preserve"> does this and sets out a series of commitments and actions under each of the four priorities</w:t>
      </w:r>
      <w:bookmarkEnd w:id="507"/>
      <w:r>
        <w:t xml:space="preserve">. Whilst many of these </w:t>
      </w:r>
      <w:r w:rsidR="00F010A7">
        <w:t xml:space="preserve">commitments </w:t>
      </w:r>
      <w:r>
        <w:t xml:space="preserve">are relevant to the development of </w:t>
      </w:r>
      <w:r w:rsidR="00353DF0" w:rsidRPr="00353DF0">
        <w:t xml:space="preserve">the </w:t>
      </w:r>
      <w:r>
        <w:t xml:space="preserve">STPR2, those referencing </w:t>
      </w:r>
      <w:r w:rsidR="00353DF0" w:rsidRPr="00353DF0">
        <w:t xml:space="preserve">the </w:t>
      </w:r>
      <w:r w:rsidR="00F010A7">
        <w:t xml:space="preserve">STPR2 </w:t>
      </w:r>
      <w:r>
        <w:t>specifically are:</w:t>
      </w:r>
    </w:p>
    <w:p w14:paraId="5A88E24C" w14:textId="43BB3ADF" w:rsidR="00A13258" w:rsidRDefault="00A13258" w:rsidP="00D93256">
      <w:pPr>
        <w:pStyle w:val="STPR2BulletsLevel1"/>
      </w:pPr>
      <w:r>
        <w:t>Strengthening evidence - continuing to embed the Sustainable Travel Hierarchy and Sustainable Investment Hierarchy in decision-making, STAG and</w:t>
      </w:r>
      <w:r w:rsidR="00353DF0" w:rsidRPr="00353DF0">
        <w:t xml:space="preserve"> the</w:t>
      </w:r>
      <w:r>
        <w:t xml:space="preserve"> STPR2;</w:t>
      </w:r>
    </w:p>
    <w:p w14:paraId="505E5F3E" w14:textId="331FFA3B" w:rsidR="00A13258" w:rsidRDefault="00A13258" w:rsidP="00D93256">
      <w:pPr>
        <w:pStyle w:val="STPR2BulletsLevel1"/>
      </w:pPr>
      <w:r>
        <w:t>The Appraisal Framework and investment decision-making for</w:t>
      </w:r>
      <w:r w:rsidR="00353DF0" w:rsidRPr="00353DF0">
        <w:t xml:space="preserve"> the</w:t>
      </w:r>
      <w:r>
        <w:t xml:space="preserve"> STPR2 will have the Sustainable Investment Hierarchy at its heart;</w:t>
      </w:r>
    </w:p>
    <w:p w14:paraId="4F789B00" w14:textId="644E6F69" w:rsidR="00A13258" w:rsidRDefault="00A13258" w:rsidP="00D93256">
      <w:pPr>
        <w:pStyle w:val="STPR2BulletsLevel1"/>
      </w:pPr>
      <w:r>
        <w:t xml:space="preserve">Taking a collaborative engagement approach for </w:t>
      </w:r>
      <w:r w:rsidR="004801D6" w:rsidRPr="004801D6">
        <w:t xml:space="preserve">the </w:t>
      </w:r>
      <w:r>
        <w:t>STPR2, working with the ten regional working groups and a range of stakeholders during the various stages of the appraisal process, whilst recognising the critical role of local transport and regional connections to the success of diverse towns and places, supporting thriving town centres, resilient communities and 20-minute neighbourhoods.</w:t>
      </w:r>
    </w:p>
    <w:p w14:paraId="1B4A20D4" w14:textId="77777777" w:rsidR="007543FE" w:rsidRDefault="007543FE" w:rsidP="00D93256">
      <w:pPr>
        <w:pStyle w:val="STPR2BulletsLevel1"/>
      </w:pPr>
    </w:p>
    <w:p w14:paraId="065801FC" w14:textId="4F565025" w:rsidR="007543FE" w:rsidRDefault="007543FE" w:rsidP="00D93256">
      <w:pPr>
        <w:pStyle w:val="STPR2BulletsLevel1"/>
      </w:pPr>
      <w:r w:rsidRPr="007543FE">
        <w:t xml:space="preserve">The second Delivery Plan sets out the progress made on </w:t>
      </w:r>
      <w:r w:rsidR="00AD106F" w:rsidRPr="00AD106F">
        <w:t xml:space="preserve">the </w:t>
      </w:r>
      <w:r w:rsidRPr="007543FE">
        <w:t>STPR2 and recognises that by focusing investment on sustainable transport options for individuals, families, communities and businesses, the STPR2 recommendations will make it easier to access the transport networks and systems that Scotland will need to meet the challenges and changes over the next 20 years</w:t>
      </w:r>
      <w:r w:rsidR="005F594D">
        <w:t>.</w:t>
      </w:r>
    </w:p>
    <w:p w14:paraId="01E04D3D" w14:textId="0E18B7AF" w:rsidR="00990C7F" w:rsidRPr="00C37622" w:rsidRDefault="00990C7F" w:rsidP="00D93256">
      <w:pPr>
        <w:pStyle w:val="STPR2BulletsLevel1"/>
      </w:pPr>
    </w:p>
    <w:p w14:paraId="1F97E3CD" w14:textId="0D754894" w:rsidR="00B73C0B" w:rsidRPr="007E4923" w:rsidRDefault="00B73C0B" w:rsidP="00D93256">
      <w:pPr>
        <w:pStyle w:val="STPR2ProofBoxNormal"/>
        <w:rPr>
          <w:rStyle w:val="STPR2Proofboxheading"/>
          <w:rFonts w:cstheme="minorBidi"/>
        </w:rPr>
      </w:pPr>
      <w:r w:rsidRPr="007E4923">
        <w:rPr>
          <w:rStyle w:val="STPR2Proofboxheading"/>
        </w:rPr>
        <w:t xml:space="preserve">Relevance for </w:t>
      </w:r>
      <w:r w:rsidR="00B76BDC">
        <w:rPr>
          <w:rStyle w:val="STPR2Proofboxheading"/>
        </w:rPr>
        <w:t xml:space="preserve">the </w:t>
      </w:r>
      <w:r w:rsidRPr="003C3E51">
        <w:rPr>
          <w:rStyle w:val="STPR2Proofboxheading"/>
        </w:rPr>
        <w:t>STPR2</w:t>
      </w:r>
    </w:p>
    <w:p w14:paraId="14FFD882" w14:textId="781CE516" w:rsidR="00990C7F" w:rsidRDefault="000E60E1" w:rsidP="00D93256">
      <w:pPr>
        <w:pStyle w:val="STPR2ProofBoxNormal"/>
      </w:pPr>
      <w:r>
        <w:t xml:space="preserve">The </w:t>
      </w:r>
      <w:r w:rsidR="00990C7F">
        <w:t xml:space="preserve">NTS2 sets the vision for the country’s transport system over the next 20 years. At the heart of the strategy is the recognition that we need to deliver a step-change in behaviour and </w:t>
      </w:r>
      <w:r w:rsidR="0058676E">
        <w:t>provide</w:t>
      </w:r>
      <w:r w:rsidR="00990C7F">
        <w:t xml:space="preserve"> attractive, affordable and accessible sustainable travel options. This is echoed in the </w:t>
      </w:r>
      <w:r w:rsidR="000B3C08">
        <w:t xml:space="preserve">second </w:t>
      </w:r>
      <w:r w:rsidR="00990C7F">
        <w:t>NTS</w:t>
      </w:r>
      <w:r w:rsidR="000B3C08">
        <w:t>2</w:t>
      </w:r>
      <w:r w:rsidR="00990C7F">
        <w:t xml:space="preserve"> Delivery Plan covering the period 2022</w:t>
      </w:r>
      <w:r w:rsidR="00501F25">
        <w:t xml:space="preserve"> to 2023</w:t>
      </w:r>
      <w:r w:rsidR="00144AD6">
        <w:t xml:space="preserve"> (Transport Scotland, 2022b)</w:t>
      </w:r>
      <w:r w:rsidR="00990C7F">
        <w:t>.</w:t>
      </w:r>
    </w:p>
    <w:p w14:paraId="3621B84F" w14:textId="77777777" w:rsidR="00990C7F" w:rsidRDefault="00990C7F" w:rsidP="003C3E51">
      <w:pPr>
        <w:pStyle w:val="Heading2"/>
      </w:pPr>
      <w:bookmarkStart w:id="508" w:name="_Toc88654126"/>
      <w:bookmarkStart w:id="509" w:name="_Ref90046970"/>
      <w:bookmarkStart w:id="510" w:name="_Toc121339102"/>
      <w:r w:rsidRPr="003C3E51">
        <w:t>Climate</w:t>
      </w:r>
      <w:r w:rsidRPr="00721769">
        <w:t xml:space="preserve"> Change</w:t>
      </w:r>
      <w:r>
        <w:t xml:space="preserve"> Considerations</w:t>
      </w:r>
      <w:bookmarkEnd w:id="508"/>
      <w:bookmarkEnd w:id="509"/>
      <w:bookmarkEnd w:id="510"/>
    </w:p>
    <w:p w14:paraId="563D78C5" w14:textId="393234F2" w:rsidR="00F74813" w:rsidRPr="00353689" w:rsidRDefault="00F74813" w:rsidP="003C3E51">
      <w:pPr>
        <w:pStyle w:val="Heading3"/>
      </w:pPr>
      <w:bookmarkStart w:id="511" w:name="_Toc121339103"/>
      <w:r w:rsidRPr="00353689">
        <w:t>Climate Change and Transport</w:t>
      </w:r>
      <w:r w:rsidR="00353689" w:rsidRPr="00353689">
        <w:t xml:space="preserve"> in </w:t>
      </w:r>
      <w:r w:rsidR="00353689" w:rsidRPr="003C3E51">
        <w:t>Scotland</w:t>
      </w:r>
      <w:bookmarkEnd w:id="511"/>
    </w:p>
    <w:p w14:paraId="719E18EF" w14:textId="0047A473" w:rsidR="00206AED" w:rsidRPr="002E4AC0" w:rsidRDefault="00206AED" w:rsidP="00D93256">
      <w:pPr>
        <w:pStyle w:val="STPR2BodyText"/>
      </w:pPr>
      <w:r w:rsidRPr="002E4AC0">
        <w:lastRenderedPageBreak/>
        <w:t>Transport’s contribution to the climate emergency and net zero targets means that there is a need to reduce</w:t>
      </w:r>
      <w:r w:rsidR="00CD735D">
        <w:t xml:space="preserve"> unsustainable</w:t>
      </w:r>
      <w:r w:rsidRPr="002E4AC0">
        <w:t xml:space="preserve"> travel and deliver modal shift towards walking, </w:t>
      </w:r>
      <w:r w:rsidR="00550656">
        <w:t xml:space="preserve">wheeling, </w:t>
      </w:r>
      <w:r w:rsidRPr="002E4AC0">
        <w:t>cycling and public transport. If we continue as we are now, forecasts suggest a 40</w:t>
      </w:r>
      <w:r w:rsidR="004B66B5">
        <w:t xml:space="preserve"> per cent</w:t>
      </w:r>
      <w:r w:rsidRPr="002E4AC0">
        <w:t xml:space="preserve"> increase in vehicular travel by 2037. The recent work by the Committee on Climate Change</w:t>
      </w:r>
      <w:r w:rsidR="00957D2C" w:rsidRPr="002E4AC0">
        <w:t xml:space="preserve"> (2019)</w:t>
      </w:r>
      <w:r w:rsidRPr="002E4AC0">
        <w:t xml:space="preserve"> set out an assumption of a 10</w:t>
      </w:r>
      <w:r w:rsidR="00A01B95">
        <w:t xml:space="preserve"> per cent</w:t>
      </w:r>
      <w:r w:rsidRPr="002E4AC0">
        <w:t xml:space="preserve"> modal shift by 2030 within its net zero scenario and the </w:t>
      </w:r>
      <w:r w:rsidR="00760EF9" w:rsidRPr="002E4AC0">
        <w:t>commitment to reduce car kilometres by 20</w:t>
      </w:r>
      <w:r w:rsidR="00FC3A3C">
        <w:t xml:space="preserve"> per cent</w:t>
      </w:r>
      <w:r w:rsidR="00760EF9" w:rsidRPr="002E4AC0">
        <w:t xml:space="preserve"> by 2030 was presented in the</w:t>
      </w:r>
      <w:r w:rsidRPr="002E4AC0">
        <w:t xml:space="preserve"> Climate Change Plan </w:t>
      </w:r>
      <w:r w:rsidR="00760EF9" w:rsidRPr="002E4AC0">
        <w:t>Update in December 2020.</w:t>
      </w:r>
      <w:r w:rsidR="004C0316">
        <w:t xml:space="preserve"> This commitment was included in Scotland’s </w:t>
      </w:r>
      <w:r w:rsidR="009A316A">
        <w:t>COP26 climate change commitments (</w:t>
      </w:r>
      <w:r w:rsidR="0000075E">
        <w:t>Under 2° Secretariat Climate Group, 2021)</w:t>
      </w:r>
      <w:r w:rsidR="00B73CB5">
        <w:t xml:space="preserve"> and in the </w:t>
      </w:r>
      <w:r w:rsidR="00AC754F">
        <w:t>Route Map</w:t>
      </w:r>
      <w:r w:rsidR="00FB075C">
        <w:t xml:space="preserve"> to</w:t>
      </w:r>
      <w:r w:rsidR="00B73CB5">
        <w:t xml:space="preserve"> </w:t>
      </w:r>
      <w:r w:rsidR="00FB075C">
        <w:t>a</w:t>
      </w:r>
      <w:r w:rsidR="00FB075C" w:rsidRPr="00FB075C">
        <w:t>chieve a 20 per</w:t>
      </w:r>
      <w:r w:rsidR="00705AFA">
        <w:t xml:space="preserve"> </w:t>
      </w:r>
      <w:r w:rsidR="00FB075C" w:rsidRPr="00FB075C">
        <w:t xml:space="preserve">cent </w:t>
      </w:r>
      <w:r w:rsidR="00FB075C">
        <w:t>r</w:t>
      </w:r>
      <w:r w:rsidR="00FB075C" w:rsidRPr="00FB075C">
        <w:t xml:space="preserve">eduction in </w:t>
      </w:r>
      <w:r w:rsidR="004115A1">
        <w:t>c</w:t>
      </w:r>
      <w:r w:rsidR="00FB075C" w:rsidRPr="00FB075C">
        <w:t xml:space="preserve">ar </w:t>
      </w:r>
      <w:r w:rsidR="004115A1">
        <w:t>k</w:t>
      </w:r>
      <w:r w:rsidR="00FB075C" w:rsidRPr="00FB075C">
        <w:t>ilometres by 2030</w:t>
      </w:r>
      <w:r w:rsidR="00FB075C">
        <w:t xml:space="preserve"> (</w:t>
      </w:r>
      <w:r w:rsidR="003F6736">
        <w:t>Scottish Government</w:t>
      </w:r>
      <w:r w:rsidR="00FB075C">
        <w:t xml:space="preserve">, </w:t>
      </w:r>
      <w:r w:rsidR="00B73CB5">
        <w:t>2022</w:t>
      </w:r>
      <w:r w:rsidR="002C7380">
        <w:t>c</w:t>
      </w:r>
      <w:r w:rsidR="00B73CB5">
        <w:t>)</w:t>
      </w:r>
      <w:r w:rsidR="0000075E">
        <w:t>.</w:t>
      </w:r>
    </w:p>
    <w:p w14:paraId="592F8B20" w14:textId="2CF48D09" w:rsidR="00206AED" w:rsidRPr="002E4AC0" w:rsidRDefault="00206AED" w:rsidP="00D93256">
      <w:pPr>
        <w:pStyle w:val="STPR2BodyText"/>
      </w:pPr>
      <w:r w:rsidRPr="002E4AC0">
        <w:t xml:space="preserve">To achieve a modal shift of the scale required to address the climate emergency will require significant changes to the complex travel behaviours of users, operators and the public and private sectors. In accordance with the Sustainable Travel Hierarchy, </w:t>
      </w:r>
      <w:r w:rsidR="00B76BDC" w:rsidRPr="00B76BDC">
        <w:t xml:space="preserve">the </w:t>
      </w:r>
      <w:r w:rsidRPr="002E4AC0">
        <w:t xml:space="preserve">STPR2 </w:t>
      </w:r>
      <w:r w:rsidR="0022718E">
        <w:t>aims to</w:t>
      </w:r>
      <w:r w:rsidR="0022718E" w:rsidRPr="002E4AC0">
        <w:t xml:space="preserve"> </w:t>
      </w:r>
      <w:r w:rsidRPr="002E4AC0">
        <w:t>prioritise interventions that increase the modal share of shorter everyday trips by walking, wheeling and cycling; short- to medium-length trips by public transport and longer trips by rail or coach and low emission vehicles.</w:t>
      </w:r>
    </w:p>
    <w:p w14:paraId="0FF91FAC" w14:textId="3C9D5362" w:rsidR="00206AED" w:rsidRDefault="00206AED" w:rsidP="00D93256">
      <w:pPr>
        <w:pStyle w:val="STPR2BodyText"/>
      </w:pPr>
      <w:r w:rsidRPr="002E4AC0">
        <w:t>Transport is a derived demand and therefore key decisions and investments are required across several other sectors to meet net zero targets and in so doing put ‘place’ at the heart of the decision making process. Land</w:t>
      </w:r>
      <w:r w:rsidR="00171335">
        <w:t>-</w:t>
      </w:r>
      <w:r w:rsidRPr="002E4AC0">
        <w:t xml:space="preserve">use planning and digital connectivity are two areas not within the scope of </w:t>
      </w:r>
      <w:r w:rsidR="00B76BDC" w:rsidRPr="00B76BDC">
        <w:t xml:space="preserve">the </w:t>
      </w:r>
      <w:r w:rsidRPr="002E4AC0">
        <w:t>STPR2 that will both have a significant part to play in meeting net zero targets. This will help develop more sustainable and inclusive communities that encourage walking, wheeling and cycling as well as public transport as the preferred choice of travel. This will increase physical activity and realise health and wellbeing benefits.</w:t>
      </w:r>
    </w:p>
    <w:p w14:paraId="27F3E9DF" w14:textId="396B5EC4" w:rsidR="000600CF" w:rsidRPr="002E4AC0" w:rsidRDefault="000600CF" w:rsidP="00D93256">
      <w:pPr>
        <w:pStyle w:val="STPR2BodyText"/>
      </w:pPr>
      <w:r w:rsidRPr="000600CF">
        <w:t>The Revised Draft NPF4 is clear that development proposals will be supported where it can be demonstrated that the transport requirements necessary to facilitate development have been considered in line with the sustainable travel and investment hierarchies. This will help in the development of more sustainable, attractive, convenient, safe and inclusive communities which support local living. The Revised Draft NPF4 outlines policies which encourage, promote and facilitate developments that prioritise walking, wheeling, cycling and public transport for everyday travel and reduce the need to travel unsustainably. It also includes National Development</w:t>
      </w:r>
      <w:r w:rsidR="007D0445">
        <w:t>s</w:t>
      </w:r>
      <w:r w:rsidRPr="000600CF">
        <w:t xml:space="preserve"> </w:t>
      </w:r>
      <w:r w:rsidR="00D33BF5">
        <w:t>that</w:t>
      </w:r>
      <w:r w:rsidRPr="000600CF">
        <w:t xml:space="preserve"> facilitate the shift from vehicles to walking, cycling and wheeling for everyday journeys</w:t>
      </w:r>
      <w:r w:rsidR="00473409">
        <w:t>, thus</w:t>
      </w:r>
      <w:r w:rsidRPr="000600CF">
        <w:t xml:space="preserve"> contributing to reducing greenhouse gas emissions from transport and </w:t>
      </w:r>
      <w:r w:rsidR="00473409">
        <w:t xml:space="preserve">driving a change that </w:t>
      </w:r>
      <w:r w:rsidRPr="000600CF">
        <w:t>is highly beneficial for health and wellbeing.</w:t>
      </w:r>
    </w:p>
    <w:p w14:paraId="1691D04A" w14:textId="6443C28D" w:rsidR="002951DE" w:rsidRPr="002E4AC0" w:rsidRDefault="00206AED" w:rsidP="00D93256">
      <w:pPr>
        <w:pStyle w:val="STPR2BodyText"/>
      </w:pPr>
      <w:r w:rsidRPr="002E4AC0">
        <w:t>Fundamental to the delivery of an inclusive net zero economy, and thus improving health and wellbeing, is the requirement to support and accelerate the transition to low emission vehicles. A collaborative public and private sector relationship will be crucial in achieving this</w:t>
      </w:r>
      <w:r w:rsidR="0035420E">
        <w:t> </w:t>
      </w:r>
      <w:r w:rsidRPr="002E4AC0">
        <w:t>transition.</w:t>
      </w:r>
    </w:p>
    <w:p w14:paraId="11C8C9FD" w14:textId="547DBCBA" w:rsidR="00CC3D00" w:rsidRDefault="00572327" w:rsidP="00D93256">
      <w:pPr>
        <w:pStyle w:val="STPR2BodyText"/>
      </w:pPr>
      <w:r w:rsidRPr="00572327">
        <w:t xml:space="preserve">The policy backdrop, upon which </w:t>
      </w:r>
      <w:r w:rsidR="00D13F4B" w:rsidRPr="00D13F4B">
        <w:t xml:space="preserve">the </w:t>
      </w:r>
      <w:r w:rsidRPr="00572327">
        <w:t xml:space="preserve">STPR2 has been developed, sets out an overarching and urgent imperative to address climate change and to achieve net zero carbon </w:t>
      </w:r>
      <w:r w:rsidR="00411145">
        <w:t xml:space="preserve">emissions </w:t>
      </w:r>
      <w:r w:rsidRPr="00572327">
        <w:t xml:space="preserve">by 2045. STPR2 has sought to embed these factors into the appraisal process from the very beginning, ensuring that interventions emerging from </w:t>
      </w:r>
      <w:r w:rsidR="000B3E03" w:rsidRPr="000B3E03">
        <w:t xml:space="preserve">the </w:t>
      </w:r>
      <w:r w:rsidRPr="00572327">
        <w:t xml:space="preserve">STPR2 help to deliver </w:t>
      </w:r>
      <w:r w:rsidR="009063ED">
        <w:t xml:space="preserve">the outcomes of the </w:t>
      </w:r>
      <w:r w:rsidRPr="00572327">
        <w:t>NTS2 and support wider net zero commitments</w:t>
      </w:r>
      <w:r w:rsidR="0092758F" w:rsidRPr="002E4AC0">
        <w:t>.</w:t>
      </w:r>
    </w:p>
    <w:p w14:paraId="0F9195EA" w14:textId="422F11EC" w:rsidR="00CC3D00" w:rsidRDefault="00CC3D00" w:rsidP="00D93256">
      <w:pPr>
        <w:pStyle w:val="STPR2BodyText"/>
      </w:pPr>
      <w:r>
        <w:t xml:space="preserve">Earlier stages of the STPR2 process, undertaken prior to the publication of the new STAG guidance, </w:t>
      </w:r>
      <w:r w:rsidR="007C7FAB">
        <w:t xml:space="preserve">as described in </w:t>
      </w:r>
      <w:r w:rsidR="00434CFD" w:rsidRPr="003B196E">
        <w:rPr>
          <w:b/>
          <w:bCs/>
        </w:rPr>
        <w:t xml:space="preserve">Section </w:t>
      </w:r>
      <w:r w:rsidR="005A32F7">
        <w:rPr>
          <w:b/>
          <w:bCs/>
        </w:rPr>
        <w:t>2.3</w:t>
      </w:r>
      <w:r w:rsidR="007C7FAB">
        <w:t xml:space="preserve">, </w:t>
      </w:r>
      <w:r>
        <w:t xml:space="preserve">have adopted a number of approaches to strengthen the STAG-based appraisal, with a particular focus on ensuring the identification </w:t>
      </w:r>
      <w:r>
        <w:lastRenderedPageBreak/>
        <w:t xml:space="preserve">of sustainable transport interventions that support the priorities of </w:t>
      </w:r>
      <w:r w:rsidR="00E4690D" w:rsidRPr="00E4690D">
        <w:t xml:space="preserve">the </w:t>
      </w:r>
      <w:r>
        <w:t>NTS2, including the priority</w:t>
      </w:r>
      <w:r w:rsidR="009B18A6">
        <w:t xml:space="preserve"> ‘</w:t>
      </w:r>
      <w:r>
        <w:t>Takes Climate Action’. For example, at the Option Generation and Sifting stage (</w:t>
      </w:r>
      <w:r w:rsidR="002B5B0E">
        <w:t xml:space="preserve">discussed further in </w:t>
      </w:r>
      <w:r w:rsidR="002B5B0E" w:rsidRPr="008F39F5">
        <w:rPr>
          <w:b/>
          <w:bCs/>
        </w:rPr>
        <w:t xml:space="preserve">Chapter </w:t>
      </w:r>
      <w:r w:rsidR="002B5B0E">
        <w:rPr>
          <w:b/>
          <w:bCs/>
        </w:rPr>
        <w:t xml:space="preserve">7: </w:t>
      </w:r>
      <w:r w:rsidR="002B5B0E" w:rsidRPr="00CB2E12">
        <w:rPr>
          <w:b/>
          <w:bCs/>
        </w:rPr>
        <w:fldChar w:fldCharType="begin"/>
      </w:r>
      <w:r w:rsidR="002B5B0E" w:rsidRPr="00CB2E12">
        <w:rPr>
          <w:b/>
          <w:bCs/>
        </w:rPr>
        <w:instrText xml:space="preserve"> REF _Ref90642790 \h  \* MERGEFORMAT </w:instrText>
      </w:r>
      <w:r w:rsidR="002B5B0E" w:rsidRPr="00CB2E12">
        <w:rPr>
          <w:b/>
          <w:bCs/>
        </w:rPr>
      </w:r>
      <w:r w:rsidR="002B5B0E" w:rsidRPr="00CB2E12">
        <w:rPr>
          <w:b/>
          <w:bCs/>
        </w:rPr>
        <w:fldChar w:fldCharType="separate"/>
      </w:r>
      <w:r w:rsidR="00C22A9E" w:rsidRPr="00C22A9E">
        <w:rPr>
          <w:b/>
          <w:bCs/>
        </w:rPr>
        <w:t>The Approach to the Assessment</w:t>
      </w:r>
      <w:r w:rsidR="002B5B0E" w:rsidRPr="00CB2E12">
        <w:rPr>
          <w:b/>
          <w:bCs/>
        </w:rPr>
        <w:fldChar w:fldCharType="end"/>
      </w:r>
      <w:r w:rsidR="002B5B0E" w:rsidRPr="00CB2E12">
        <w:rPr>
          <w:b/>
          <w:bCs/>
        </w:rPr>
        <w:t>)</w:t>
      </w:r>
      <w:r>
        <w:t>, the Sustainable Travel Hierarchy and Sustainable Investment Hierarchy have been applied to promote interventions that prioritise walking, wheeling, cycling and public transport-based modes ahead of private car trips, and to ensure that interventions that reduce the need to travel unsustainably are prioritised over targeted infrastructure measures. Groupings</w:t>
      </w:r>
      <w:r w:rsidR="002817F6">
        <w:t xml:space="preserve"> and Packages</w:t>
      </w:r>
      <w:r>
        <w:t xml:space="preserve"> (of interventions) assessed through </w:t>
      </w:r>
      <w:r w:rsidR="00F2625A" w:rsidRPr="00F2625A">
        <w:t xml:space="preserve">the </w:t>
      </w:r>
      <w:r>
        <w:t>STPR2 work have been appraised against a set of TPOs (see</w:t>
      </w:r>
      <w:r w:rsidR="0004471F">
        <w:t xml:space="preserve"> </w:t>
      </w:r>
      <w:r w:rsidR="00C4630E" w:rsidRPr="003B196E">
        <w:rPr>
          <w:b/>
          <w:bCs/>
        </w:rPr>
        <w:t>Sec</w:t>
      </w:r>
      <w:r w:rsidR="00AB163A" w:rsidRPr="003B196E">
        <w:rPr>
          <w:b/>
          <w:bCs/>
        </w:rPr>
        <w:t xml:space="preserve">tion </w:t>
      </w:r>
      <w:r w:rsidR="00311A16">
        <w:rPr>
          <w:b/>
          <w:bCs/>
        </w:rPr>
        <w:t>2.5</w:t>
      </w:r>
      <w:r>
        <w:t xml:space="preserve">) which have been directly informed by the </w:t>
      </w:r>
      <w:r w:rsidR="004E1EAF">
        <w:t xml:space="preserve">priorities of the </w:t>
      </w:r>
      <w:r>
        <w:t xml:space="preserve">NTS2, including </w:t>
      </w:r>
      <w:r w:rsidR="0067080A">
        <w:t>‘</w:t>
      </w:r>
      <w:r>
        <w:t>Takes Climate Action</w:t>
      </w:r>
      <w:r w:rsidR="0067080A">
        <w:t>’</w:t>
      </w:r>
      <w:r>
        <w:t>. This includes assessing interventions against the following TPO: A sustainable strategic transport system that contributes significantly to the Scottish Government’s net zero emissions target.</w:t>
      </w:r>
    </w:p>
    <w:p w14:paraId="28DA8D05" w14:textId="06BFEAB2" w:rsidR="00CC3D00" w:rsidRDefault="00CC3D00" w:rsidP="00D93256">
      <w:pPr>
        <w:pStyle w:val="STPR2BodyText"/>
      </w:pPr>
      <w:r>
        <w:t>Groupings</w:t>
      </w:r>
      <w:r w:rsidR="006D3E28">
        <w:t xml:space="preserve"> and Packages</w:t>
      </w:r>
      <w:r>
        <w:t xml:space="preserve"> taken through the appraisal process have been assessed using a Scenario approach, as noted within </w:t>
      </w:r>
      <w:r w:rsidR="002B3D85" w:rsidRPr="00234759">
        <w:rPr>
          <w:b/>
          <w:bCs/>
        </w:rPr>
        <w:t xml:space="preserve">Section </w:t>
      </w:r>
      <w:r w:rsidR="009F4DBF">
        <w:rPr>
          <w:b/>
          <w:bCs/>
        </w:rPr>
        <w:fldChar w:fldCharType="begin"/>
      </w:r>
      <w:r w:rsidR="009F4DBF">
        <w:rPr>
          <w:b/>
          <w:bCs/>
        </w:rPr>
        <w:instrText xml:space="preserve"> REF _Ref92884505 \r \h </w:instrText>
      </w:r>
      <w:r w:rsidR="009F4DBF">
        <w:rPr>
          <w:b/>
          <w:bCs/>
        </w:rPr>
      </w:r>
      <w:r w:rsidR="009F4DBF">
        <w:rPr>
          <w:b/>
          <w:bCs/>
        </w:rPr>
        <w:fldChar w:fldCharType="separate"/>
      </w:r>
      <w:r w:rsidR="00C22A9E">
        <w:rPr>
          <w:b/>
          <w:bCs/>
        </w:rPr>
        <w:t>7.4</w:t>
      </w:r>
      <w:r w:rsidR="009F4DBF">
        <w:rPr>
          <w:b/>
          <w:bCs/>
        </w:rPr>
        <w:fldChar w:fldCharType="end"/>
      </w:r>
      <w:r>
        <w:t>, with consideration given to a range of possible futures and how interventions behave in them. One scenario describes a future in which the 20</w:t>
      </w:r>
      <w:r w:rsidR="00CE1087">
        <w:t xml:space="preserve"> per cent</w:t>
      </w:r>
      <w:r>
        <w:t xml:space="preserve"> reduction in car kilometres by 2030 and net zero by 2045 are achieved. Performance of the Groupings </w:t>
      </w:r>
      <w:r w:rsidR="00796F73">
        <w:t xml:space="preserve">and Packages </w:t>
      </w:r>
      <w:r>
        <w:t>under these scenarios has informed the Preliminary Appraisal and the Detailed</w:t>
      </w:r>
      <w:r w:rsidR="0035420E">
        <w:t> </w:t>
      </w:r>
      <w:r>
        <w:t>Appraisal.</w:t>
      </w:r>
    </w:p>
    <w:p w14:paraId="4E57ED58" w14:textId="509C972D" w:rsidR="00893D35" w:rsidRPr="002E4AC0" w:rsidRDefault="002B3D85" w:rsidP="00D93256">
      <w:pPr>
        <w:pStyle w:val="STPR2BodyText"/>
      </w:pPr>
      <w:r>
        <w:t xml:space="preserve">The development of </w:t>
      </w:r>
      <w:bookmarkStart w:id="512" w:name="_Toc88654127"/>
      <w:r w:rsidR="00F2625A" w:rsidRPr="00F2625A">
        <w:t xml:space="preserve">the </w:t>
      </w:r>
      <w:r w:rsidR="00375F9E" w:rsidRPr="002E4AC0">
        <w:t xml:space="preserve">STPR2 has </w:t>
      </w:r>
      <w:r>
        <w:t xml:space="preserve">also </w:t>
      </w:r>
      <w:r w:rsidR="00375F9E" w:rsidRPr="002E4AC0">
        <w:t>been informed</w:t>
      </w:r>
      <w:r w:rsidR="005354C0" w:rsidRPr="002E4AC0">
        <w:t xml:space="preserve"> by</w:t>
      </w:r>
      <w:r w:rsidR="00375F9E" w:rsidRPr="002E4AC0">
        <w:t xml:space="preserve"> the</w:t>
      </w:r>
      <w:r w:rsidR="004206F1" w:rsidRPr="002E4AC0">
        <w:t xml:space="preserve"> requirements set out in Scotland’s Climate Change Plan Updat</w:t>
      </w:r>
      <w:r w:rsidR="00576DE3" w:rsidRPr="002E4AC0">
        <w:t>e and Cleaner Air for Scotland, as set out in the sections below.</w:t>
      </w:r>
    </w:p>
    <w:p w14:paraId="0CFBD289" w14:textId="7F1EFE46" w:rsidR="00B53B80" w:rsidRPr="00697174" w:rsidRDefault="00B53B80" w:rsidP="00115E65">
      <w:pPr>
        <w:pStyle w:val="Heading3"/>
      </w:pPr>
      <w:bookmarkStart w:id="513" w:name="_Toc121339104"/>
      <w:bookmarkEnd w:id="512"/>
      <w:r w:rsidRPr="00697174">
        <w:t>Climate Change Plan Update</w:t>
      </w:r>
      <w:bookmarkEnd w:id="513"/>
    </w:p>
    <w:p w14:paraId="2B2AA668" w14:textId="2A57C025" w:rsidR="00990C7F" w:rsidRPr="007E0B09" w:rsidRDefault="00990C7F" w:rsidP="00D93256">
      <w:pPr>
        <w:pStyle w:val="STPR2BodyText"/>
      </w:pPr>
      <w:r>
        <w:rPr>
          <w:rStyle w:val="normaltextrun"/>
        </w:rPr>
        <w:t>The Scottish Government published “</w:t>
      </w:r>
      <w:bookmarkStart w:id="514" w:name="_Hlk88733278"/>
      <w:r w:rsidRPr="006116F5">
        <w:t>Securing a Green Recovery on a Path to Net Zero: Climate Change Plan 2018–2032</w:t>
      </w:r>
      <w:bookmarkEnd w:id="514"/>
      <w:r w:rsidRPr="006116F5">
        <w:t xml:space="preserve"> </w:t>
      </w:r>
      <w:r>
        <w:t>–</w:t>
      </w:r>
      <w:r w:rsidRPr="006116F5">
        <w:t xml:space="preserve"> update</w:t>
      </w:r>
      <w:r>
        <w:t>” in December 2020</w:t>
      </w:r>
      <w:r w:rsidR="002A0236">
        <w:t xml:space="preserve"> (Scottish Government, 2020</w:t>
      </w:r>
      <w:r w:rsidR="00B6719E">
        <w:t>a</w:t>
      </w:r>
      <w:r w:rsidR="002A0236">
        <w:t>)</w:t>
      </w:r>
      <w:r>
        <w:t xml:space="preserve"> </w:t>
      </w:r>
      <w:r w:rsidRPr="007E0B09">
        <w:t xml:space="preserve">which </w:t>
      </w:r>
      <w:r w:rsidRPr="00DE3D9E">
        <w:t>reflects the ambition of the new targets set in the Climate Change (Emissions Reduction Targets) (Scotland) Act 2019. These comprise the reduction of Scotland’s greenhouse gas emissions to net zero by 2045 at the latest</w:t>
      </w:r>
      <w:r>
        <w:t>,</w:t>
      </w:r>
      <w:r w:rsidRPr="00DE3D9E">
        <w:t xml:space="preserve"> with interim targets of at least:</w:t>
      </w:r>
    </w:p>
    <w:p w14:paraId="1E3EA472" w14:textId="37354373" w:rsidR="00990C7F" w:rsidRPr="002E4AC0" w:rsidRDefault="00990C7F" w:rsidP="00D93256">
      <w:pPr>
        <w:pStyle w:val="STPR2BulletsLevel1"/>
      </w:pPr>
      <w:r w:rsidRPr="002E4AC0">
        <w:t>56</w:t>
      </w:r>
      <w:r w:rsidR="00F467A2">
        <w:t xml:space="preserve"> per cent</w:t>
      </w:r>
      <w:r w:rsidRPr="002E4AC0">
        <w:t xml:space="preserve"> by 2020;</w:t>
      </w:r>
    </w:p>
    <w:p w14:paraId="643779E3" w14:textId="1439F4E5" w:rsidR="00990C7F" w:rsidRPr="002E4AC0" w:rsidRDefault="00990C7F" w:rsidP="00D93256">
      <w:pPr>
        <w:pStyle w:val="STPR2BulletsLevel1"/>
      </w:pPr>
      <w:r w:rsidRPr="002E4AC0">
        <w:t>75</w:t>
      </w:r>
      <w:r w:rsidR="00F467A2">
        <w:t xml:space="preserve"> per cent</w:t>
      </w:r>
      <w:r w:rsidRPr="002E4AC0">
        <w:t xml:space="preserve"> by 2030; </w:t>
      </w:r>
    </w:p>
    <w:p w14:paraId="3F4BD674" w14:textId="15675057" w:rsidR="00990C7F" w:rsidRPr="002E4AC0" w:rsidRDefault="00990C7F" w:rsidP="00D93256">
      <w:pPr>
        <w:pStyle w:val="STPR2BulletsLevel1"/>
      </w:pPr>
      <w:r w:rsidRPr="002E4AC0">
        <w:t>90</w:t>
      </w:r>
      <w:r w:rsidR="00F467A2">
        <w:t xml:space="preserve"> per cent</w:t>
      </w:r>
      <w:r w:rsidRPr="002E4AC0">
        <w:t xml:space="preserve"> by 2040.</w:t>
      </w:r>
    </w:p>
    <w:p w14:paraId="5B6EE393" w14:textId="3781CFDB" w:rsidR="00990C7F" w:rsidRPr="00D55161" w:rsidRDefault="00990C7F" w:rsidP="00D93256">
      <w:pPr>
        <w:pStyle w:val="STPR2BodyText"/>
      </w:pPr>
      <w:r w:rsidRPr="00D55161">
        <w:t xml:space="preserve">The transport </w:t>
      </w:r>
      <w:r w:rsidR="00D73882">
        <w:t>C</w:t>
      </w:r>
      <w:r w:rsidRPr="00D55161">
        <w:t xml:space="preserve">hapter of the Plan sets out context around the current situation and how the shift to home working may become a longer-term trend. Coupled with the focus on 20-minute neighbourhoods, the Plan notes the opportunity to capitalise on these to reduce the need to travel, and, when travel occurs, for it to be focused on more sustainable modes. </w:t>
      </w:r>
    </w:p>
    <w:p w14:paraId="481D6A86" w14:textId="3CCC915D" w:rsidR="00990C7F" w:rsidRPr="007E0B09" w:rsidRDefault="00990C7F" w:rsidP="00D93256">
      <w:pPr>
        <w:pStyle w:val="STPR2BodyText"/>
        <w:rPr>
          <w:rStyle w:val="normaltextrun"/>
        </w:rPr>
      </w:pPr>
      <w:r w:rsidRPr="65177A30">
        <w:rPr>
          <w:rStyle w:val="normaltextrun"/>
        </w:rPr>
        <w:t xml:space="preserve">The </w:t>
      </w:r>
      <w:r>
        <w:rPr>
          <w:rStyle w:val="normaltextrun"/>
        </w:rPr>
        <w:t>P</w:t>
      </w:r>
      <w:r w:rsidRPr="65177A30">
        <w:rPr>
          <w:rStyle w:val="normaltextrun"/>
        </w:rPr>
        <w:t>lan includes the following statement in relation to transport</w:t>
      </w:r>
      <w:r>
        <w:rPr>
          <w:rStyle w:val="normaltextrun"/>
        </w:rPr>
        <w:t>:</w:t>
      </w:r>
      <w:r w:rsidRPr="65177A30">
        <w:rPr>
          <w:rStyle w:val="normaltextrun"/>
        </w:rPr>
        <w:t xml:space="preserve"> “</w:t>
      </w:r>
      <w:r>
        <w:t xml:space="preserve">By 2032 our roads will contain no new petrol and diesel cars and vans; we will have decarbonised our passenger railways; and we will have begun work to decarbonise challenging transport modes such as </w:t>
      </w:r>
      <w:r w:rsidR="009269BF">
        <w:t>heavy goods vehicles (</w:t>
      </w:r>
      <w:r>
        <w:t>HGVs</w:t>
      </w:r>
      <w:r w:rsidR="009269BF">
        <w:t>)</w:t>
      </w:r>
      <w:r>
        <w:t>, ferries and aviation. Car kilometres will have reduced by 20</w:t>
      </w:r>
      <w:r w:rsidR="0015054A">
        <w:t xml:space="preserve"> per cent</w:t>
      </w:r>
      <w:r>
        <w:t>, and sustainable transport will be the instinctive first choice for people</w:t>
      </w:r>
      <w:r w:rsidRPr="65177A30">
        <w:rPr>
          <w:rStyle w:val="normaltextrun"/>
        </w:rPr>
        <w:t>.”</w:t>
      </w:r>
    </w:p>
    <w:p w14:paraId="2B8C74A4" w14:textId="77777777" w:rsidR="00990C7F" w:rsidRPr="00D55161" w:rsidRDefault="00990C7F" w:rsidP="00D93256">
      <w:pPr>
        <w:pStyle w:val="STPR2BodyText"/>
      </w:pPr>
      <w:r w:rsidRPr="00D55161">
        <w:t>This statement is accompanied by a timeline to 2032 that sets out the key milestones in the intervening years:</w:t>
      </w:r>
    </w:p>
    <w:p w14:paraId="466388E0" w14:textId="77777777" w:rsidR="00990C7F" w:rsidRPr="003F3707" w:rsidRDefault="00990C7F" w:rsidP="00D93256">
      <w:pPr>
        <w:pStyle w:val="STPR2BulletsLevel1"/>
      </w:pPr>
      <w:r w:rsidRPr="003F3707">
        <w:t>2024 – majority of new buses are zero emissions.</w:t>
      </w:r>
    </w:p>
    <w:p w14:paraId="7386D649" w14:textId="77777777" w:rsidR="00990C7F" w:rsidRPr="003F3707" w:rsidRDefault="00990C7F" w:rsidP="00D93256">
      <w:pPr>
        <w:pStyle w:val="STPR2BulletsLevel1"/>
      </w:pPr>
      <w:r w:rsidRPr="003F3707">
        <w:t xml:space="preserve">2025 – need for any new petrol and diesel light commercial vehicles in public bodies phased out. Delivery of first Active Freeways: segregated active travel routes on main </w:t>
      </w:r>
      <w:r w:rsidRPr="003F3707">
        <w:lastRenderedPageBreak/>
        <w:t>travel corridors.</w:t>
      </w:r>
    </w:p>
    <w:p w14:paraId="16D7915A" w14:textId="1AFF6152" w:rsidR="00990C7F" w:rsidRPr="003F3707" w:rsidRDefault="00990C7F" w:rsidP="00D93256">
      <w:pPr>
        <w:pStyle w:val="STPR2BulletsLevel1"/>
      </w:pPr>
      <w:r w:rsidRPr="003F3707">
        <w:t>2030 – conditions created to phase out the need for all new petrol and diesel vehicles in Scotland’s public sector fleet. Need for new petrol and diesel cars and vans phased out. Car kilometres reduced by 20</w:t>
      </w:r>
      <w:r w:rsidR="005E5C9D">
        <w:t xml:space="preserve"> per cent</w:t>
      </w:r>
      <w:r w:rsidRPr="003F3707">
        <w:t>.</w:t>
      </w:r>
    </w:p>
    <w:p w14:paraId="66EFF3A6" w14:textId="77777777" w:rsidR="00990C7F" w:rsidRPr="003F3707" w:rsidRDefault="00990C7F" w:rsidP="00D93256">
      <w:pPr>
        <w:pStyle w:val="STPR2BulletsLevel1"/>
      </w:pPr>
      <w:r w:rsidRPr="003F3707">
        <w:t>2032 – Scotland’s passenger rail services considerably decarbonised, with just a few years to go until they are fully decarbonised.</w:t>
      </w:r>
    </w:p>
    <w:p w14:paraId="066D735A" w14:textId="1D5CC4D1" w:rsidR="00FE5769" w:rsidRDefault="00FE5769" w:rsidP="00FE5769">
      <w:pPr>
        <w:pStyle w:val="Heading3"/>
        <w:ind w:left="851" w:hanging="851"/>
      </w:pPr>
      <w:bookmarkStart w:id="515" w:name="_Toc121339105"/>
      <w:r>
        <w:t>Route Map to Reduce Car Use</w:t>
      </w:r>
      <w:bookmarkEnd w:id="515"/>
    </w:p>
    <w:p w14:paraId="1E630BDC" w14:textId="2001F700" w:rsidR="00990C7F" w:rsidRPr="00711BAE" w:rsidRDefault="00962749" w:rsidP="00D93256">
      <w:pPr>
        <w:pStyle w:val="STPR2BodyText"/>
      </w:pPr>
      <w:r>
        <w:t>In Januar</w:t>
      </w:r>
      <w:r w:rsidR="00B04E99">
        <w:t>y 2022</w:t>
      </w:r>
      <w:r w:rsidR="00990C7F" w:rsidRPr="00711BAE">
        <w:t xml:space="preserve"> the Scottish Government and the Convention of Scottish Local Authorities (COSLA) developed a </w:t>
      </w:r>
      <w:r w:rsidR="00AC754F">
        <w:t>Route Map</w:t>
      </w:r>
      <w:r w:rsidR="00990C7F" w:rsidRPr="00711BAE">
        <w:t xml:space="preserve"> to deliver the shift in travel behaviours required to meet the 20</w:t>
      </w:r>
      <w:r w:rsidR="008475B4">
        <w:t xml:space="preserve"> per cent</w:t>
      </w:r>
      <w:r w:rsidR="00990C7F" w:rsidRPr="00711BAE">
        <w:t xml:space="preserve"> reduction target, recognising the need for ongoing collaboration and partnership working between national, regional and local </w:t>
      </w:r>
      <w:r w:rsidR="00E815B6">
        <w:t>G</w:t>
      </w:r>
      <w:r w:rsidR="00990C7F" w:rsidRPr="00711BAE">
        <w:t>overnment as well as public, private and third sector partners</w:t>
      </w:r>
      <w:r w:rsidR="004F1F78">
        <w:t xml:space="preserve"> (Scottish Government, 2021</w:t>
      </w:r>
      <w:r w:rsidR="001E40BF">
        <w:t>a</w:t>
      </w:r>
      <w:r w:rsidR="004F1F78">
        <w:t>).</w:t>
      </w:r>
      <w:r w:rsidR="00990C7F" w:rsidRPr="00711BAE">
        <w:t xml:space="preserve"> The </w:t>
      </w:r>
      <w:r w:rsidR="00AC754F">
        <w:t>Route Map</w:t>
      </w:r>
      <w:r w:rsidR="00990C7F" w:rsidRPr="00711BAE">
        <w:t xml:space="preserve"> sets out the suite of policies from across Government that </w:t>
      </w:r>
      <w:r w:rsidR="00AE0687">
        <w:t>will</w:t>
      </w:r>
      <w:r w:rsidR="00AE0687" w:rsidRPr="00711BAE">
        <w:t xml:space="preserve"> </w:t>
      </w:r>
      <w:r w:rsidR="00990C7F" w:rsidRPr="00711BAE">
        <w:t>be implemented to support car-use reduction in order to both address climate change and deliver a healthier, fairer and more prosperous Scotland</w:t>
      </w:r>
      <w:r w:rsidR="00990C7F">
        <w:t xml:space="preserve">, and </w:t>
      </w:r>
      <w:r w:rsidR="00990C7F" w:rsidRPr="00497FB1">
        <w:t xml:space="preserve">recognises the role of </w:t>
      </w:r>
      <w:r w:rsidR="00F2625A" w:rsidRPr="00F2625A">
        <w:t xml:space="preserve">the </w:t>
      </w:r>
      <w:r w:rsidR="00990C7F" w:rsidRPr="00497FB1">
        <w:t>STPR2 in setting out recommendations for future investment</w:t>
      </w:r>
      <w:r w:rsidR="00C50604">
        <w:t> </w:t>
      </w:r>
      <w:r w:rsidR="00990C7F" w:rsidRPr="00497FB1">
        <w:t xml:space="preserve">decisions. </w:t>
      </w:r>
    </w:p>
    <w:p w14:paraId="7728FA3F" w14:textId="00321E25" w:rsidR="008C46E0" w:rsidRPr="00ED4F41" w:rsidRDefault="00990C7F" w:rsidP="00D93256">
      <w:pPr>
        <w:pStyle w:val="STPR2BodyText"/>
      </w:pPr>
      <w:r w:rsidRPr="00711BAE">
        <w:t xml:space="preserve">Successful implementation of the actions set out in </w:t>
      </w:r>
      <w:r>
        <w:t>the</w:t>
      </w:r>
      <w:r w:rsidRPr="00711BAE">
        <w:t xml:space="preserve"> </w:t>
      </w:r>
      <w:r w:rsidR="00AC754F">
        <w:t>Route Map</w:t>
      </w:r>
      <w:r w:rsidRPr="00711BAE">
        <w:t xml:space="preserve"> </w:t>
      </w:r>
      <w:r>
        <w:t>are expected to</w:t>
      </w:r>
      <w:r w:rsidRPr="00711BAE">
        <w:t xml:space="preserve"> lead to a transformational way of living in Scotland, where a new localism thrives in villages, towns and city neighbourhoods; where streets become places that are safe for people of all ages to travel by walking</w:t>
      </w:r>
      <w:r w:rsidR="000269F6">
        <w:t>, wheeling</w:t>
      </w:r>
      <w:r w:rsidRPr="00711BAE">
        <w:t xml:space="preserve"> and cycling whil</w:t>
      </w:r>
      <w:r>
        <w:t>st</w:t>
      </w:r>
      <w:r w:rsidRPr="00711BAE">
        <w:t xml:space="preserve"> maintaining private vehicle access for those with disabilities; where longer journeys are made by convenient and affordable public or shared transport; and with greater use of online access to key services and opportunities. This future will both enable statutory climate change targets</w:t>
      </w:r>
      <w:r>
        <w:t xml:space="preserve"> to be met, whilst</w:t>
      </w:r>
      <w:r w:rsidRPr="00711BAE">
        <w:t xml:space="preserve"> at the same time creating better ways of living, improved health and wellbeing and the associated social and economic benefits of a society less dominated by private cars.</w:t>
      </w:r>
    </w:p>
    <w:p w14:paraId="7658EA49" w14:textId="1DF2F2CE" w:rsidR="00990C7F" w:rsidRPr="007E4923" w:rsidRDefault="00990C7F" w:rsidP="00D93256">
      <w:pPr>
        <w:pStyle w:val="STPR2ProofBoxNormal"/>
        <w:rPr>
          <w:rStyle w:val="STPR2Proofboxheading"/>
          <w:rFonts w:cstheme="minorBidi"/>
        </w:rPr>
      </w:pPr>
      <w:r w:rsidRPr="007E4923">
        <w:rPr>
          <w:rStyle w:val="STPR2Proofboxheading"/>
        </w:rPr>
        <w:t xml:space="preserve">Relevance for </w:t>
      </w:r>
      <w:r w:rsidR="00AD4034">
        <w:rPr>
          <w:rStyle w:val="STPR2Proofboxheading"/>
        </w:rPr>
        <w:t xml:space="preserve">the </w:t>
      </w:r>
      <w:r w:rsidRPr="003C3E51">
        <w:rPr>
          <w:rStyle w:val="STPR2Proofboxheading"/>
        </w:rPr>
        <w:t>STPR2</w:t>
      </w:r>
    </w:p>
    <w:p w14:paraId="4C20F651" w14:textId="7004958D" w:rsidR="00990C7F" w:rsidRPr="00D75B23" w:rsidRDefault="00990C7F" w:rsidP="00D93256">
      <w:pPr>
        <w:pStyle w:val="STPR2ProofBoxNormal"/>
      </w:pPr>
      <w:r w:rsidRPr="00D75B23">
        <w:t>Transport remains Scotland’s biggest emitting sector (3</w:t>
      </w:r>
      <w:r w:rsidR="005F121C">
        <w:t>6 per cent</w:t>
      </w:r>
      <w:r w:rsidRPr="00D75B23">
        <w:t xml:space="preserve"> of emissions) with cars accounting for around 40</w:t>
      </w:r>
      <w:r w:rsidR="005F121C">
        <w:t xml:space="preserve"> per cent</w:t>
      </w:r>
      <w:r w:rsidRPr="00D75B23">
        <w:t xml:space="preserve"> of emissions, and therefore significant action is required. It is also acknowledged that technological advances to green vehicles will not be enough and managing demand and behavioural change will be needed. Therefore, STPR2 will </w:t>
      </w:r>
      <w:r w:rsidR="00D53CF5">
        <w:t>support the development of</w:t>
      </w:r>
      <w:r w:rsidRPr="00D75B23">
        <w:t xml:space="preserve"> a programme of interventions to establish conditions that work towards a reduction in car kilometres of 20</w:t>
      </w:r>
      <w:r w:rsidR="00E57763">
        <w:t xml:space="preserve"> per cent</w:t>
      </w:r>
      <w:r w:rsidRPr="00D75B23">
        <w:t xml:space="preserve"> by 203</w:t>
      </w:r>
      <w:r w:rsidR="000A2560">
        <w:t>0</w:t>
      </w:r>
      <w:r w:rsidRPr="00D75B23">
        <w:t xml:space="preserve">. </w:t>
      </w:r>
    </w:p>
    <w:p w14:paraId="27966EBF" w14:textId="6423F240" w:rsidR="00990C7F" w:rsidRPr="00D55161" w:rsidRDefault="00990C7F" w:rsidP="003C3E51">
      <w:pPr>
        <w:pStyle w:val="Heading3"/>
      </w:pPr>
      <w:bookmarkStart w:id="516" w:name="_Toc119483952"/>
      <w:bookmarkStart w:id="517" w:name="_Toc119589258"/>
      <w:bookmarkStart w:id="518" w:name="_Toc119483953"/>
      <w:bookmarkStart w:id="519" w:name="_Toc119589259"/>
      <w:bookmarkStart w:id="520" w:name="_Toc119483954"/>
      <w:bookmarkStart w:id="521" w:name="_Toc119589260"/>
      <w:bookmarkStart w:id="522" w:name="_Toc119483955"/>
      <w:bookmarkStart w:id="523" w:name="_Toc119589261"/>
      <w:bookmarkStart w:id="524" w:name="_Toc119483956"/>
      <w:bookmarkStart w:id="525" w:name="_Toc119589262"/>
      <w:bookmarkStart w:id="526" w:name="_Toc88654128"/>
      <w:bookmarkStart w:id="527" w:name="_Toc121339106"/>
      <w:bookmarkEnd w:id="516"/>
      <w:bookmarkEnd w:id="517"/>
      <w:bookmarkEnd w:id="518"/>
      <w:bookmarkEnd w:id="519"/>
      <w:bookmarkEnd w:id="520"/>
      <w:bookmarkEnd w:id="521"/>
      <w:bookmarkEnd w:id="522"/>
      <w:bookmarkEnd w:id="523"/>
      <w:bookmarkEnd w:id="524"/>
      <w:bookmarkEnd w:id="525"/>
      <w:r w:rsidRPr="00D55161">
        <w:t xml:space="preserve">Cleaner </w:t>
      </w:r>
      <w:r w:rsidRPr="003C3E51">
        <w:t>Air</w:t>
      </w:r>
      <w:r w:rsidRPr="00D55161">
        <w:t xml:space="preserve"> </w:t>
      </w:r>
      <w:r w:rsidR="00042200">
        <w:t>f</w:t>
      </w:r>
      <w:r w:rsidRPr="00D55161">
        <w:t xml:space="preserve">or Scotland 2: Towards A Better Place </w:t>
      </w:r>
      <w:r w:rsidR="00042200">
        <w:t>f</w:t>
      </w:r>
      <w:r w:rsidRPr="00D55161">
        <w:t>or Everyone</w:t>
      </w:r>
      <w:bookmarkEnd w:id="526"/>
      <w:bookmarkEnd w:id="527"/>
    </w:p>
    <w:p w14:paraId="51236FC0" w14:textId="57B23AE1" w:rsidR="00990C7F" w:rsidRDefault="00990C7F" w:rsidP="00D93256">
      <w:pPr>
        <w:pStyle w:val="STPR2BodyText"/>
      </w:pPr>
      <w:r>
        <w:t xml:space="preserve">In July 2021, the Scottish Government published Cleaner Air </w:t>
      </w:r>
      <w:r w:rsidR="00042200">
        <w:t>f</w:t>
      </w:r>
      <w:r>
        <w:t>or Scotland 2</w:t>
      </w:r>
      <w:r w:rsidR="00104F93">
        <w:t xml:space="preserve"> (Scottish Government, 2021</w:t>
      </w:r>
      <w:r w:rsidR="001B7102">
        <w:t>b</w:t>
      </w:r>
      <w:r w:rsidR="00104F93">
        <w:t>)</w:t>
      </w:r>
      <w:r>
        <w:t xml:space="preserve"> and an associated Delivery Plan. It sets out how the Scottish Government will deliver further air quality improvements over the next five years. This is considered necessary to secure the vision of Scotland having the best air quality in</w:t>
      </w:r>
      <w:r w:rsidR="005E379A">
        <w:t> </w:t>
      </w:r>
      <w:r>
        <w:t>Europe.</w:t>
      </w:r>
    </w:p>
    <w:p w14:paraId="5782F4D6" w14:textId="7BE34503" w:rsidR="00990C7F" w:rsidRDefault="00990C7F" w:rsidP="00D93256">
      <w:pPr>
        <w:pStyle w:val="STPR2BodyText"/>
      </w:pPr>
      <w:r>
        <w:t>The Delivery Plan is structured around ten Priorities, including Transport, which reflect the ten high-level themes from the review of Cleaner Air for Scotland completed in 2019. Specifically relating to Transport, the Plan notes “We support a modal shift to active travel and public transport. This will mean, amongst other objectives, providing a transport system that facilitates active travel choices, better public transport provision and constraints upon private vehicle use, especially in urban centres where pollution and congestion are most</w:t>
      </w:r>
      <w:r w:rsidR="00C50604">
        <w:t> </w:t>
      </w:r>
      <w:r>
        <w:t xml:space="preserve">acute.” </w:t>
      </w:r>
    </w:p>
    <w:p w14:paraId="054C5E6D" w14:textId="0D24439D" w:rsidR="00AB495F" w:rsidRDefault="00990C7F" w:rsidP="00D93256">
      <w:pPr>
        <w:pStyle w:val="STPR2BodyText"/>
      </w:pPr>
      <w:r>
        <w:lastRenderedPageBreak/>
        <w:t xml:space="preserve">The </w:t>
      </w:r>
      <w:r w:rsidR="00090727" w:rsidRPr="00090727">
        <w:t xml:space="preserve">Delivery </w:t>
      </w:r>
      <w:r>
        <w:t xml:space="preserve">Plan </w:t>
      </w:r>
      <w:r w:rsidR="00042200">
        <w:t>refers</w:t>
      </w:r>
      <w:r>
        <w:t xml:space="preserve"> to the Sustainable Investment Hierarchy and the role of </w:t>
      </w:r>
      <w:r w:rsidR="00982F25" w:rsidRPr="00982F25">
        <w:t xml:space="preserve">the </w:t>
      </w:r>
      <w:r>
        <w:t>STPR2 in contributing to a reduction in the need to travel unsustainably, making the most of existing transport strategic systems and supporting strategic investments in sustainable, smart and cleaner transport options, in accordance with Just Transition principles</w:t>
      </w:r>
      <w:r w:rsidR="00AB495F">
        <w:t xml:space="preserve"> (Scottish Government, 2021</w:t>
      </w:r>
      <w:r w:rsidR="001B7102">
        <w:t>c</w:t>
      </w:r>
      <w:r w:rsidR="00AB495F">
        <w:t>).</w:t>
      </w:r>
    </w:p>
    <w:p w14:paraId="717E8253" w14:textId="28885E35" w:rsidR="00B907E9" w:rsidRPr="00C70807" w:rsidRDefault="008C735B" w:rsidP="00D93256">
      <w:pPr>
        <w:pStyle w:val="STPR2BodyText"/>
      </w:pPr>
      <w:r>
        <w:t xml:space="preserve">The </w:t>
      </w:r>
      <w:r w:rsidR="00990C7F">
        <w:t xml:space="preserve">STPR2 will align with the Transport </w:t>
      </w:r>
      <w:r w:rsidR="005A1B26">
        <w:t>p</w:t>
      </w:r>
      <w:r w:rsidR="00990C7F">
        <w:t xml:space="preserve">riority of the Delivery Plan and will indirectly align with several other </w:t>
      </w:r>
      <w:r w:rsidR="005A1B26">
        <w:t>p</w:t>
      </w:r>
      <w:r w:rsidR="00990C7F">
        <w:t>riorities, including Integrated Policy, Placemaking and</w:t>
      </w:r>
      <w:r w:rsidR="00042200">
        <w:t xml:space="preserve"> </w:t>
      </w:r>
      <w:r w:rsidR="00990C7F">
        <w:t>Behaviour</w:t>
      </w:r>
      <w:r w:rsidR="005A1B26">
        <w:t>al</w:t>
      </w:r>
      <w:r w:rsidR="003871E5">
        <w:t> </w:t>
      </w:r>
      <w:r w:rsidR="00990C7F">
        <w:t>Change.</w:t>
      </w:r>
    </w:p>
    <w:p w14:paraId="42A856A2" w14:textId="4CA031C9" w:rsidR="00990C7F" w:rsidRPr="007E4923" w:rsidRDefault="00990C7F" w:rsidP="00D93256">
      <w:pPr>
        <w:pStyle w:val="STPR2ProofBoxNormal"/>
        <w:rPr>
          <w:rStyle w:val="STPR2Proofboxheading"/>
        </w:rPr>
      </w:pPr>
      <w:r w:rsidRPr="007E4923">
        <w:rPr>
          <w:rStyle w:val="STPR2Proofboxheading"/>
        </w:rPr>
        <w:t>Relevance for</w:t>
      </w:r>
      <w:r w:rsidR="008C735B">
        <w:rPr>
          <w:rStyle w:val="STPR2Proofboxheading"/>
        </w:rPr>
        <w:t xml:space="preserve"> the</w:t>
      </w:r>
      <w:r w:rsidRPr="007E4923">
        <w:rPr>
          <w:rStyle w:val="STPR2Proofboxheading"/>
        </w:rPr>
        <w:t xml:space="preserve"> </w:t>
      </w:r>
      <w:r w:rsidRPr="003C3E51">
        <w:rPr>
          <w:rStyle w:val="STPR2Proofboxheading"/>
        </w:rPr>
        <w:t>STPR2</w:t>
      </w:r>
      <w:r w:rsidRPr="007E4923">
        <w:rPr>
          <w:rStyle w:val="STPR2Proofboxheading"/>
        </w:rPr>
        <w:t xml:space="preserve"> </w:t>
      </w:r>
    </w:p>
    <w:p w14:paraId="37A7B856" w14:textId="77733F70" w:rsidR="002B4C23" w:rsidRDefault="00990C7F" w:rsidP="00D93256">
      <w:pPr>
        <w:pStyle w:val="STPR2ProofBoxNormal"/>
      </w:pPr>
      <w:r>
        <w:t xml:space="preserve">The Scottish Government has set ambitious targets for air quality improvements to secure the vision of Scotland having the best air quality in Scotland. Amongst other objectives, it supports </w:t>
      </w:r>
      <w:r w:rsidRPr="0055713E">
        <w:t>a transport system that facilitates active travel choices, better public transport provision and constraints upon private vehicle use, especially in urban centres where pollution and congestion are most acute</w:t>
      </w:r>
      <w:r>
        <w:t xml:space="preserve">. </w:t>
      </w:r>
      <w:r w:rsidR="008C735B">
        <w:t xml:space="preserve">The </w:t>
      </w:r>
      <w:r w:rsidRPr="000B6CF0">
        <w:t xml:space="preserve">STPR2 </w:t>
      </w:r>
      <w:r>
        <w:t>will</w:t>
      </w:r>
      <w:r w:rsidRPr="000B6CF0">
        <w:t xml:space="preserve"> </w:t>
      </w:r>
      <w:r>
        <w:t xml:space="preserve">have an important role to play in </w:t>
      </w:r>
      <w:r w:rsidRPr="000B6CF0">
        <w:t>contribut</w:t>
      </w:r>
      <w:r>
        <w:t>ing</w:t>
      </w:r>
      <w:r w:rsidRPr="000B6CF0">
        <w:t xml:space="preserve"> to a reduction in the need to travel unsustainably, making the most of existing </w:t>
      </w:r>
      <w:r w:rsidR="006A389B">
        <w:t xml:space="preserve">strategic </w:t>
      </w:r>
      <w:r w:rsidRPr="000B6CF0">
        <w:t>transport systems and supporting strategic investments in sustainable, smart and cleaner transport options</w:t>
      </w:r>
      <w:r>
        <w:t>.</w:t>
      </w:r>
      <w:bookmarkStart w:id="528" w:name="_Toc88654129"/>
    </w:p>
    <w:p w14:paraId="415B45FE" w14:textId="38578F16" w:rsidR="00990C7F" w:rsidRPr="0069632E" w:rsidRDefault="00990C7F" w:rsidP="003C3E51">
      <w:pPr>
        <w:pStyle w:val="Heading2"/>
      </w:pPr>
      <w:bookmarkStart w:id="529" w:name="_Toc121339107"/>
      <w:r w:rsidRPr="00721769">
        <w:t xml:space="preserve">National Planning </w:t>
      </w:r>
      <w:r w:rsidRPr="003C3E51">
        <w:t>Framework</w:t>
      </w:r>
      <w:r w:rsidRPr="00721769">
        <w:t xml:space="preserve"> 4</w:t>
      </w:r>
      <w:bookmarkEnd w:id="528"/>
      <w:bookmarkEnd w:id="529"/>
    </w:p>
    <w:p w14:paraId="6598EDA0" w14:textId="7DDB30C3" w:rsidR="00990C7F" w:rsidRDefault="00990C7F" w:rsidP="00D93256">
      <w:pPr>
        <w:pStyle w:val="STPR2BodyText"/>
      </w:pPr>
      <w:bookmarkStart w:id="530" w:name="_Hlk88734021"/>
      <w:r>
        <w:t>The Scottish Government’s Programme for Government highlights the significance of the National Planning Framework to put planning at the heart of delivering green, inclusive and long-term sustainable development in Scotland</w:t>
      </w:r>
      <w:r w:rsidR="0026684B">
        <w:t xml:space="preserve"> (Scottish Government, 202</w:t>
      </w:r>
      <w:r w:rsidR="00750C5F">
        <w:t>2</w:t>
      </w:r>
      <w:r w:rsidR="006F5C40">
        <w:t>d</w:t>
      </w:r>
      <w:r w:rsidR="0026684B">
        <w:t>)</w:t>
      </w:r>
      <w:r>
        <w:t xml:space="preserve">. </w:t>
      </w:r>
      <w:r w:rsidR="00F905E7" w:rsidRPr="00F905E7">
        <w:t>The National Planning Framework includes a long-term spatial strategy to 2045. This reflects the range of Scottish Government policies, including the Infrastructure Investment Plan (IIP) 2021-22 to 2025-26. It will guide spatial development, set out national planning policies, designate national developments and highlight regional spatial priorities.</w:t>
      </w:r>
    </w:p>
    <w:p w14:paraId="5EB036A1" w14:textId="41F3C21A" w:rsidR="00537485" w:rsidRDefault="005E01B1" w:rsidP="00D93256">
      <w:pPr>
        <w:pStyle w:val="STPR2BodyText"/>
      </w:pPr>
      <w:r w:rsidRPr="005E01B1">
        <w:t>On 08 November 2022, the Revised Draft NPF4 (Scottish Government, 2022b)</w:t>
      </w:r>
      <w:r>
        <w:t xml:space="preserve"> </w:t>
      </w:r>
      <w:r w:rsidRPr="005E01B1">
        <w:t>was laid in the Scottish Parliament. Once approved by the Scottish Parliament and adopted by the Scottish Ministers,</w:t>
      </w:r>
      <w:r w:rsidR="00045C70" w:rsidRPr="00045C70">
        <w:t xml:space="preserve"> the</w:t>
      </w:r>
      <w:r w:rsidRPr="005E01B1">
        <w:t xml:space="preserve"> NPF4 will become part of the statutory development plan and will directly influence planning decisions. The Revised Draft NPF4 sets out a need to “embrace and deliver radical change to tackle and adapt to climate change, restore biodiversity loss, improve health and wellbeing, build a wellbeing economy and create great places.” </w:t>
      </w:r>
      <w:r w:rsidR="00BE7AB5">
        <w:t xml:space="preserve">The </w:t>
      </w:r>
      <w:r w:rsidRPr="005E01B1">
        <w:t xml:space="preserve">NPF4 recognises the need to plan our places in a way that reduces the need to travel, especially by unsustainable modes, and promotes a shift to active and sustainable travel. </w:t>
      </w:r>
    </w:p>
    <w:p w14:paraId="257C8AEC" w14:textId="6E19E071" w:rsidR="00920434" w:rsidRDefault="00920434" w:rsidP="00D93256">
      <w:pPr>
        <w:pStyle w:val="STPR2BodyText"/>
      </w:pPr>
      <w:r>
        <w:t xml:space="preserve">The Revised Draft NPF4 embeds, for the first time, the NTS2 Sustainable Travel Hierarchy and Sustainable Investment Hierarchy into planning decision making and development planning. The Revised Draft NPF4 spatial strategy sets out a local living approach whereby future places, homes and neighbourhoods will be connected, liveable, thriving places with sustainable travel options and where car dominance is reduced. </w:t>
      </w:r>
    </w:p>
    <w:p w14:paraId="6E76AB52" w14:textId="3F6A438D" w:rsidR="00990C7F" w:rsidRPr="00C7731D" w:rsidRDefault="00920434" w:rsidP="00D93256">
      <w:pPr>
        <w:pStyle w:val="STPR2BodyText"/>
      </w:pPr>
      <w:r>
        <w:t xml:space="preserve">To meet many of the future needs of society it is crucial that services and facilities are easily and affordably accessed. Therefore, Revised Draft NPF4 advocates the infrastructure-first approach in planning for future development to provide communities with the opportunity to travel sustainably from the outset. </w:t>
      </w:r>
      <w:r w:rsidR="008C735B">
        <w:t xml:space="preserve">The </w:t>
      </w:r>
      <w:r>
        <w:t>STPR2, and the Islands Connectivity Plan (ICP), represent the national transport investment needed to support NPF4. In turn</w:t>
      </w:r>
      <w:r w:rsidR="00BE7AB5">
        <w:t>,</w:t>
      </w:r>
      <w:r>
        <w:t xml:space="preserve"> some Revised Draft NPF4 National Developments respond to </w:t>
      </w:r>
      <w:r w:rsidR="008C735B" w:rsidRPr="008C735B">
        <w:t xml:space="preserve">the </w:t>
      </w:r>
      <w:r>
        <w:t>STPR2 recommendations</w:t>
      </w:r>
      <w:r w:rsidR="00990C7F" w:rsidRPr="00C7731D">
        <w:t xml:space="preserve">. </w:t>
      </w:r>
    </w:p>
    <w:bookmarkEnd w:id="530"/>
    <w:p w14:paraId="204A8DF5" w14:textId="15BD7027" w:rsidR="00990C7F" w:rsidRPr="007E4923" w:rsidRDefault="00990C7F" w:rsidP="00D93256">
      <w:pPr>
        <w:pStyle w:val="STPR2ProofBoxNormal"/>
        <w:rPr>
          <w:rStyle w:val="STPR2Proofboxheading"/>
        </w:rPr>
      </w:pPr>
      <w:r w:rsidRPr="007E4923">
        <w:rPr>
          <w:rStyle w:val="STPR2Proofboxheading"/>
        </w:rPr>
        <w:lastRenderedPageBreak/>
        <w:t>Relevance for</w:t>
      </w:r>
      <w:r w:rsidR="00C53D87">
        <w:rPr>
          <w:rStyle w:val="STPR2Proofboxheading"/>
        </w:rPr>
        <w:t xml:space="preserve"> the</w:t>
      </w:r>
      <w:r w:rsidRPr="007E4923">
        <w:rPr>
          <w:rStyle w:val="STPR2Proofboxheading"/>
        </w:rPr>
        <w:t xml:space="preserve"> </w:t>
      </w:r>
      <w:r w:rsidRPr="003C3E51">
        <w:rPr>
          <w:rStyle w:val="STPR2Proofboxheading"/>
        </w:rPr>
        <w:t>STPR2</w:t>
      </w:r>
      <w:r w:rsidRPr="007E4923">
        <w:rPr>
          <w:rStyle w:val="STPR2Proofboxheading"/>
        </w:rPr>
        <w:t xml:space="preserve"> </w:t>
      </w:r>
    </w:p>
    <w:p w14:paraId="6734AFB1" w14:textId="61971676" w:rsidR="00990C7F" w:rsidRDefault="00BE7AB5" w:rsidP="00D93256">
      <w:pPr>
        <w:pStyle w:val="STPR2ProofBoxNormal"/>
      </w:pPr>
      <w:r>
        <w:t xml:space="preserve">The </w:t>
      </w:r>
      <w:r w:rsidR="0007670D" w:rsidRPr="0007670D">
        <w:t xml:space="preserve">Revised Draft NPF4 sets the context for developing a spatial strategy that is aligned with the Sustainable Travel Hierarchy and Sustainable Investment Hierarchy presented in </w:t>
      </w:r>
      <w:r w:rsidR="00BD6270">
        <w:t xml:space="preserve">the </w:t>
      </w:r>
      <w:r w:rsidR="0007670D" w:rsidRPr="0007670D">
        <w:t xml:space="preserve">NTS2. It recognises that a collaborative approach that aligns interests will play a central role in delivering the spatial strategy and acknowledges the important role of </w:t>
      </w:r>
      <w:r w:rsidR="00C53D87" w:rsidRPr="00C53D87">
        <w:t xml:space="preserve">the </w:t>
      </w:r>
      <w:r w:rsidR="0007670D" w:rsidRPr="0007670D">
        <w:t xml:space="preserve">STPR2 in generating national programmes and projects to deliver improved outcomes for our places. STPR2, and the ICP, represent the national transport investment needed to support </w:t>
      </w:r>
      <w:r w:rsidRPr="00BE7AB5">
        <w:t xml:space="preserve">the </w:t>
      </w:r>
      <w:r w:rsidR="0007670D" w:rsidRPr="0007670D">
        <w:t>NPF4. In turn some</w:t>
      </w:r>
      <w:r>
        <w:t xml:space="preserve"> of the</w:t>
      </w:r>
      <w:r w:rsidR="0007670D" w:rsidRPr="0007670D">
        <w:t xml:space="preserve"> Revised Draft NPF4 National Developments respond to </w:t>
      </w:r>
      <w:r w:rsidR="00C53D87" w:rsidRPr="00C53D87">
        <w:t xml:space="preserve">the </w:t>
      </w:r>
      <w:r w:rsidR="0007670D" w:rsidRPr="0007670D">
        <w:t>STPR2 recommendation</w:t>
      </w:r>
      <w:r w:rsidR="00990C7F" w:rsidRPr="00544BC5">
        <w:t xml:space="preserve">s. </w:t>
      </w:r>
    </w:p>
    <w:p w14:paraId="2E4D861F" w14:textId="42F90FC7" w:rsidR="00484669" w:rsidRDefault="00484669" w:rsidP="0033560A">
      <w:pPr>
        <w:pStyle w:val="Heading2"/>
      </w:pPr>
      <w:bookmarkStart w:id="531" w:name="_Toc121339108"/>
      <w:bookmarkStart w:id="532" w:name="_Toc88654130"/>
      <w:r>
        <w:t>Investment Considerations</w:t>
      </w:r>
      <w:bookmarkEnd w:id="531"/>
    </w:p>
    <w:p w14:paraId="0C41A4E8" w14:textId="595F482E" w:rsidR="00125E33" w:rsidRDefault="00125E33" w:rsidP="00484669">
      <w:pPr>
        <w:pStyle w:val="Heading3"/>
      </w:pPr>
      <w:bookmarkStart w:id="533" w:name="_Toc121339109"/>
      <w:r>
        <w:t>Programme for Government</w:t>
      </w:r>
      <w:bookmarkEnd w:id="533"/>
    </w:p>
    <w:p w14:paraId="193A3621" w14:textId="2FDE341E" w:rsidR="007D37E4" w:rsidRPr="007D37E4" w:rsidRDefault="007D37E4" w:rsidP="00D93256">
      <w:pPr>
        <w:pStyle w:val="STPR2BodyText"/>
      </w:pPr>
      <w:r w:rsidRPr="007D37E4">
        <w:t xml:space="preserve">The Scottish Government’s - Programme for Government </w:t>
      </w:r>
      <w:r w:rsidR="005F09C0">
        <w:t>(</w:t>
      </w:r>
      <w:r w:rsidR="005F09C0" w:rsidRPr="005F09C0">
        <w:t>Scottish Government</w:t>
      </w:r>
      <w:r w:rsidR="005F09C0">
        <w:t xml:space="preserve">, </w:t>
      </w:r>
      <w:r w:rsidR="005F09C0" w:rsidRPr="005F09C0">
        <w:t>202</w:t>
      </w:r>
      <w:r w:rsidR="00A34D6C">
        <w:t>2</w:t>
      </w:r>
      <w:r w:rsidR="005F09C0" w:rsidRPr="005F09C0">
        <w:t xml:space="preserve">d) </w:t>
      </w:r>
      <w:r w:rsidRPr="007D37E4">
        <w:t>is published every year at the beginning of September and sets out the actions that the Scottish Government will take in the coming year and beyond. It includes the legislative programme for the next parliamentary year to drive forward change across all levels of society.</w:t>
      </w:r>
    </w:p>
    <w:p w14:paraId="1AE4079F" w14:textId="4F69CEAC" w:rsidR="00125E33" w:rsidRPr="007D37E4" w:rsidRDefault="007D37E4" w:rsidP="00D93256">
      <w:pPr>
        <w:pStyle w:val="STPR2BodyText"/>
      </w:pPr>
      <w:r w:rsidRPr="007D37E4">
        <w:t xml:space="preserve">Transport features annually in the Programme for Government as it is a devolved matter and reflects the Government’s priorities in terms of policy development and transport investment priorities. Over the last six to seven years, strategic transport investment has been a particular feature of the priorities from transport given the Government’s wider aims around achieving Net Zero. </w:t>
      </w:r>
      <w:r w:rsidR="00C53D87">
        <w:t xml:space="preserve">The </w:t>
      </w:r>
      <w:r w:rsidRPr="007D37E4">
        <w:t>STPR2 has featured heavily within recurring Programme for Government documents including in the recent 2021-22 document. The “Cost of Living Crisis” that has emerged throughout 2022 and the Scottish Government response to this has seen a significantly shortened and more focussed Programme for Government for 2022-23</w:t>
      </w:r>
      <w:r w:rsidR="00543A52" w:rsidRPr="00543A52">
        <w:t xml:space="preserve"> </w:t>
      </w:r>
      <w:r w:rsidR="00543A52">
        <w:t>(</w:t>
      </w:r>
      <w:r w:rsidR="00543A52" w:rsidRPr="00543A52">
        <w:t>Scottish Government</w:t>
      </w:r>
      <w:r w:rsidR="00543A52">
        <w:t xml:space="preserve">, </w:t>
      </w:r>
      <w:r w:rsidR="00543A52" w:rsidRPr="00543A52">
        <w:t>2022d)</w:t>
      </w:r>
      <w:r w:rsidRPr="007D37E4">
        <w:t>. Whilst transport has featured in this most recent Programme for Government the focus has been on measures to support those using the transport network to get to work, travelling on business, shopping and going to education against the rising costs of travel. Therefore it should be noted that there are references within this report to different Programme for Government documents and this reflects the important links to other transport policy and strategy developments that have happened over the last few years.</w:t>
      </w:r>
    </w:p>
    <w:p w14:paraId="17C158CA" w14:textId="08ADBD3E" w:rsidR="00CA143F" w:rsidRDefault="00CA143F" w:rsidP="00484669">
      <w:pPr>
        <w:pStyle w:val="Heading3"/>
      </w:pPr>
      <w:bookmarkStart w:id="534" w:name="_Toc121339110"/>
      <w:r>
        <w:t xml:space="preserve">Bute House </w:t>
      </w:r>
      <w:r w:rsidRPr="003C3E51">
        <w:t>Agreement</w:t>
      </w:r>
      <w:bookmarkEnd w:id="534"/>
    </w:p>
    <w:p w14:paraId="39B1F0B9" w14:textId="67D3F2B4" w:rsidR="0056236D" w:rsidRDefault="0056236D" w:rsidP="00D93256">
      <w:pPr>
        <w:pStyle w:val="STPR2BodyText"/>
      </w:pPr>
      <w:r>
        <w:t xml:space="preserve">In August 2021, the Scottish Government and the Scottish Green Party Parliamentary Group agreed to work together over the next five years to build a green economic recovery from COVID-19, respond to the climate emergency and create a fairer country. A shared policy programme, known as The Bute House Agreement, details collaboration on the climate emergency, economic recovery, child poverty, the natural environment, energy and the constitution. It is recognised that bold action is needed to increase the pace of change and the scale of investment to support the priorities and outcomes set out in </w:t>
      </w:r>
      <w:r w:rsidR="00BD6270" w:rsidRPr="00BD6270">
        <w:t xml:space="preserve">the </w:t>
      </w:r>
      <w:r>
        <w:t>NTS2, including ambitious climate goals.</w:t>
      </w:r>
    </w:p>
    <w:p w14:paraId="7A6CBE19" w14:textId="33051354" w:rsidR="0056236D" w:rsidRDefault="0056236D" w:rsidP="00D93256">
      <w:pPr>
        <w:pStyle w:val="STPR2BodyText"/>
      </w:pPr>
      <w:r>
        <w:t xml:space="preserve">In terms of </w:t>
      </w:r>
      <w:r w:rsidR="000D63D7">
        <w:t>t</w:t>
      </w:r>
      <w:r>
        <w:t xml:space="preserve">ransport, it is agreed that in the face of the climate emergency there is a need to shift away from </w:t>
      </w:r>
      <w:r w:rsidR="00782003">
        <w:t xml:space="preserve">investing in </w:t>
      </w:r>
      <w:r>
        <w:t xml:space="preserve">new road projects that encourage more people to drive, and instead focus </w:t>
      </w:r>
      <w:r w:rsidR="00D87386">
        <w:t>spending</w:t>
      </w:r>
      <w:r>
        <w:t xml:space="preserve"> and effort on maintaining roads, improving safety and providing a realistic and affordable alternative through investing in public transport and active travel.</w:t>
      </w:r>
    </w:p>
    <w:p w14:paraId="15064084" w14:textId="08C04C2E" w:rsidR="0056236D" w:rsidRDefault="0056236D" w:rsidP="00D93256">
      <w:pPr>
        <w:pStyle w:val="STPR2BodyText"/>
      </w:pPr>
      <w:r>
        <w:lastRenderedPageBreak/>
        <w:t xml:space="preserve">The </w:t>
      </w:r>
      <w:r w:rsidR="006917DF">
        <w:t>A</w:t>
      </w:r>
      <w:r>
        <w:t xml:space="preserve">greement sets out a number of commitments which will complement </w:t>
      </w:r>
      <w:r w:rsidR="00C53D87" w:rsidRPr="00C53D87">
        <w:t xml:space="preserve">the </w:t>
      </w:r>
      <w:r>
        <w:t>STPR2, including</w:t>
      </w:r>
      <w:r w:rsidR="00C50604">
        <w:t> </w:t>
      </w:r>
      <w:r>
        <w:t>to:</w:t>
      </w:r>
    </w:p>
    <w:p w14:paraId="2BE5BD74" w14:textId="1C84B5BE" w:rsidR="0056236D" w:rsidRPr="000D04C7" w:rsidRDefault="0056236D" w:rsidP="00D93256">
      <w:pPr>
        <w:pStyle w:val="STPR2BulletsLevel1"/>
        <w:rPr>
          <w:szCs w:val="24"/>
        </w:rPr>
      </w:pPr>
      <w:r w:rsidRPr="000D04C7">
        <w:t>align transport policy with climate targets and the goal of reducing car</w:t>
      </w:r>
      <w:r w:rsidR="007D460D">
        <w:t xml:space="preserve"> kilometres</w:t>
      </w:r>
      <w:r w:rsidRPr="000D04C7">
        <w:t xml:space="preserve"> by 20</w:t>
      </w:r>
      <w:r w:rsidR="007B025A">
        <w:t xml:space="preserve"> per cent</w:t>
      </w:r>
      <w:r w:rsidRPr="000D04C7">
        <w:t xml:space="preserve"> by</w:t>
      </w:r>
      <w:r w:rsidR="009F4DBF">
        <w:t> </w:t>
      </w:r>
      <w:r w:rsidRPr="000D04C7">
        <w:t>2030</w:t>
      </w:r>
      <w:r w:rsidR="00675609">
        <w:t>;</w:t>
      </w:r>
      <w:r w:rsidRPr="000D04C7">
        <w:t xml:space="preserve"> </w:t>
      </w:r>
    </w:p>
    <w:p w14:paraId="27A1D925" w14:textId="017B1621" w:rsidR="0056236D" w:rsidRPr="000D04C7" w:rsidRDefault="0056236D" w:rsidP="00D93256">
      <w:pPr>
        <w:pStyle w:val="STPR2BulletsLevel1"/>
      </w:pPr>
      <w:r w:rsidRPr="000D04C7">
        <w:t xml:space="preserve">increase the proportion of Transport Scotland’s budget spent on </w:t>
      </w:r>
      <w:r w:rsidR="003B6359">
        <w:t>a</w:t>
      </w:r>
      <w:r w:rsidRPr="000D04C7">
        <w:t xml:space="preserve">ctive </w:t>
      </w:r>
      <w:r w:rsidR="003B6359">
        <w:t>t</w:t>
      </w:r>
      <w:r w:rsidRPr="000D04C7">
        <w:t>ravel initiatives so that by 2024-25 at least £320</w:t>
      </w:r>
      <w:r w:rsidR="003B6359">
        <w:t xml:space="preserve"> </w:t>
      </w:r>
      <w:r w:rsidRPr="000D04C7">
        <w:t>m</w:t>
      </w:r>
      <w:r w:rsidR="003B6359">
        <w:t>illion</w:t>
      </w:r>
      <w:r w:rsidRPr="000D04C7">
        <w:t xml:space="preserve"> or 10</w:t>
      </w:r>
      <w:r w:rsidR="003B6359">
        <w:t xml:space="preserve"> per cent</w:t>
      </w:r>
      <w:r w:rsidRPr="000D04C7">
        <w:t xml:space="preserve"> of the total transport budget will be allocated to active travel</w:t>
      </w:r>
      <w:r w:rsidR="00675609">
        <w:t>;</w:t>
      </w:r>
    </w:p>
    <w:p w14:paraId="13E4BCAA" w14:textId="0D8443F8" w:rsidR="00675609" w:rsidRPr="00675609" w:rsidRDefault="0056236D" w:rsidP="00D93256">
      <w:pPr>
        <w:pStyle w:val="STPR2BulletsLevel1"/>
        <w:rPr>
          <w:szCs w:val="24"/>
        </w:rPr>
      </w:pPr>
      <w:r w:rsidRPr="000D04C7">
        <w:t>during this parliamentary session, invest over £5 billion in maintaining, improving an</w:t>
      </w:r>
      <w:r w:rsidRPr="000D04C7">
        <w:rPr>
          <w:szCs w:val="24"/>
        </w:rPr>
        <w:t>d decarbonising Scotland’s rail network</w:t>
      </w:r>
      <w:r w:rsidR="00675609">
        <w:rPr>
          <w:szCs w:val="24"/>
        </w:rPr>
        <w:t>;</w:t>
      </w:r>
    </w:p>
    <w:p w14:paraId="28CE4A3A" w14:textId="212FC44B" w:rsidR="0056236D" w:rsidRPr="000D04C7" w:rsidRDefault="0056236D" w:rsidP="00D93256">
      <w:pPr>
        <w:pStyle w:val="STPR2BulletsLevel1"/>
      </w:pPr>
      <w:r w:rsidRPr="002360F8">
        <w:t>commission a Fair Fares Review to ensure a sustainable and integrated ap</w:t>
      </w:r>
      <w:r w:rsidRPr="000D04C7">
        <w:t>proach to public transport fares. This will look at the range of discounts and concessionary schemes which are available on all modes including bus, rail and ferry. The review will consider options against a background where the costs of car travel are declining and public transport costs are increasing, exacerbating the impact on those living in</w:t>
      </w:r>
      <w:r w:rsidR="0037725B">
        <w:t> </w:t>
      </w:r>
      <w:r w:rsidRPr="000D04C7">
        <w:t>poverty</w:t>
      </w:r>
      <w:r w:rsidR="00675609">
        <w:t>;</w:t>
      </w:r>
    </w:p>
    <w:p w14:paraId="0D024C78" w14:textId="2CC401CF" w:rsidR="0056236D" w:rsidRPr="000D04C7" w:rsidRDefault="0056236D" w:rsidP="00D93256">
      <w:pPr>
        <w:pStyle w:val="STPR2BulletsLevel1"/>
      </w:pPr>
      <w:r w:rsidRPr="002360F8">
        <w:t>progress the on-going review of transport</w:t>
      </w:r>
      <w:r w:rsidRPr="000D04C7">
        <w:t xml:space="preserve"> governance in Scotland to ensure it is fully aligned with the climate and traffic reduction targets, and to ensure that the national and local capacity is in place to deliver active travel goals.</w:t>
      </w:r>
    </w:p>
    <w:p w14:paraId="20E1FA29" w14:textId="19F21019" w:rsidR="0056236D" w:rsidRDefault="0056236D" w:rsidP="00D93256">
      <w:pPr>
        <w:pStyle w:val="STPR2BodyText"/>
      </w:pPr>
      <w:r>
        <w:t>It is also agreed that new roads projects will normally only be taken forward where they reduce the maintenance backlog; address road safety concerns</w:t>
      </w:r>
      <w:r w:rsidR="00BB52FB">
        <w:t>;</w:t>
      </w:r>
      <w:r>
        <w:t xml:space="preserve"> adapt the network to deal with the impacts of climate change</w:t>
      </w:r>
      <w:r w:rsidR="00E44814">
        <w:t>;</w:t>
      </w:r>
      <w:r>
        <w:t xml:space="preserve"> or benefit communities such as bypassing settlements. Furthermore, it is agreed that road infrastructure will not be built to cater for forecast unconstrained increases in traffic volumes.</w:t>
      </w:r>
    </w:p>
    <w:p w14:paraId="7A5622E1" w14:textId="77C9F4AE" w:rsidR="00C051DC" w:rsidRDefault="0056236D" w:rsidP="00D93256">
      <w:pPr>
        <w:pStyle w:val="STPR2BodyText"/>
      </w:pPr>
      <w:r>
        <w:t xml:space="preserve">The shared policy programme acknowledges the role of </w:t>
      </w:r>
      <w:r w:rsidR="00C53D87" w:rsidRPr="00C53D87">
        <w:t xml:space="preserve">the </w:t>
      </w:r>
      <w:r>
        <w:t>STPR2 to direct future transport infrastructure investment.</w:t>
      </w:r>
    </w:p>
    <w:p w14:paraId="5DD3E19B" w14:textId="77777777" w:rsidR="00C051DC" w:rsidRDefault="00C051DC">
      <w:pPr>
        <w:rPr>
          <w:rFonts w:ascii="Arial" w:hAnsi="Arial" w:cs="Arial"/>
          <w:color w:val="000000"/>
          <w:sz w:val="24"/>
        </w:rPr>
      </w:pPr>
      <w:r>
        <w:br w:type="page"/>
      </w:r>
    </w:p>
    <w:p w14:paraId="165761CE" w14:textId="77777777" w:rsidR="00F81A35" w:rsidRPr="00F81A35" w:rsidRDefault="00F81A35" w:rsidP="00D93256">
      <w:pPr>
        <w:pStyle w:val="STPR2BodyText"/>
      </w:pPr>
    </w:p>
    <w:p w14:paraId="5585068D" w14:textId="553A5EA5" w:rsidR="00F81A35" w:rsidRPr="000D04C7" w:rsidRDefault="00F81A35" w:rsidP="009F4DBF">
      <w:pPr>
        <w:keepNext/>
        <w:keepLines/>
        <w:widowControl w:val="0"/>
        <w:pBdr>
          <w:top w:val="single" w:sz="18" w:space="4" w:color="4472C4" w:themeColor="accent5"/>
          <w:left w:val="single" w:sz="18" w:space="4" w:color="4472C4" w:themeColor="accent5"/>
          <w:bottom w:val="single" w:sz="18" w:space="4" w:color="4472C4" w:themeColor="accent5"/>
          <w:right w:val="single" w:sz="18" w:space="4" w:color="4472C4" w:themeColor="accent5"/>
        </w:pBdr>
        <w:suppressAutoHyphens/>
        <w:autoSpaceDE w:val="0"/>
        <w:autoSpaceDN w:val="0"/>
        <w:adjustRightInd w:val="0"/>
        <w:spacing w:before="240" w:after="240" w:line="240" w:lineRule="auto"/>
        <w:textAlignment w:val="center"/>
        <w:rPr>
          <w:rFonts w:ascii="Arial" w:hAnsi="Arial" w:cs="Arial"/>
          <w:b/>
          <w:color w:val="0070C0"/>
          <w:sz w:val="24"/>
        </w:rPr>
      </w:pPr>
      <w:r w:rsidRPr="000D04C7">
        <w:rPr>
          <w:rFonts w:ascii="Arial" w:hAnsi="Arial" w:cs="Arial"/>
          <w:b/>
          <w:color w:val="0070C0"/>
          <w:sz w:val="24"/>
        </w:rPr>
        <w:t xml:space="preserve">Relevance for </w:t>
      </w:r>
      <w:r w:rsidR="00C53D87">
        <w:rPr>
          <w:rFonts w:ascii="Arial" w:hAnsi="Arial" w:cs="Arial"/>
          <w:b/>
          <w:color w:val="0070C0"/>
          <w:sz w:val="24"/>
        </w:rPr>
        <w:t xml:space="preserve">the </w:t>
      </w:r>
      <w:r w:rsidRPr="000D04C7">
        <w:rPr>
          <w:rFonts w:ascii="Arial" w:hAnsi="Arial" w:cs="Arial"/>
          <w:b/>
          <w:color w:val="0070C0"/>
          <w:sz w:val="24"/>
        </w:rPr>
        <w:t xml:space="preserve">STPR2 </w:t>
      </w:r>
    </w:p>
    <w:p w14:paraId="6B592FF4" w14:textId="0D6F8B07" w:rsidR="00F81A35" w:rsidRPr="00806A31" w:rsidRDefault="00F81A35" w:rsidP="00D93256">
      <w:pPr>
        <w:pStyle w:val="STPR2ProofBoxNormal"/>
      </w:pPr>
      <w:r w:rsidRPr="00806A31">
        <w:t xml:space="preserve">The shared draft policy programme acknowledges the role of </w:t>
      </w:r>
      <w:r w:rsidR="00C53D87" w:rsidRPr="00C53D87">
        <w:t xml:space="preserve">the </w:t>
      </w:r>
      <w:r w:rsidRPr="00806A31">
        <w:t xml:space="preserve">STPR2 to direct future transport infrastructure investment. It is agreed that in the face of the climate emergency there is a need to shift away from new road projects that encourage more people to drive, and instead focus money and effort on maintaining roads, improving safety and providing a realistic and affordable alternative through investing in public transport and active travel. </w:t>
      </w:r>
    </w:p>
    <w:p w14:paraId="57919096" w14:textId="3EEABEF1" w:rsidR="00F81A35" w:rsidRPr="00806A31" w:rsidRDefault="00F81A35" w:rsidP="00D93256">
      <w:pPr>
        <w:pStyle w:val="STPR2ProofBoxNormal"/>
      </w:pPr>
      <w:r w:rsidRPr="00806A31">
        <w:t xml:space="preserve">The </w:t>
      </w:r>
      <w:r w:rsidR="00091AAD">
        <w:t>A</w:t>
      </w:r>
      <w:r w:rsidRPr="00806A31">
        <w:t xml:space="preserve">greement sets out a number of commitments which will complement </w:t>
      </w:r>
      <w:r w:rsidR="00C53D87" w:rsidRPr="00C53D87">
        <w:t xml:space="preserve">the </w:t>
      </w:r>
      <w:r w:rsidRPr="00806A31">
        <w:t>STPR2, including to reduce car</w:t>
      </w:r>
      <w:r w:rsidR="00501E4E">
        <w:t xml:space="preserve"> </w:t>
      </w:r>
      <w:r w:rsidRPr="00806A31">
        <w:t>km by 20</w:t>
      </w:r>
      <w:r w:rsidR="000C4AAE">
        <w:t xml:space="preserve"> per cent</w:t>
      </w:r>
      <w:r w:rsidRPr="00806A31">
        <w:t xml:space="preserve"> by 2030; increase the proportion of Transport Scotland’s budget spent on </w:t>
      </w:r>
      <w:r w:rsidR="000C4AAE">
        <w:t>a</w:t>
      </w:r>
      <w:r w:rsidRPr="00806A31">
        <w:t xml:space="preserve">ctive </w:t>
      </w:r>
      <w:r w:rsidR="000C4AAE">
        <w:t>t</w:t>
      </w:r>
      <w:r w:rsidRPr="00806A31">
        <w:t xml:space="preserve">ravel initiatives; invest in the maintenance, improvement and decarbonisation of Scotland’s rail network; commission a Fair Fares Review; and progress the on-going review of transport governance in Scotland. </w:t>
      </w:r>
    </w:p>
    <w:p w14:paraId="0664A888" w14:textId="07D6FAD6" w:rsidR="00F81A35" w:rsidRPr="00806A31" w:rsidRDefault="00F81A35" w:rsidP="00D93256">
      <w:pPr>
        <w:pStyle w:val="STPR2ProofBoxNormal"/>
      </w:pPr>
      <w:r w:rsidRPr="00806A31">
        <w:t>New roads projects will normally only be taken forward where they reduce the maintenance backlog; address road safety concerns</w:t>
      </w:r>
      <w:r w:rsidR="00B67CCB">
        <w:t>;</w:t>
      </w:r>
      <w:r w:rsidRPr="00806A31">
        <w:t xml:space="preserve"> adapt the network to deal with the impacts of climate change</w:t>
      </w:r>
      <w:r w:rsidR="00B67CCB">
        <w:t>;</w:t>
      </w:r>
      <w:r w:rsidRPr="00806A31">
        <w:t xml:space="preserve"> or benefit communities such as bypassing settlements. Furthermore, it is agreed that road infrastructure will not be built to cater for forecast unconstrained increases in traffic volumes.</w:t>
      </w:r>
    </w:p>
    <w:p w14:paraId="016B6FA5" w14:textId="77777777" w:rsidR="00484669" w:rsidRPr="00E645D5" w:rsidRDefault="00484669" w:rsidP="00484669">
      <w:pPr>
        <w:pStyle w:val="Heading3"/>
      </w:pPr>
      <w:bookmarkStart w:id="535" w:name="_Toc56677533"/>
      <w:bookmarkStart w:id="536" w:name="_Toc63173687"/>
      <w:bookmarkStart w:id="537" w:name="_Toc88654131"/>
      <w:bookmarkStart w:id="538" w:name="_Toc121339111"/>
      <w:r>
        <w:t xml:space="preserve">Infrastructure Investment </w:t>
      </w:r>
      <w:r w:rsidRPr="003C3E51">
        <w:t>Plan</w:t>
      </w:r>
      <w:bookmarkEnd w:id="535"/>
      <w:r>
        <w:t xml:space="preserve"> for Scotland</w:t>
      </w:r>
      <w:bookmarkEnd w:id="536"/>
      <w:bookmarkEnd w:id="537"/>
      <w:bookmarkEnd w:id="538"/>
    </w:p>
    <w:p w14:paraId="3C01B365" w14:textId="6E96BA3A" w:rsidR="00AE113D" w:rsidRDefault="00AE113D" w:rsidP="00D93256">
      <w:pPr>
        <w:pStyle w:val="STPR2BodyText"/>
      </w:pPr>
      <w:r>
        <w:t>The Infrastructure Investment Plan 2021-22 to 2025-26, published on 4 February 2021,</w:t>
      </w:r>
      <w:r w:rsidR="006D3155">
        <w:t xml:space="preserve"> </w:t>
      </w:r>
      <w:r>
        <w:t>focuses on three core strategic themes for guiding investment decisions in Scotland:</w:t>
      </w:r>
    </w:p>
    <w:p w14:paraId="284BF31F" w14:textId="1B5E2BE7" w:rsidR="00AE113D" w:rsidRDefault="00F86B16" w:rsidP="00D93256">
      <w:pPr>
        <w:pStyle w:val="STPR2BulletsLevel1"/>
      </w:pPr>
      <w:r>
        <w:t>E</w:t>
      </w:r>
      <w:r w:rsidR="00AE113D">
        <w:t>nabling the transition to net zero emissions and environmental sustainability;</w:t>
      </w:r>
    </w:p>
    <w:p w14:paraId="04BAC668" w14:textId="18B0A7FD" w:rsidR="00AE113D" w:rsidRDefault="00F86B16" w:rsidP="00D93256">
      <w:pPr>
        <w:pStyle w:val="STPR2BulletsLevel1"/>
      </w:pPr>
      <w:r>
        <w:t>D</w:t>
      </w:r>
      <w:r w:rsidR="00AE113D">
        <w:t>riving inclusive economic growth;</w:t>
      </w:r>
    </w:p>
    <w:p w14:paraId="3C92C8D8" w14:textId="634256D5" w:rsidR="006D3155" w:rsidRDefault="00F86B16" w:rsidP="00D93256">
      <w:pPr>
        <w:pStyle w:val="STPR2BulletsLevel1"/>
      </w:pPr>
      <w:r>
        <w:t>B</w:t>
      </w:r>
      <w:r w:rsidR="00AE113D">
        <w:t>uilding resilient and sustainable places.</w:t>
      </w:r>
    </w:p>
    <w:p w14:paraId="793AF0D9" w14:textId="2A75F5ED" w:rsidR="00AE113D" w:rsidRDefault="00AE113D" w:rsidP="00D93256">
      <w:pPr>
        <w:pStyle w:val="STPR2BodyText"/>
      </w:pPr>
      <w:r>
        <w:t xml:space="preserve">The IIP also introduces the Common Investment Hierarchy, which is aligned to Transport Scotland’s Sustainable Investment Hierarchy. This thereby provides overall alignment between the outcomes of </w:t>
      </w:r>
      <w:r w:rsidR="00C53D87" w:rsidRPr="00C53D87">
        <w:t xml:space="preserve">the </w:t>
      </w:r>
      <w:r>
        <w:t>STPR2 and the Scottish Government’s investment priorities.</w:t>
      </w:r>
    </w:p>
    <w:p w14:paraId="324A7ACD" w14:textId="2B0C0CFC" w:rsidR="00484669" w:rsidRPr="00806A31" w:rsidRDefault="00AE113D" w:rsidP="00D93256">
      <w:pPr>
        <w:pStyle w:val="STPR2BodyText"/>
      </w:pPr>
      <w:r>
        <w:t xml:space="preserve">The investment in infrastructure is targeted to maximise wider economic benefits and the delivery of the National Outcomes. The investment is often made by the Scottish Government or in partnership with Local Government. Where possible, however, the Scottish Government looks to create opportunities and the right conditions to leverage additional private sector investment across Scotland. </w:t>
      </w:r>
    </w:p>
    <w:p w14:paraId="6E55D819" w14:textId="0B191641" w:rsidR="00484669" w:rsidRPr="007E4923" w:rsidRDefault="00484669" w:rsidP="00D93256">
      <w:pPr>
        <w:pStyle w:val="STPR2ProofBoxNormal"/>
        <w:rPr>
          <w:rStyle w:val="STPR2Proofboxheading"/>
        </w:rPr>
      </w:pPr>
      <w:r w:rsidRPr="007E4923">
        <w:rPr>
          <w:rStyle w:val="STPR2Proofboxheading"/>
        </w:rPr>
        <w:t xml:space="preserve">Relevance for </w:t>
      </w:r>
      <w:r w:rsidR="00C53D87">
        <w:rPr>
          <w:rStyle w:val="STPR2Proofboxheading"/>
        </w:rPr>
        <w:t xml:space="preserve">the </w:t>
      </w:r>
      <w:r w:rsidRPr="003C3E51">
        <w:rPr>
          <w:rStyle w:val="STPR2Proofboxheading"/>
        </w:rPr>
        <w:t>STPR2</w:t>
      </w:r>
      <w:r w:rsidRPr="007E4923">
        <w:rPr>
          <w:rStyle w:val="STPR2Proofboxheading"/>
        </w:rPr>
        <w:t xml:space="preserve"> </w:t>
      </w:r>
    </w:p>
    <w:p w14:paraId="6E5017D0" w14:textId="7E1F4D51" w:rsidR="00484669" w:rsidRPr="00444058" w:rsidRDefault="00484669" w:rsidP="00D93256">
      <w:pPr>
        <w:pStyle w:val="STPR2ProofBoxNormal"/>
      </w:pPr>
      <w:r w:rsidRPr="00444058">
        <w:t xml:space="preserve">The </w:t>
      </w:r>
      <w:r>
        <w:t>IIP</w:t>
      </w:r>
      <w:r w:rsidRPr="00444058">
        <w:t xml:space="preserve"> provides additional detail on expenditure in the next few years to support the commitments made within the Programme for Government and sets the context of future investment in transport to deliver an effective response to the COVID-19 pandemic. The themes have a good strategic fit with the STPR2 objectives. The </w:t>
      </w:r>
      <w:r>
        <w:t>II</w:t>
      </w:r>
      <w:r w:rsidRPr="00444058">
        <w:t xml:space="preserve">P recognises the need to invest in the areas of the transport sector being considered through </w:t>
      </w:r>
      <w:r w:rsidR="00C53D87">
        <w:t xml:space="preserve">the </w:t>
      </w:r>
      <w:r w:rsidRPr="00444058">
        <w:t>STPR2</w:t>
      </w:r>
      <w:r>
        <w:t xml:space="preserve">, including both </w:t>
      </w:r>
      <w:r w:rsidRPr="00822583">
        <w:t xml:space="preserve">an effective response to COVID-19 </w:t>
      </w:r>
      <w:r>
        <w:t>and</w:t>
      </w:r>
      <w:r w:rsidRPr="00822583">
        <w:t xml:space="preserve"> the key longer-term trends of climate change, technological developments and demographic change</w:t>
      </w:r>
      <w:r w:rsidRPr="00444058">
        <w:t>.</w:t>
      </w:r>
    </w:p>
    <w:p w14:paraId="11AE7396" w14:textId="77777777" w:rsidR="00484669" w:rsidRPr="003C3E51" w:rsidRDefault="00484669" w:rsidP="00484669">
      <w:pPr>
        <w:pStyle w:val="Heading3"/>
      </w:pPr>
      <w:bookmarkStart w:id="539" w:name="_Toc63173688"/>
      <w:bookmarkStart w:id="540" w:name="_Toc88654132"/>
      <w:bookmarkStart w:id="541" w:name="_Toc121339112"/>
      <w:r w:rsidRPr="003C3E51">
        <w:t>Capital Spending Review</w:t>
      </w:r>
      <w:bookmarkEnd w:id="539"/>
      <w:bookmarkEnd w:id="540"/>
      <w:bookmarkEnd w:id="541"/>
      <w:r w:rsidRPr="003C3E51">
        <w:t xml:space="preserve"> </w:t>
      </w:r>
    </w:p>
    <w:p w14:paraId="751145F8" w14:textId="1B858D0F" w:rsidR="00403D7B" w:rsidRDefault="00403D7B" w:rsidP="00D93256">
      <w:pPr>
        <w:pStyle w:val="STPR2BodyText"/>
      </w:pPr>
      <w:r>
        <w:t xml:space="preserve">In February 2021, the Scottish Government published a five-year Capital Spending Review </w:t>
      </w:r>
      <w:r>
        <w:lastRenderedPageBreak/>
        <w:t>(CSR) alongside the IIP, with the aim of providing a strong and coherent framework for directing future commitments and giving confidence and certainty to sectors across Scotland.</w:t>
      </w:r>
    </w:p>
    <w:p w14:paraId="32B636CD" w14:textId="78CEECD9" w:rsidR="00403D7B" w:rsidRDefault="00403D7B" w:rsidP="00D93256">
      <w:pPr>
        <w:pStyle w:val="STPR2BodyText"/>
      </w:pPr>
      <w:r>
        <w:t xml:space="preserve">Since publication, there have been changes in three key factors which have a bearing on the Scottish Government’s infrastructure investment pipeline of projects and programmes – including changes in funding allocations, market conditions and fresh commitments outlined in the 2021 Programme for Government </w:t>
      </w:r>
      <w:r w:rsidR="009F7AB9">
        <w:t>(Scottish Government, 2021</w:t>
      </w:r>
      <w:r w:rsidR="00270A79">
        <w:t>d</w:t>
      </w:r>
      <w:r w:rsidR="009F7AB9">
        <w:t xml:space="preserve">) </w:t>
      </w:r>
      <w:r>
        <w:t>and the Bute House Agreement. Consequently, a Targeted Review of the CSR was published in May 2022. The three core strategic themes for guiding investment decisions in Scotland</w:t>
      </w:r>
      <w:r w:rsidR="00B01E22">
        <w:t xml:space="preserve"> are as follows:</w:t>
      </w:r>
    </w:p>
    <w:p w14:paraId="3E3B4809" w14:textId="4F351845" w:rsidR="00B01E22" w:rsidRDefault="00B01E22" w:rsidP="00D93256">
      <w:pPr>
        <w:pStyle w:val="STPR2BulletsLevel1"/>
      </w:pPr>
      <w:r>
        <w:t>Enabling the transition to net zero emissions and environmental sustainability</w:t>
      </w:r>
    </w:p>
    <w:p w14:paraId="2E212998" w14:textId="58FD7536" w:rsidR="00B01E22" w:rsidRDefault="00B01E22" w:rsidP="00D93256">
      <w:pPr>
        <w:pStyle w:val="STPR2BulletsLevel1"/>
      </w:pPr>
      <w:r>
        <w:t>Building resilient and sustainable places</w:t>
      </w:r>
    </w:p>
    <w:p w14:paraId="5A799ACA" w14:textId="64A7A87C" w:rsidR="00B01E22" w:rsidRDefault="009B3BDD" w:rsidP="00D93256">
      <w:pPr>
        <w:pStyle w:val="STPR2BulletsLevel1"/>
      </w:pPr>
      <w:r>
        <w:t>Driving inclusive economic growth</w:t>
      </w:r>
    </w:p>
    <w:p w14:paraId="13612C1E" w14:textId="20863C94" w:rsidR="00403D7B" w:rsidRDefault="00403D7B" w:rsidP="00D93256">
      <w:pPr>
        <w:pStyle w:val="STPR2BodyText"/>
      </w:pPr>
      <w:r>
        <w:t xml:space="preserve">The Targeted Review of the CSR, alongside the IIP, demonstrates how the Scottish Government will deliver the National Infrastructure Mission commitment to boost economic growth by increasing annual investment in infrastructure by </w:t>
      </w:r>
      <w:r w:rsidR="005D4A00">
        <w:t>one</w:t>
      </w:r>
      <w:r>
        <w:t xml:space="preserve"> per cent of 2017 Scottish Gross Domestic Product (GDP) by 2025-26. The economic rationale for the National Infrastructure Mission is founded on the important role that infrastructure investment plays in improving the productive capacity of the economy and delivering long-term economic benefits.</w:t>
      </w:r>
    </w:p>
    <w:p w14:paraId="440E0DD8" w14:textId="5C4D649D" w:rsidR="00484669" w:rsidRDefault="00403D7B" w:rsidP="00D93256">
      <w:pPr>
        <w:pStyle w:val="STPR2BodyText"/>
      </w:pPr>
      <w:r>
        <w:t>At the time of writing, Scotland is facing a severe economic upheaval, already impacting people, businesses, public services and the third sector. The 2022-23 Programme for Government, published in September 2022</w:t>
      </w:r>
      <w:r w:rsidR="009F7AB9" w:rsidRPr="009F7AB9">
        <w:t xml:space="preserve"> </w:t>
      </w:r>
      <w:r w:rsidR="009F7AB9">
        <w:t>(</w:t>
      </w:r>
      <w:r w:rsidR="009F7AB9" w:rsidRPr="009F7AB9">
        <w:t>Scottish Government</w:t>
      </w:r>
      <w:r w:rsidR="009F7AB9">
        <w:t xml:space="preserve">, </w:t>
      </w:r>
      <w:r w:rsidR="009F7AB9" w:rsidRPr="009F7AB9">
        <w:t>2022d)</w:t>
      </w:r>
      <w:r>
        <w:t>, sets out the immediate response to the cost crisis, as well as outlining its ambition to create a better future in the longer-term. In August 2022, the Scottish Government committed to undertaking an Emergency Budget Review (EBR) to supplement normal budget processes and determine any and all opportunities to direct additional resources to support those most in need, as well as ensuring existing resources are allocated as effectively as possible in light of changing circumstances. The EBR primarily examined the scope for change within the current 2022-23 budget, alongside an assessment of the context that will inform the forthcoming Scottish Budget 2023-24. The process has considered all devolved budgets, including capital investment in infrastructure, and determined where savings can be made. The EBR was published in November 2022 and the Scottish Budget 2023-24 is expected to be published in December 2022</w:t>
      </w:r>
      <w:r w:rsidR="00484669">
        <w:t>.</w:t>
      </w:r>
    </w:p>
    <w:p w14:paraId="6A35EC96" w14:textId="6EFB570F" w:rsidR="00484669" w:rsidRPr="007E4923" w:rsidRDefault="00484669" w:rsidP="00D93256">
      <w:pPr>
        <w:pStyle w:val="STPR2ProofBoxNormal"/>
        <w:rPr>
          <w:rStyle w:val="STPR2Proofboxheading"/>
        </w:rPr>
      </w:pPr>
      <w:r w:rsidRPr="007E4923">
        <w:rPr>
          <w:rStyle w:val="STPR2Proofboxheading"/>
        </w:rPr>
        <w:t xml:space="preserve">Relevance for </w:t>
      </w:r>
      <w:r w:rsidR="00C53D87">
        <w:rPr>
          <w:rStyle w:val="STPR2Proofboxheading"/>
        </w:rPr>
        <w:t xml:space="preserve">the </w:t>
      </w:r>
      <w:r w:rsidRPr="007E4923">
        <w:rPr>
          <w:rStyle w:val="STPR2Proofboxheading"/>
        </w:rPr>
        <w:t xml:space="preserve">STPR2 </w:t>
      </w:r>
    </w:p>
    <w:p w14:paraId="31C21D85" w14:textId="34FBE5BA" w:rsidR="00484669" w:rsidRPr="00C10A95" w:rsidRDefault="002435A6" w:rsidP="00D93256">
      <w:pPr>
        <w:pStyle w:val="STPR2ProofBoxNormal"/>
      </w:pPr>
      <w:r w:rsidRPr="002435A6">
        <w:t>The challenges outlined in the Capital Spending Review Update, published in May 2022, and the EBR, published in November 2022, have a bearing on the investment pipeline of projects and programmes which form part of the STPR2 considerations</w:t>
      </w:r>
      <w:r w:rsidR="00484669">
        <w:t>.</w:t>
      </w:r>
    </w:p>
    <w:p w14:paraId="72C7302E" w14:textId="5AAA16BE" w:rsidR="0015393E" w:rsidRDefault="00C31F9D" w:rsidP="00115E65">
      <w:pPr>
        <w:pStyle w:val="Heading3"/>
      </w:pPr>
      <w:bookmarkStart w:id="542" w:name="_Toc92461169"/>
      <w:bookmarkStart w:id="543" w:name="_Toc92461170"/>
      <w:bookmarkStart w:id="544" w:name="_Toc92461171"/>
      <w:bookmarkStart w:id="545" w:name="_Toc92461172"/>
      <w:bookmarkStart w:id="546" w:name="_Toc92461173"/>
      <w:bookmarkStart w:id="547" w:name="_Toc121339113"/>
      <w:bookmarkStart w:id="548" w:name="_Toc88654134"/>
      <w:bookmarkEnd w:id="532"/>
      <w:bookmarkEnd w:id="542"/>
      <w:bookmarkEnd w:id="543"/>
      <w:bookmarkEnd w:id="544"/>
      <w:bookmarkEnd w:id="545"/>
      <w:bookmarkEnd w:id="546"/>
      <w:r>
        <w:t>Scotland’s National Strategy for Economic Transformation</w:t>
      </w:r>
      <w:bookmarkEnd w:id="547"/>
    </w:p>
    <w:p w14:paraId="35720E38" w14:textId="77777777" w:rsidR="00B65642" w:rsidRPr="00B65642" w:rsidRDefault="000A59BC" w:rsidP="00B65642">
      <w:pPr>
        <w:rPr>
          <w:rFonts w:ascii="Arial" w:hAnsi="Arial" w:cs="Arial"/>
          <w:color w:val="000000"/>
          <w:sz w:val="24"/>
        </w:rPr>
      </w:pPr>
      <w:r w:rsidRPr="000A59BC">
        <w:rPr>
          <w:rFonts w:ascii="Arial" w:hAnsi="Arial" w:cs="Arial"/>
          <w:color w:val="000000"/>
          <w:sz w:val="24"/>
        </w:rPr>
        <w:t>Scotland’s National Strategy for Economic Transformation (NSET)</w:t>
      </w:r>
      <w:r w:rsidR="00C06245">
        <w:rPr>
          <w:rFonts w:ascii="Arial" w:hAnsi="Arial" w:cs="Arial"/>
          <w:color w:val="000000"/>
          <w:sz w:val="24"/>
        </w:rPr>
        <w:t xml:space="preserve"> </w:t>
      </w:r>
      <w:r w:rsidR="00C06245">
        <w:t>(</w:t>
      </w:r>
      <w:r w:rsidR="00C06245" w:rsidRPr="00C06245">
        <w:rPr>
          <w:rFonts w:ascii="Arial" w:hAnsi="Arial" w:cs="Arial"/>
          <w:color w:val="000000"/>
          <w:sz w:val="24"/>
        </w:rPr>
        <w:t xml:space="preserve">Scottish Government, 2022a) </w:t>
      </w:r>
      <w:r w:rsidRPr="000A59BC">
        <w:rPr>
          <w:rFonts w:ascii="Arial" w:hAnsi="Arial" w:cs="Arial"/>
          <w:color w:val="000000"/>
          <w:sz w:val="24"/>
        </w:rPr>
        <w:t xml:space="preserve">published in March 2022, sets out the priorities for Scotland’s economy over the ten-year period to 2032. </w:t>
      </w:r>
      <w:r w:rsidR="00B65642" w:rsidRPr="00B65642">
        <w:rPr>
          <w:rFonts w:ascii="Arial" w:hAnsi="Arial" w:cs="Arial"/>
          <w:color w:val="000000"/>
          <w:sz w:val="24"/>
        </w:rPr>
        <w:t xml:space="preserve">It articulates a vision to create a wellbeing economy: an economic system within safe environmental limits that serves and prioritises the wellbeing of current and future generations. The Strategy’s programmes have been chosen based on evidence and engagement to deliver fairer, greener prosperity for all Scotland’s people and places, </w:t>
      </w:r>
      <w:r w:rsidR="00B65642" w:rsidRPr="00B65642">
        <w:rPr>
          <w:rFonts w:ascii="Arial" w:hAnsi="Arial" w:cs="Arial"/>
          <w:color w:val="000000"/>
          <w:sz w:val="24"/>
        </w:rPr>
        <w:lastRenderedPageBreak/>
        <w:t xml:space="preserve">and to make our economy more sustainable and resilient in the long-term. The programmes focus on: stimulating entrepreneurship; opening new markets; increasing productivity; developing the skills we need for the decade ahead; and ensuring fairer and more equal economic opportunities. The Strategy aims to maximise Scotland’s strengths and natural assets to deliver economic growth that significantly outperforms the last decade, both in terms of economic performance and tackling structural economic inequalities, so that the Scottish economy is more prosperous, more productive and more internationally competitive. </w:t>
      </w:r>
    </w:p>
    <w:p w14:paraId="1B6ED077" w14:textId="73984006" w:rsidR="000A59BC" w:rsidRPr="000A59BC" w:rsidRDefault="00B65642" w:rsidP="00B65642">
      <w:pPr>
        <w:rPr>
          <w:rFonts w:ascii="Arial" w:hAnsi="Arial" w:cs="Arial"/>
          <w:color w:val="000000"/>
          <w:sz w:val="24"/>
        </w:rPr>
      </w:pPr>
      <w:r w:rsidRPr="00B65642">
        <w:rPr>
          <w:rFonts w:ascii="Arial" w:hAnsi="Arial" w:cs="Arial"/>
          <w:color w:val="000000"/>
          <w:sz w:val="24"/>
        </w:rPr>
        <w:t>The Strategy offers renewed clarity of vision and focus on delivery, and a robust governance structure, co-led by business, to oversee its successful implementation. On 31 October 2022, prioritised and affordable delivery plans for each of the Strategy’s programmes were published, and the Scottish Government is working in partnership across the public, private and third sectors, as well as with individuals and communities, in a “Team Scotland” approach to deliver these plans.</w:t>
      </w:r>
    </w:p>
    <w:p w14:paraId="6EBDB4BA" w14:textId="5FA94C67" w:rsidR="000A59BC" w:rsidRDefault="000A59BC" w:rsidP="000A59BC">
      <w:pPr>
        <w:rPr>
          <w:rFonts w:ascii="Arial" w:hAnsi="Arial" w:cs="Arial"/>
          <w:color w:val="000000"/>
          <w:sz w:val="24"/>
        </w:rPr>
      </w:pPr>
      <w:r w:rsidRPr="000A59BC">
        <w:rPr>
          <w:rFonts w:ascii="Arial" w:hAnsi="Arial" w:cs="Arial"/>
          <w:color w:val="000000"/>
          <w:sz w:val="24"/>
        </w:rPr>
        <w:t xml:space="preserve">The Strategy commits to delivering </w:t>
      </w:r>
      <w:r w:rsidR="00C53D87" w:rsidRPr="00C53D87">
        <w:rPr>
          <w:rFonts w:ascii="Arial" w:hAnsi="Arial" w:cs="Arial"/>
          <w:color w:val="000000"/>
          <w:sz w:val="24"/>
        </w:rPr>
        <w:t xml:space="preserve">the </w:t>
      </w:r>
      <w:r w:rsidRPr="000A59BC">
        <w:rPr>
          <w:rFonts w:ascii="Arial" w:hAnsi="Arial" w:cs="Arial"/>
          <w:color w:val="000000"/>
          <w:sz w:val="24"/>
        </w:rPr>
        <w:t>STPR2 to help make Scotland more accessible for residents, visitors, and businesses; create better connectivity with sustainable, smart and cleaner transport options; and highlight the vital contribution that transport investment can play in enabling and sustaining Scotland’s economic growth.</w:t>
      </w:r>
    </w:p>
    <w:p w14:paraId="1370AB52" w14:textId="7C6C8A47" w:rsidR="00E92901" w:rsidRPr="000A59BC" w:rsidRDefault="00C53D87" w:rsidP="000A59BC">
      <w:pPr>
        <w:rPr>
          <w:rFonts w:ascii="Arial" w:hAnsi="Arial" w:cs="Arial"/>
          <w:color w:val="000000"/>
          <w:sz w:val="24"/>
        </w:rPr>
      </w:pPr>
      <w:r>
        <w:rPr>
          <w:rFonts w:ascii="Arial" w:hAnsi="Arial" w:cs="Arial"/>
          <w:color w:val="000000"/>
          <w:sz w:val="24"/>
        </w:rPr>
        <w:t xml:space="preserve">The </w:t>
      </w:r>
      <w:r w:rsidR="00E92901" w:rsidRPr="00E92901">
        <w:rPr>
          <w:rFonts w:ascii="Arial" w:hAnsi="Arial" w:cs="Arial"/>
          <w:color w:val="000000"/>
          <w:sz w:val="24"/>
        </w:rPr>
        <w:t xml:space="preserve">STPR2 is a key project within </w:t>
      </w:r>
      <w:r w:rsidR="00266134">
        <w:rPr>
          <w:rFonts w:ascii="Arial" w:hAnsi="Arial" w:cs="Arial"/>
          <w:color w:val="000000"/>
          <w:sz w:val="24"/>
        </w:rPr>
        <w:t xml:space="preserve">the </w:t>
      </w:r>
      <w:r w:rsidR="00E92901" w:rsidRPr="00E92901">
        <w:rPr>
          <w:rFonts w:ascii="Arial" w:hAnsi="Arial" w:cs="Arial"/>
          <w:color w:val="000000"/>
          <w:sz w:val="24"/>
        </w:rPr>
        <w:t xml:space="preserve">NSET Programme 3, “Productive Businesses and Regions”. </w:t>
      </w:r>
      <w:r w:rsidR="0082775D">
        <w:rPr>
          <w:rFonts w:ascii="Arial" w:hAnsi="Arial" w:cs="Arial"/>
          <w:color w:val="000000"/>
          <w:sz w:val="24"/>
        </w:rPr>
        <w:t xml:space="preserve">The </w:t>
      </w:r>
      <w:r w:rsidR="00E92901" w:rsidRPr="00E92901">
        <w:rPr>
          <w:rFonts w:ascii="Arial" w:hAnsi="Arial" w:cs="Arial"/>
          <w:color w:val="000000"/>
          <w:sz w:val="24"/>
        </w:rPr>
        <w:t xml:space="preserve">STRP2 is wired fully into the governance arrangements for </w:t>
      </w:r>
      <w:r w:rsidR="00F94022" w:rsidRPr="00F94022">
        <w:rPr>
          <w:rFonts w:ascii="Arial" w:hAnsi="Arial" w:cs="Arial"/>
          <w:color w:val="000000"/>
          <w:sz w:val="24"/>
        </w:rPr>
        <w:t xml:space="preserve">the </w:t>
      </w:r>
      <w:r w:rsidR="00E92901" w:rsidRPr="00E92901">
        <w:rPr>
          <w:rFonts w:ascii="Arial" w:hAnsi="Arial" w:cs="Arial"/>
          <w:color w:val="000000"/>
          <w:sz w:val="24"/>
        </w:rPr>
        <w:t>NSET and this particular Programme, to reflect not only the importance of the transport agenda itself, but also the fact that transport is a crucial facilitator of economic growth.</w:t>
      </w:r>
    </w:p>
    <w:p w14:paraId="7ECB2DD1" w14:textId="323C5FDB" w:rsidR="000A59BC" w:rsidRPr="007E4923" w:rsidRDefault="000A59BC" w:rsidP="00D93256">
      <w:pPr>
        <w:pStyle w:val="STPR2ProofBoxNormal"/>
        <w:rPr>
          <w:rStyle w:val="STPR2Proofboxheading"/>
        </w:rPr>
      </w:pPr>
      <w:r w:rsidRPr="007E4923">
        <w:rPr>
          <w:rStyle w:val="STPR2Proofboxheading"/>
        </w:rPr>
        <w:t xml:space="preserve">Relevance for </w:t>
      </w:r>
      <w:r w:rsidR="0082775D">
        <w:rPr>
          <w:rStyle w:val="STPR2Proofboxheading"/>
        </w:rPr>
        <w:t xml:space="preserve">the </w:t>
      </w:r>
      <w:r w:rsidRPr="007E4923">
        <w:rPr>
          <w:rStyle w:val="STPR2Proofboxheading"/>
        </w:rPr>
        <w:t xml:space="preserve">STPR2 </w:t>
      </w:r>
    </w:p>
    <w:p w14:paraId="3F23C691" w14:textId="304A6E75" w:rsidR="000A59BC" w:rsidRPr="00A95F0B" w:rsidRDefault="008B6B8A" w:rsidP="00D93256">
      <w:pPr>
        <w:pStyle w:val="STPR2ProofBoxNormal"/>
      </w:pPr>
      <w:r w:rsidRPr="008B6B8A">
        <w:t xml:space="preserve">The NSET aims to deliver a more prosperous, more productive and more internationally competitive Scottish economy and recognises the role of </w:t>
      </w:r>
      <w:r w:rsidR="0082775D" w:rsidRPr="0082775D">
        <w:t xml:space="preserve">the </w:t>
      </w:r>
      <w:r w:rsidRPr="008B6B8A">
        <w:t>STPR2 in delivering inclusive economic growth</w:t>
      </w:r>
      <w:r w:rsidR="000A59BC">
        <w:t>.</w:t>
      </w:r>
    </w:p>
    <w:p w14:paraId="25999AD4" w14:textId="46D0EED5" w:rsidR="00050351" w:rsidRDefault="00050351" w:rsidP="00115E65">
      <w:pPr>
        <w:pStyle w:val="Heading3"/>
      </w:pPr>
      <w:bookmarkStart w:id="549" w:name="_Toc121339114"/>
      <w:r w:rsidRPr="00721769">
        <w:t>Existing Funding Commitments</w:t>
      </w:r>
      <w:bookmarkEnd w:id="549"/>
    </w:p>
    <w:p w14:paraId="6146A3A7" w14:textId="4BC09F58" w:rsidR="00A95F0B" w:rsidRPr="00A95F0B" w:rsidRDefault="00A95F0B" w:rsidP="00D93256">
      <w:pPr>
        <w:pStyle w:val="STPR2BodyText"/>
      </w:pPr>
      <w:r w:rsidRPr="00A95F0B">
        <w:t xml:space="preserve">The STPR2 recommendations </w:t>
      </w:r>
      <w:r w:rsidR="00830D29">
        <w:t>listed in</w:t>
      </w:r>
      <w:r w:rsidRPr="00A95F0B">
        <w:t xml:space="preserve"> this report do not constitute the full investment programme of Transport Scotland. They should be considered with the overall Government spending commitments on transport outlined in the above documents and Scottish Government budgets. Some of the other Scottish Government transport spending commitments are out of scope for </w:t>
      </w:r>
      <w:r w:rsidR="0082775D" w:rsidRPr="0082775D">
        <w:t xml:space="preserve">the </w:t>
      </w:r>
      <w:r w:rsidRPr="00A95F0B">
        <w:t>STPR2</w:t>
      </w:r>
      <w:r w:rsidR="006F2DAB">
        <w:t xml:space="preserve">, </w:t>
      </w:r>
      <w:r w:rsidR="00504198">
        <w:t>f</w:t>
      </w:r>
      <w:r w:rsidRPr="00A95F0B">
        <w:t>or example:</w:t>
      </w:r>
    </w:p>
    <w:p w14:paraId="261F9B5C" w14:textId="13681003" w:rsidR="00C21DAF" w:rsidRDefault="00E53973" w:rsidP="00D93256">
      <w:pPr>
        <w:pStyle w:val="STPR2BulletsLevel1"/>
      </w:pPr>
      <w:r>
        <w:t>M</w:t>
      </w:r>
      <w:r w:rsidR="00C21DAF">
        <w:t xml:space="preserve">easures to improve resilience of the rail network (for example operations, maintenance and renewal); </w:t>
      </w:r>
    </w:p>
    <w:p w14:paraId="2597DB7C" w14:textId="20EA555B" w:rsidR="00155620" w:rsidRDefault="00AB4AD5" w:rsidP="00D93256">
      <w:pPr>
        <w:pStyle w:val="STPR2BulletsLevel1"/>
      </w:pPr>
      <w:r>
        <w:t>Investment</w:t>
      </w:r>
      <w:r w:rsidR="00C21DAF">
        <w:t xml:space="preserve"> </w:t>
      </w:r>
      <w:r>
        <w:t>i</w:t>
      </w:r>
      <w:r w:rsidR="00C21DAF">
        <w:t xml:space="preserve">n public transport </w:t>
      </w:r>
      <w:r>
        <w:t>subsidies</w:t>
      </w:r>
      <w:r w:rsidR="005B0F37">
        <w:t>.</w:t>
      </w:r>
    </w:p>
    <w:p w14:paraId="58D94851" w14:textId="77777777" w:rsidR="00155620" w:rsidRDefault="00155620">
      <w:pPr>
        <w:rPr>
          <w:rFonts w:ascii="Arial" w:hAnsi="Arial" w:cs="Arial"/>
          <w:color w:val="000000"/>
          <w:sz w:val="24"/>
        </w:rPr>
      </w:pPr>
      <w:r>
        <w:br w:type="page"/>
      </w:r>
    </w:p>
    <w:p w14:paraId="1548B23C" w14:textId="77777777" w:rsidR="00C21DAF" w:rsidRDefault="00C21DAF" w:rsidP="00D93256">
      <w:pPr>
        <w:pStyle w:val="STPR2BulletsLevel1"/>
      </w:pPr>
    </w:p>
    <w:p w14:paraId="6D63BA70" w14:textId="0C389C0C" w:rsidR="00990C7F" w:rsidRPr="001647C1" w:rsidRDefault="00990C7F" w:rsidP="00115E65">
      <w:pPr>
        <w:pStyle w:val="Heading3"/>
      </w:pPr>
      <w:bookmarkStart w:id="550" w:name="_Toc121339115"/>
      <w:r w:rsidRPr="001647C1">
        <w:t>Summary</w:t>
      </w:r>
      <w:bookmarkEnd w:id="548"/>
      <w:bookmarkEnd w:id="550"/>
    </w:p>
    <w:p w14:paraId="09596012" w14:textId="522E80A6" w:rsidR="00956354" w:rsidRDefault="00956354" w:rsidP="00D93256">
      <w:pPr>
        <w:pStyle w:val="STPR2BodyText"/>
      </w:pPr>
      <w:bookmarkStart w:id="551" w:name="_Hlk87951755"/>
      <w:r>
        <w:t xml:space="preserve">The current policy, plan and investment landscape is complex and multi-layered. There is an overarching and urgent imperative to address climate change and to achieve net zero carbon </w:t>
      </w:r>
      <w:r w:rsidR="00A16392">
        <w:t xml:space="preserve">emissions </w:t>
      </w:r>
      <w:r>
        <w:t xml:space="preserve">by 2045. A number of approaches have been adopted to strengthen the STAG-based appraisal undertaken for </w:t>
      </w:r>
      <w:r w:rsidR="0082775D" w:rsidRPr="0082775D">
        <w:t xml:space="preserve">the </w:t>
      </w:r>
      <w:r>
        <w:t xml:space="preserve">STPR2, with a particular focus on ensuring the identification of sustainable transport interventions that support the </w:t>
      </w:r>
      <w:r w:rsidR="006E23CA">
        <w:t>Revised D</w:t>
      </w:r>
      <w:r>
        <w:t xml:space="preserve">raft NPF4, priorities of </w:t>
      </w:r>
      <w:r w:rsidR="00BD6270" w:rsidRPr="00BD6270">
        <w:t xml:space="preserve">the </w:t>
      </w:r>
      <w:r>
        <w:t>NTS2, including the priority “Takes Climate Action’, and to achieve the 20</w:t>
      </w:r>
      <w:r w:rsidR="00797CEB">
        <w:t xml:space="preserve"> per</w:t>
      </w:r>
      <w:r w:rsidR="00AE100A">
        <w:t xml:space="preserve"> </w:t>
      </w:r>
      <w:r w:rsidR="00797CEB">
        <w:t>cent</w:t>
      </w:r>
      <w:r>
        <w:t xml:space="preserve"> reduction in car k</w:t>
      </w:r>
      <w:r w:rsidR="00CF68EE">
        <w:t>ilometres</w:t>
      </w:r>
      <w:r>
        <w:t xml:space="preserve"> supportive of the Climate Change Plan</w:t>
      </w:r>
      <w:r w:rsidR="00147317">
        <w:t xml:space="preserve"> Update</w:t>
      </w:r>
      <w:r>
        <w:t xml:space="preserve">. Alongside this are the needs to improve our health and wellbeing. There is also a clear need to deliver inclusive economic growth and to reduce inequalities. </w:t>
      </w:r>
    </w:p>
    <w:p w14:paraId="26395DA7" w14:textId="6432691C" w:rsidR="00990C7F" w:rsidRDefault="00956354" w:rsidP="00D93256">
      <w:pPr>
        <w:pStyle w:val="STPR2BodyText"/>
      </w:pPr>
      <w:r>
        <w:t>The STPR2 process has taken cognisance of the constraints to funding and presents an ambitious, but realistic, set of recommendations which will set the strategic direction of transport investment in the next 20 years.</w:t>
      </w:r>
    </w:p>
    <w:p w14:paraId="5DA8F39F" w14:textId="3D6820FC" w:rsidR="000C6958" w:rsidRPr="009274EB" w:rsidRDefault="000C6958" w:rsidP="00155B4B">
      <w:pPr>
        <w:pStyle w:val="Heading2"/>
      </w:pPr>
      <w:bookmarkStart w:id="552" w:name="_Toc121339116"/>
      <w:bookmarkEnd w:id="551"/>
      <w:r w:rsidRPr="009274EB">
        <w:t xml:space="preserve">Relationship </w:t>
      </w:r>
      <w:r w:rsidRPr="00155B4B">
        <w:t>with</w:t>
      </w:r>
      <w:r w:rsidRPr="009274EB">
        <w:t xml:space="preserve"> Other Plans, Programmes or Strategies (PPS)</w:t>
      </w:r>
      <w:bookmarkEnd w:id="494"/>
      <w:bookmarkEnd w:id="552"/>
    </w:p>
    <w:p w14:paraId="35970D7A" w14:textId="376D3577" w:rsidR="000C6958" w:rsidRPr="00267124" w:rsidRDefault="000C6958" w:rsidP="00D93256">
      <w:pPr>
        <w:pStyle w:val="STPR2BodyText"/>
      </w:pPr>
      <w:r w:rsidRPr="00267124">
        <w:t xml:space="preserve">The SEA needs to consider the most relevant PPS to </w:t>
      </w:r>
      <w:r w:rsidR="0082775D" w:rsidRPr="0082775D">
        <w:t xml:space="preserve">the </w:t>
      </w:r>
      <w:r w:rsidRPr="00267124">
        <w:t>STPR2. This helps to identify wider environmental protection objectives (</w:t>
      </w:r>
      <w:r w:rsidR="0062236A">
        <w:t>not just</w:t>
      </w:r>
      <w:r w:rsidR="0062236A" w:rsidRPr="00267124">
        <w:t xml:space="preserve"> </w:t>
      </w:r>
      <w:r w:rsidRPr="00267124">
        <w:t xml:space="preserve">the STPR2 SEA Objectives) and issues that STPR2 should </w:t>
      </w:r>
      <w:r w:rsidR="00597D87">
        <w:t>consider</w:t>
      </w:r>
      <w:r w:rsidRPr="00267124">
        <w:t>, and might support</w:t>
      </w:r>
      <w:r w:rsidR="00042200">
        <w:t>,</w:t>
      </w:r>
      <w:r w:rsidRPr="00267124">
        <w:t xml:space="preserve"> </w:t>
      </w:r>
      <w:r w:rsidR="00597D87">
        <w:t>in</w:t>
      </w:r>
      <w:r w:rsidRPr="00267124">
        <w:t xml:space="preserve"> its delivery.</w:t>
      </w:r>
    </w:p>
    <w:p w14:paraId="7EECDEAD" w14:textId="38D5EB40" w:rsidR="000C6958" w:rsidRPr="00267124" w:rsidRDefault="000C6958" w:rsidP="00D93256">
      <w:pPr>
        <w:pStyle w:val="STPR2BodyText"/>
      </w:pPr>
      <w:r w:rsidRPr="00267124">
        <w:t xml:space="preserve">A wide range of national-level policies from various PPS need to be considered in the development of </w:t>
      </w:r>
      <w:r w:rsidR="0082775D" w:rsidRPr="0082775D">
        <w:t xml:space="preserve">the </w:t>
      </w:r>
      <w:r w:rsidRPr="00267124">
        <w:t xml:space="preserve">STPR2 and the SEA. The key relevant aspects of these policies are included in </w:t>
      </w:r>
      <w:r w:rsidRPr="00267124">
        <w:rPr>
          <w:b/>
        </w:rPr>
        <w:t>Appendix B</w:t>
      </w:r>
      <w:r w:rsidR="003C53AC">
        <w:rPr>
          <w:b/>
        </w:rPr>
        <w:t xml:space="preserve"> (Plans, Programmes and Strategies)</w:t>
      </w:r>
      <w:r w:rsidRPr="00267124">
        <w:t>. A summary of the key environmental requirements and objectives</w:t>
      </w:r>
      <w:r w:rsidR="00EB113D">
        <w:t xml:space="preserve"> for each SEA topic </w:t>
      </w:r>
      <w:r w:rsidRPr="00267124">
        <w:t>identified through the review is presented in</w:t>
      </w:r>
      <w:r>
        <w:rPr>
          <w:b/>
        </w:rPr>
        <w:t xml:space="preserve"> </w:t>
      </w:r>
      <w:r w:rsidR="007A20DA">
        <w:rPr>
          <w:b/>
          <w:color w:val="auto"/>
        </w:rPr>
        <w:fldChar w:fldCharType="begin"/>
      </w:r>
      <w:r w:rsidR="007A20DA">
        <w:rPr>
          <w:b/>
        </w:rPr>
        <w:instrText xml:space="preserve"> REF _Ref92969803 \h </w:instrText>
      </w:r>
      <w:r w:rsidR="007A20DA">
        <w:rPr>
          <w:b/>
          <w:color w:val="auto"/>
        </w:rPr>
      </w:r>
      <w:r w:rsidR="007A20DA">
        <w:rPr>
          <w:b/>
          <w:color w:val="auto"/>
        </w:rPr>
        <w:fldChar w:fldCharType="separate"/>
      </w:r>
      <w:r w:rsidR="00C22A9E" w:rsidRPr="0042494A">
        <w:t xml:space="preserve">Table </w:t>
      </w:r>
      <w:r w:rsidR="00C22A9E">
        <w:rPr>
          <w:noProof/>
        </w:rPr>
        <w:t>1</w:t>
      </w:r>
      <w:r w:rsidR="007A20DA">
        <w:rPr>
          <w:b/>
          <w:color w:val="auto"/>
        </w:rPr>
        <w:fldChar w:fldCharType="end"/>
      </w:r>
      <w:r w:rsidR="00C06675">
        <w:rPr>
          <w:b/>
          <w:color w:val="auto"/>
        </w:rPr>
        <w:t xml:space="preserve"> </w:t>
      </w:r>
      <w:r w:rsidR="00AD410D" w:rsidRPr="00234759">
        <w:rPr>
          <w:bCs/>
          <w:color w:val="auto"/>
        </w:rPr>
        <w:t>below</w:t>
      </w:r>
      <w:r w:rsidR="0042494A" w:rsidRPr="00234759">
        <w:rPr>
          <w:bCs/>
          <w:color w:val="auto"/>
        </w:rPr>
        <w:t>.</w:t>
      </w:r>
    </w:p>
    <w:p w14:paraId="65C8D1A8" w14:textId="1FE8456A" w:rsidR="000C6958" w:rsidRPr="00267124" w:rsidRDefault="000C6958" w:rsidP="00D93256">
      <w:pPr>
        <w:pStyle w:val="STPR2BodyText"/>
      </w:pPr>
      <w:r w:rsidRPr="00267124">
        <w:t xml:space="preserve">A review of the associated environmental protection objectives highlights existing and potential problems, as well as opportunities for enhancement and benefits, and has served as an important base upon which to build the SEA Assessment Framework. </w:t>
      </w:r>
    </w:p>
    <w:p w14:paraId="196BA2A3" w14:textId="63A517F1" w:rsidR="0071524D" w:rsidRPr="0042494A" w:rsidRDefault="000C6958" w:rsidP="00D93256">
      <w:pPr>
        <w:pStyle w:val="STPR2Caption"/>
      </w:pPr>
      <w:bookmarkStart w:id="553" w:name="_Ref85029040"/>
      <w:bookmarkStart w:id="554" w:name="_Ref90046198"/>
      <w:bookmarkStart w:id="555" w:name="_Ref92969803"/>
      <w:bookmarkStart w:id="556" w:name="_Toc90031391"/>
      <w:bookmarkStart w:id="557" w:name="_Toc121231972"/>
      <w:r w:rsidRPr="0042494A">
        <w:t xml:space="preserve">Table </w:t>
      </w:r>
      <w:bookmarkEnd w:id="553"/>
      <w:bookmarkEnd w:id="554"/>
      <w:r w:rsidR="00E428D4">
        <w:fldChar w:fldCharType="begin"/>
      </w:r>
      <w:r w:rsidR="00E428D4">
        <w:instrText xml:space="preserve"> SEQ Table \* ARABIC </w:instrText>
      </w:r>
      <w:r w:rsidR="00E428D4">
        <w:fldChar w:fldCharType="separate"/>
      </w:r>
      <w:r w:rsidR="00C22A9E">
        <w:rPr>
          <w:noProof/>
        </w:rPr>
        <w:t>1</w:t>
      </w:r>
      <w:r w:rsidR="00E428D4">
        <w:fldChar w:fldCharType="end"/>
      </w:r>
      <w:bookmarkEnd w:id="555"/>
      <w:r w:rsidR="0071524D" w:rsidRPr="0042494A">
        <w:t>: Key environmental requirements emerging from the PPS review</w:t>
      </w:r>
      <w:bookmarkEnd w:id="556"/>
      <w:bookmarkEnd w:id="557"/>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8"/>
        <w:gridCol w:w="6990"/>
      </w:tblGrid>
      <w:tr w:rsidR="00155B4B" w:rsidRPr="00DB32EE" w14:paraId="7C858EC4" w14:textId="77777777" w:rsidTr="00457DAB">
        <w:trPr>
          <w:cantSplit/>
          <w:tblHeader/>
        </w:trPr>
        <w:tc>
          <w:tcPr>
            <w:tcW w:w="1370" w:type="pct"/>
            <w:tcBorders>
              <w:bottom w:val="single" w:sz="18" w:space="0" w:color="FFFFFF" w:themeColor="background1"/>
            </w:tcBorders>
            <w:shd w:val="clear" w:color="auto" w:fill="007D55"/>
          </w:tcPr>
          <w:p w14:paraId="05D624CE" w14:textId="764CC957" w:rsidR="000C6958" w:rsidRPr="00DB32EE" w:rsidRDefault="0062236A" w:rsidP="00D93256">
            <w:pPr>
              <w:pStyle w:val="STPR2WhiteTableHeading"/>
            </w:pPr>
            <w:r>
              <w:t xml:space="preserve">SEA </w:t>
            </w:r>
            <w:r w:rsidR="00155B4B" w:rsidRPr="00DB32EE">
              <w:t>TOPIC</w:t>
            </w:r>
          </w:p>
        </w:tc>
        <w:tc>
          <w:tcPr>
            <w:tcW w:w="3630" w:type="pct"/>
            <w:tcBorders>
              <w:bottom w:val="single" w:sz="18" w:space="0" w:color="FFFFFF" w:themeColor="background1"/>
            </w:tcBorders>
            <w:shd w:val="clear" w:color="auto" w:fill="007D55"/>
          </w:tcPr>
          <w:p w14:paraId="034EAE68" w14:textId="33F8E90F" w:rsidR="000C6958" w:rsidRPr="00DB32EE" w:rsidRDefault="00155B4B" w:rsidP="00D93256">
            <w:pPr>
              <w:pStyle w:val="STPR2WhiteTableHeading"/>
            </w:pPr>
            <w:r w:rsidRPr="00DB32EE">
              <w:t>KEY ENVIRONMENTAL REQUIREMENTS</w:t>
            </w:r>
          </w:p>
        </w:tc>
      </w:tr>
      <w:tr w:rsidR="00FA0234" w:rsidRPr="006F782E" w14:paraId="6A549C72" w14:textId="77777777" w:rsidTr="00457DAB">
        <w:trPr>
          <w:cantSplit/>
        </w:trPr>
        <w:tc>
          <w:tcPr>
            <w:tcW w:w="1370" w:type="pct"/>
            <w:shd w:val="clear" w:color="auto" w:fill="DCEDC6"/>
          </w:tcPr>
          <w:p w14:paraId="2AC2DDE2" w14:textId="77777777" w:rsidR="000C6958" w:rsidRPr="00267124" w:rsidRDefault="000C6958" w:rsidP="00D93256">
            <w:pPr>
              <w:pStyle w:val="STPR2TableBody"/>
            </w:pPr>
            <w:r w:rsidRPr="00267124">
              <w:t xml:space="preserve">Biodiversity </w:t>
            </w:r>
          </w:p>
        </w:tc>
        <w:tc>
          <w:tcPr>
            <w:tcW w:w="3630" w:type="pct"/>
            <w:shd w:val="clear" w:color="auto" w:fill="DCEDC6"/>
          </w:tcPr>
          <w:p w14:paraId="0D335E7D" w14:textId="0322DEEA" w:rsidR="007C18B4" w:rsidRPr="00CE1192" w:rsidRDefault="007C18B4" w:rsidP="00D93256">
            <w:pPr>
              <w:pStyle w:val="STPR2TableBody"/>
            </w:pPr>
            <w:r w:rsidRPr="00CE1192">
              <w:t xml:space="preserve">Promote the maintenance, protection and restoration of biodiversity on land and in Scotland’s seas at all levels; </w:t>
            </w:r>
          </w:p>
          <w:p w14:paraId="39C19A29" w14:textId="28C3B997" w:rsidR="000C6958" w:rsidRPr="00CE1192" w:rsidRDefault="000C6958" w:rsidP="00D93256">
            <w:pPr>
              <w:pStyle w:val="STPR2TableBody"/>
            </w:pPr>
            <w:r w:rsidRPr="00CE1192">
              <w:t>Connect people with the natural world to enhance their health and wellbeing and to involve them in decisions about their</w:t>
            </w:r>
            <w:r w:rsidR="00C7731D">
              <w:t> </w:t>
            </w:r>
            <w:r w:rsidRPr="00CE1192">
              <w:t xml:space="preserve">environment; </w:t>
            </w:r>
          </w:p>
          <w:p w14:paraId="5343E365" w14:textId="77777777" w:rsidR="000C6958" w:rsidRPr="00CE1192" w:rsidRDefault="000C6958" w:rsidP="00D93256">
            <w:pPr>
              <w:pStyle w:val="STPR2TableBody"/>
            </w:pPr>
            <w:r w:rsidRPr="00CE1192">
              <w:t xml:space="preserve">Encourage the management of features of the landscape which are of major importance for wild fauna and flora; </w:t>
            </w:r>
          </w:p>
          <w:p w14:paraId="6E7784FC" w14:textId="77777777" w:rsidR="000C6958" w:rsidRPr="00CE1192" w:rsidRDefault="000C6958" w:rsidP="00D93256">
            <w:pPr>
              <w:pStyle w:val="STPR2TableBody"/>
            </w:pPr>
            <w:r w:rsidRPr="00CE1192">
              <w:t>Implement nature-based solutions (NPF4);</w:t>
            </w:r>
          </w:p>
          <w:p w14:paraId="7A35BBF1" w14:textId="2C040BE4" w:rsidR="000C6958" w:rsidRPr="00CE1192" w:rsidRDefault="000C6958" w:rsidP="00D93256">
            <w:pPr>
              <w:pStyle w:val="STPR2TableBody"/>
            </w:pPr>
            <w:r w:rsidRPr="00CE1192">
              <w:t xml:space="preserve">Maximise the benefits of a diverse natural environment and the services it provides to deliver multiple benefits, including social and sustainable economic growth; </w:t>
            </w:r>
          </w:p>
          <w:p w14:paraId="7A780B40" w14:textId="6A2FF085" w:rsidR="000C6958" w:rsidRPr="007C18B4" w:rsidRDefault="000C6958" w:rsidP="00D93256">
            <w:pPr>
              <w:pStyle w:val="STPR2TableBody"/>
            </w:pPr>
            <w:r w:rsidRPr="00CE1192">
              <w:t>Create a natural environment resilient to the threats of climate change, invasive species, habitat fragmentation, pests and</w:t>
            </w:r>
            <w:r w:rsidR="00C7731D">
              <w:t> </w:t>
            </w:r>
            <w:r w:rsidRPr="00CE1192">
              <w:t>diseases.</w:t>
            </w:r>
          </w:p>
        </w:tc>
      </w:tr>
      <w:tr w:rsidR="00FA0234" w:rsidRPr="006F782E" w14:paraId="4515C76D" w14:textId="77777777" w:rsidTr="00457DAB">
        <w:trPr>
          <w:cantSplit/>
        </w:trPr>
        <w:tc>
          <w:tcPr>
            <w:tcW w:w="1370" w:type="pct"/>
            <w:shd w:val="clear" w:color="auto" w:fill="DCEDC6"/>
          </w:tcPr>
          <w:p w14:paraId="4B02A78A" w14:textId="5BD08E8D" w:rsidR="000C6958" w:rsidRPr="00267124" w:rsidRDefault="000C6958" w:rsidP="00D93256">
            <w:pPr>
              <w:pStyle w:val="STPR2TableBody"/>
            </w:pPr>
            <w:r w:rsidRPr="00267124">
              <w:lastRenderedPageBreak/>
              <w:t xml:space="preserve">Population and Human Health </w:t>
            </w:r>
          </w:p>
        </w:tc>
        <w:tc>
          <w:tcPr>
            <w:tcW w:w="3630" w:type="pct"/>
            <w:shd w:val="clear" w:color="auto" w:fill="DCEDC6"/>
          </w:tcPr>
          <w:p w14:paraId="3FE24913" w14:textId="357BC84E" w:rsidR="000C6958" w:rsidRPr="007C18B4" w:rsidRDefault="000C6958" w:rsidP="00D93256">
            <w:pPr>
              <w:pStyle w:val="STPR2TableBody"/>
            </w:pPr>
            <w:r w:rsidRPr="007C18B4">
              <w:t>Eliminate discrimination and promote equality on Scotland’s transport network;</w:t>
            </w:r>
          </w:p>
          <w:p w14:paraId="68C02B94" w14:textId="7F0B3203" w:rsidR="00AA7AE3" w:rsidRPr="007C18B4" w:rsidRDefault="00AA7AE3" w:rsidP="00D93256">
            <w:pPr>
              <w:pStyle w:val="STPR2TableBody"/>
            </w:pPr>
            <w:r>
              <w:t>Provide safe and hygienic</w:t>
            </w:r>
            <w:r w:rsidR="00542583">
              <w:t xml:space="preserve"> public transport services and facilities, to reduce the spread of infectious diseases</w:t>
            </w:r>
            <w:r w:rsidR="0057349C">
              <w:t>;</w:t>
            </w:r>
          </w:p>
          <w:p w14:paraId="671A45FA" w14:textId="428ABB4B" w:rsidR="000C6958" w:rsidRPr="007C18B4" w:rsidRDefault="000C6958" w:rsidP="00D93256">
            <w:pPr>
              <w:pStyle w:val="STPR2TableBody"/>
            </w:pPr>
            <w:r w:rsidRPr="007C18B4">
              <w:t>Improve the quality, accessibility and affordability of public</w:t>
            </w:r>
            <w:r w:rsidR="00C7731D">
              <w:t> </w:t>
            </w:r>
            <w:r w:rsidRPr="007C18B4">
              <w:t>transport;</w:t>
            </w:r>
          </w:p>
          <w:p w14:paraId="75FB6D1F" w14:textId="77777777" w:rsidR="000C6958" w:rsidRPr="007C18B4" w:rsidRDefault="000C6958" w:rsidP="00D93256">
            <w:pPr>
              <w:pStyle w:val="STPR2TableBody"/>
            </w:pPr>
            <w:r w:rsidRPr="007C18B4">
              <w:t>Improve health and wellbeing, including through the promotion of increasing levels of physical activity;</w:t>
            </w:r>
          </w:p>
          <w:p w14:paraId="49962E47" w14:textId="77777777" w:rsidR="000C6958" w:rsidRPr="007C18B4" w:rsidRDefault="000C6958" w:rsidP="00D93256">
            <w:pPr>
              <w:pStyle w:val="STPR2TableBody"/>
            </w:pPr>
            <w:r w:rsidRPr="007C18B4">
              <w:t>Increase levels of access to bikes through projects that support inclusive cycling initiatives;</w:t>
            </w:r>
          </w:p>
          <w:p w14:paraId="217A48EA" w14:textId="77777777" w:rsidR="000C6958" w:rsidRPr="007C18B4" w:rsidRDefault="000C6958" w:rsidP="00D93256">
            <w:pPr>
              <w:pStyle w:val="STPR2TableBody"/>
            </w:pPr>
            <w:r w:rsidRPr="007C18B4">
              <w:t>Increase active travel participation for young people;</w:t>
            </w:r>
          </w:p>
          <w:p w14:paraId="6B4BFACB" w14:textId="3248F92E" w:rsidR="000C6958" w:rsidRPr="007C18B4" w:rsidRDefault="000C6958" w:rsidP="00D93256">
            <w:pPr>
              <w:pStyle w:val="STPR2TableBody"/>
            </w:pPr>
            <w:r w:rsidRPr="007C18B4">
              <w:t xml:space="preserve">Create a culture of walking and cycling, where everyone walks or cycles more often as part of their everyday travel - by creating better and more attractive environments which enable easy, convenient and safe active travel for everyone – including segregation from motorised traffic; </w:t>
            </w:r>
          </w:p>
          <w:p w14:paraId="5CE12A04" w14:textId="77777777" w:rsidR="000C6958" w:rsidRPr="007C18B4" w:rsidRDefault="000C6958" w:rsidP="00D93256">
            <w:pPr>
              <w:pStyle w:val="STPR2TableBody"/>
            </w:pPr>
            <w:r w:rsidRPr="007C18B4">
              <w:t>Modernise public transport services through multi-modal, smart ticketing and electronic payment systems to make travel easier, more accessible and sustainable.</w:t>
            </w:r>
          </w:p>
        </w:tc>
      </w:tr>
      <w:tr w:rsidR="00FA0234" w:rsidRPr="006F782E" w14:paraId="426EE791" w14:textId="77777777" w:rsidTr="00457DAB">
        <w:trPr>
          <w:cantSplit/>
        </w:trPr>
        <w:tc>
          <w:tcPr>
            <w:tcW w:w="1370" w:type="pct"/>
            <w:shd w:val="clear" w:color="auto" w:fill="DCEDC6"/>
          </w:tcPr>
          <w:p w14:paraId="6F90709E" w14:textId="77777777" w:rsidR="000C6958" w:rsidRPr="00267124" w:rsidRDefault="000C6958" w:rsidP="00D93256">
            <w:pPr>
              <w:pStyle w:val="STPR2TableBody"/>
            </w:pPr>
            <w:r w:rsidRPr="00267124">
              <w:lastRenderedPageBreak/>
              <w:t>Material Assets</w:t>
            </w:r>
          </w:p>
        </w:tc>
        <w:tc>
          <w:tcPr>
            <w:tcW w:w="3630" w:type="pct"/>
            <w:shd w:val="clear" w:color="auto" w:fill="DCEDC6"/>
          </w:tcPr>
          <w:p w14:paraId="133D5D4E" w14:textId="37B77A56" w:rsidR="000C6958" w:rsidRPr="007C18B4" w:rsidRDefault="000C6958" w:rsidP="00D93256">
            <w:pPr>
              <w:pStyle w:val="STPR2TableBody"/>
            </w:pPr>
            <w:r w:rsidRPr="007C18B4">
              <w:t>Promote sustainable design and innovation to reduce material</w:t>
            </w:r>
            <w:r w:rsidR="00C7731D">
              <w:t> </w:t>
            </w:r>
            <w:r w:rsidRPr="007C18B4">
              <w:t>consumption;</w:t>
            </w:r>
          </w:p>
          <w:p w14:paraId="34312F36" w14:textId="77777777" w:rsidR="000C6958" w:rsidRPr="007C18B4" w:rsidRDefault="000C6958" w:rsidP="00D93256">
            <w:pPr>
              <w:pStyle w:val="STPR2TableBody"/>
            </w:pPr>
            <w:r w:rsidRPr="007C18B4">
              <w:t>Re-use vacant and derelict land (NPF4);</w:t>
            </w:r>
          </w:p>
          <w:p w14:paraId="5DECF518" w14:textId="4367C61D" w:rsidR="000C6958" w:rsidRPr="007C18B4" w:rsidRDefault="000C6958" w:rsidP="00D93256">
            <w:pPr>
              <w:pStyle w:val="STPR2TableBody"/>
            </w:pPr>
            <w:r w:rsidRPr="007C18B4">
              <w:t>Integrate land use and transport (NPF4);</w:t>
            </w:r>
          </w:p>
          <w:p w14:paraId="668388AF" w14:textId="77777777" w:rsidR="000C6958" w:rsidRPr="007C18B4" w:rsidRDefault="000C6958" w:rsidP="00D93256">
            <w:pPr>
              <w:pStyle w:val="STPR2TableBody"/>
            </w:pPr>
            <w:r w:rsidRPr="007C18B4">
              <w:t xml:space="preserve">Minimise waste generation; </w:t>
            </w:r>
          </w:p>
          <w:p w14:paraId="5F1FA226" w14:textId="77777777" w:rsidR="000C6958" w:rsidRPr="007C18B4" w:rsidRDefault="000C6958" w:rsidP="00D93256">
            <w:pPr>
              <w:pStyle w:val="STPR2TableBody"/>
            </w:pPr>
            <w:r w:rsidRPr="007C18B4">
              <w:t>Maintain and enhance transport infrastructure;</w:t>
            </w:r>
          </w:p>
          <w:p w14:paraId="5B9C8051" w14:textId="457914CC" w:rsidR="000C6958" w:rsidRPr="007C18B4" w:rsidRDefault="000C6958" w:rsidP="00D93256">
            <w:pPr>
              <w:pStyle w:val="STPR2TableBody"/>
            </w:pPr>
            <w:r w:rsidRPr="007C18B4">
              <w:t>Encourage an innovative approach to heat generation/renewable</w:t>
            </w:r>
            <w:r w:rsidR="00271B96">
              <w:t> </w:t>
            </w:r>
            <w:r w:rsidRPr="007C18B4">
              <w:t>infrastructure;</w:t>
            </w:r>
          </w:p>
          <w:p w14:paraId="1DF38E93" w14:textId="77777777" w:rsidR="000C6958" w:rsidRPr="007C18B4" w:rsidRDefault="000C6958" w:rsidP="00D93256">
            <w:pPr>
              <w:pStyle w:val="STPR2TableBody"/>
            </w:pPr>
            <w:r w:rsidRPr="007C18B4">
              <w:t xml:space="preserve">Maximise investment in rail infrastructure to support surge in demand, supporting a modal shift in order to reduce emissions; </w:t>
            </w:r>
          </w:p>
          <w:p w14:paraId="23B16D81" w14:textId="77777777" w:rsidR="000C6958" w:rsidRPr="007C18B4" w:rsidRDefault="000C6958" w:rsidP="00D93256">
            <w:pPr>
              <w:pStyle w:val="STPR2TableBody"/>
            </w:pPr>
            <w:r w:rsidRPr="007C18B4">
              <w:t>Improve safety on Scotland’s roads by prioritising initiatives aimed at preventing accidents and developing appropriate accident mitigation;</w:t>
            </w:r>
          </w:p>
          <w:p w14:paraId="68C2A801" w14:textId="7D428532" w:rsidR="000C6958" w:rsidRPr="007C18B4" w:rsidRDefault="000C6958" w:rsidP="00D93256">
            <w:pPr>
              <w:pStyle w:val="STPR2TableBody"/>
            </w:pPr>
            <w:r w:rsidRPr="007C18B4">
              <w:t>Safeguard access to ports and harbours and encourage their sustainable growth to maximise their potential to facilitate cargo movement, passenger movement and to support other</w:t>
            </w:r>
            <w:r w:rsidR="00C7731D">
              <w:t> </w:t>
            </w:r>
            <w:r w:rsidRPr="007C18B4">
              <w:t>sectors;</w:t>
            </w:r>
          </w:p>
          <w:p w14:paraId="0EB42CC5" w14:textId="77777777" w:rsidR="000C6958" w:rsidRPr="007C18B4" w:rsidRDefault="000C6958" w:rsidP="00D93256">
            <w:pPr>
              <w:pStyle w:val="STPR2TableBody"/>
            </w:pPr>
            <w:r w:rsidRPr="007C18B4">
              <w:t xml:space="preserve">Safeguard essential maritime transport links to islands and remote in-land communities; </w:t>
            </w:r>
          </w:p>
          <w:p w14:paraId="31264574" w14:textId="348C1AE6" w:rsidR="000C6958" w:rsidRPr="007C18B4" w:rsidRDefault="000C6958" w:rsidP="00D93256">
            <w:pPr>
              <w:pStyle w:val="STPR2TableBody"/>
            </w:pPr>
            <w:r w:rsidRPr="007C18B4">
              <w:t xml:space="preserve">Improve the provision and connectivity of ferry services in Scotland in order to improve reliability, maximise employment, business and leisure opportunities and to promote social inclusion; </w:t>
            </w:r>
          </w:p>
          <w:p w14:paraId="24433C59" w14:textId="43E3BE75" w:rsidR="000C6958" w:rsidRPr="007C18B4" w:rsidRDefault="000C6958" w:rsidP="00D93256">
            <w:pPr>
              <w:pStyle w:val="STPR2TableBody"/>
            </w:pPr>
            <w:r w:rsidRPr="007C18B4">
              <w:t xml:space="preserve">Improve connectivity between ferry services and sustainable modes of transport </w:t>
            </w:r>
            <w:r w:rsidR="00870087">
              <w:t>(</w:t>
            </w:r>
            <w:r w:rsidRPr="007C18B4">
              <w:t>public transport and active travel</w:t>
            </w:r>
            <w:r w:rsidR="00870087">
              <w:t>)</w:t>
            </w:r>
            <w:r w:rsidRPr="007C18B4">
              <w:t>.</w:t>
            </w:r>
          </w:p>
        </w:tc>
      </w:tr>
      <w:tr w:rsidR="00FA0234" w:rsidRPr="006F782E" w14:paraId="211E8839" w14:textId="77777777" w:rsidTr="00457DAB">
        <w:trPr>
          <w:cantSplit/>
        </w:trPr>
        <w:tc>
          <w:tcPr>
            <w:tcW w:w="1370" w:type="pct"/>
            <w:shd w:val="clear" w:color="auto" w:fill="DCEDC6"/>
          </w:tcPr>
          <w:p w14:paraId="33B67939" w14:textId="77777777" w:rsidR="000C6958" w:rsidRPr="00267124" w:rsidRDefault="000C6958" w:rsidP="00D93256">
            <w:pPr>
              <w:pStyle w:val="STPR2TableBody"/>
            </w:pPr>
            <w:r w:rsidRPr="00267124">
              <w:t>Soil</w:t>
            </w:r>
          </w:p>
        </w:tc>
        <w:tc>
          <w:tcPr>
            <w:tcW w:w="3630" w:type="pct"/>
            <w:shd w:val="clear" w:color="auto" w:fill="DCEDC6"/>
          </w:tcPr>
          <w:p w14:paraId="7A55477C" w14:textId="7DF0C470" w:rsidR="000C6958" w:rsidRPr="007C18B4" w:rsidRDefault="000C6958" w:rsidP="00D93256">
            <w:pPr>
              <w:pStyle w:val="STPR2TableBody"/>
            </w:pPr>
            <w:r w:rsidRPr="007C18B4">
              <w:t xml:space="preserve">Safeguard and maximise the multiple benefits and functions of soils as a vital part of Scotland’s economy, environment and heritage; </w:t>
            </w:r>
          </w:p>
          <w:p w14:paraId="34A460B3" w14:textId="77777777" w:rsidR="000C6958" w:rsidRPr="007C18B4" w:rsidRDefault="000C6958" w:rsidP="00D93256">
            <w:pPr>
              <w:pStyle w:val="STPR2TableBody"/>
            </w:pPr>
            <w:r w:rsidRPr="007C18B4">
              <w:t>Protect and promote carbon-rich soils, such as healthy peatland, due to the benefits of carbon capture and storage.</w:t>
            </w:r>
          </w:p>
        </w:tc>
      </w:tr>
      <w:tr w:rsidR="00FA0234" w:rsidRPr="006F782E" w14:paraId="34BE7910" w14:textId="77777777" w:rsidTr="00457DAB">
        <w:trPr>
          <w:cantSplit/>
        </w:trPr>
        <w:tc>
          <w:tcPr>
            <w:tcW w:w="1370" w:type="pct"/>
            <w:shd w:val="clear" w:color="auto" w:fill="DCEDC6"/>
          </w:tcPr>
          <w:p w14:paraId="2B5CBA57" w14:textId="77777777" w:rsidR="000C6958" w:rsidRPr="00267124" w:rsidRDefault="000C6958" w:rsidP="00D93256">
            <w:pPr>
              <w:pStyle w:val="STPR2TableBody"/>
            </w:pPr>
            <w:r w:rsidRPr="00267124">
              <w:t>Water</w:t>
            </w:r>
          </w:p>
        </w:tc>
        <w:tc>
          <w:tcPr>
            <w:tcW w:w="3630" w:type="pct"/>
            <w:shd w:val="clear" w:color="auto" w:fill="DCEDC6"/>
          </w:tcPr>
          <w:p w14:paraId="1F6567F6" w14:textId="18AD098E" w:rsidR="000C6958" w:rsidRPr="007C18B4" w:rsidRDefault="000C6958" w:rsidP="00D93256">
            <w:pPr>
              <w:pStyle w:val="STPR2TableBody"/>
            </w:pPr>
            <w:r w:rsidRPr="007C18B4">
              <w:t xml:space="preserve">Improve the environmental status of water bodies and reduce adverse </w:t>
            </w:r>
            <w:r w:rsidR="005F0951">
              <w:t>effe</w:t>
            </w:r>
            <w:r w:rsidR="005F0951" w:rsidRPr="004F5EEB">
              <w:t>ct</w:t>
            </w:r>
            <w:r w:rsidR="00FD342A">
              <w:t>s</w:t>
            </w:r>
            <w:r w:rsidRPr="007C18B4">
              <w:t xml:space="preserve"> on the water environment; </w:t>
            </w:r>
          </w:p>
          <w:p w14:paraId="1051FF5E" w14:textId="77777777" w:rsidR="000C6958" w:rsidRPr="007C18B4" w:rsidRDefault="000C6958" w:rsidP="00D93256">
            <w:pPr>
              <w:pStyle w:val="STPR2TableBody"/>
            </w:pPr>
            <w:r w:rsidRPr="007C18B4">
              <w:t>Promote sustainable water use by reducing discharge and emissions and the pollution of groundwater.</w:t>
            </w:r>
          </w:p>
        </w:tc>
      </w:tr>
      <w:tr w:rsidR="00FA0234" w:rsidRPr="006F782E" w14:paraId="66B4D354" w14:textId="77777777" w:rsidTr="00457DAB">
        <w:trPr>
          <w:cantSplit/>
        </w:trPr>
        <w:tc>
          <w:tcPr>
            <w:tcW w:w="1370" w:type="pct"/>
            <w:shd w:val="clear" w:color="auto" w:fill="DCEDC6"/>
          </w:tcPr>
          <w:p w14:paraId="0A373255" w14:textId="77777777" w:rsidR="000C6958" w:rsidRPr="00267124" w:rsidRDefault="000C6958" w:rsidP="00D93256">
            <w:pPr>
              <w:pStyle w:val="STPR2TableBody"/>
            </w:pPr>
            <w:r w:rsidRPr="00267124">
              <w:lastRenderedPageBreak/>
              <w:t>Air and Climatic Factors</w:t>
            </w:r>
          </w:p>
        </w:tc>
        <w:tc>
          <w:tcPr>
            <w:tcW w:w="3630" w:type="pct"/>
            <w:shd w:val="clear" w:color="auto" w:fill="DCEDC6"/>
          </w:tcPr>
          <w:p w14:paraId="0292A05A" w14:textId="45D66429" w:rsidR="000C6958" w:rsidRPr="007C18B4" w:rsidRDefault="000C6958" w:rsidP="00D93256">
            <w:pPr>
              <w:pStyle w:val="STPR2TableBody"/>
            </w:pPr>
            <w:r w:rsidRPr="007C18B4">
              <w:t>Promote Local Authorities to review and assess air quality in their</w:t>
            </w:r>
            <w:r w:rsidR="00271B96">
              <w:t> </w:t>
            </w:r>
            <w:r w:rsidRPr="007C18B4">
              <w:t>areas;</w:t>
            </w:r>
          </w:p>
          <w:p w14:paraId="4E1E5C62" w14:textId="77777777" w:rsidR="000C6958" w:rsidRPr="007C18B4" w:rsidRDefault="000C6958" w:rsidP="00D93256">
            <w:pPr>
              <w:pStyle w:val="STPR2TableBody"/>
            </w:pPr>
            <w:r w:rsidRPr="007C18B4">
              <w:t>Enhance health, wellbeing, environment, place-making and sustainable economic growth through improving air quality across Scotland;</w:t>
            </w:r>
          </w:p>
          <w:p w14:paraId="7DCB0493" w14:textId="77777777" w:rsidR="000C6958" w:rsidRPr="007C18B4" w:rsidRDefault="000C6958" w:rsidP="00D93256">
            <w:pPr>
              <w:pStyle w:val="STPR2TableBody"/>
            </w:pPr>
            <w:r w:rsidRPr="007C18B4">
              <w:t>Ensure citizens are well informed, engaged and empowered to improve air quality;</w:t>
            </w:r>
          </w:p>
          <w:p w14:paraId="707B7E99" w14:textId="77777777" w:rsidR="000C6958" w:rsidRPr="007C18B4" w:rsidRDefault="000C6958" w:rsidP="00D93256">
            <w:pPr>
              <w:pStyle w:val="STPR2TableBody"/>
            </w:pPr>
            <w:r w:rsidRPr="007C18B4">
              <w:t xml:space="preserve">Protect citizens from the harmful effects of air pollution; </w:t>
            </w:r>
          </w:p>
          <w:p w14:paraId="4CB4B5E2" w14:textId="77777777" w:rsidR="000C6958" w:rsidRPr="007C18B4" w:rsidRDefault="000C6958" w:rsidP="00D93256">
            <w:pPr>
              <w:pStyle w:val="STPR2TableBody"/>
            </w:pPr>
            <w:r w:rsidRPr="007C18B4">
              <w:t>Encourage local authorities to develop and implement Air Quality Action Plans in Air Quality Management Areas</w:t>
            </w:r>
          </w:p>
          <w:p w14:paraId="4BB27425" w14:textId="77777777" w:rsidR="000C6958" w:rsidRPr="007C18B4" w:rsidRDefault="000C6958" w:rsidP="00D93256">
            <w:pPr>
              <w:pStyle w:val="STPR2TableBody"/>
            </w:pPr>
            <w:r w:rsidRPr="007C18B4">
              <w:t>Reduce greenhouse gas emissions;</w:t>
            </w:r>
          </w:p>
          <w:p w14:paraId="181E8F81" w14:textId="415452A5" w:rsidR="000C6958" w:rsidRPr="007C18B4" w:rsidRDefault="000C6958" w:rsidP="00D93256">
            <w:pPr>
              <w:pStyle w:val="STPR2TableBody"/>
            </w:pPr>
            <w:r w:rsidRPr="007C18B4">
              <w:t xml:space="preserve">Meet key emissions-reduction target dates (2020 and 2050), including annual targets; </w:t>
            </w:r>
          </w:p>
          <w:p w14:paraId="6773F618" w14:textId="77777777" w:rsidR="000C6958" w:rsidRPr="007C18B4" w:rsidRDefault="000C6958" w:rsidP="00D93256">
            <w:pPr>
              <w:pStyle w:val="STPR2TableBody"/>
            </w:pPr>
            <w:r w:rsidRPr="007C18B4">
              <w:t>Largely decarbonise road transport and encourage modal shift to lower emission modes of travel.</w:t>
            </w:r>
          </w:p>
        </w:tc>
      </w:tr>
      <w:tr w:rsidR="00FA0234" w:rsidRPr="006F782E" w14:paraId="353A5C00" w14:textId="77777777" w:rsidTr="00457DAB">
        <w:trPr>
          <w:cantSplit/>
        </w:trPr>
        <w:tc>
          <w:tcPr>
            <w:tcW w:w="1370" w:type="pct"/>
            <w:shd w:val="clear" w:color="auto" w:fill="DCEDC6"/>
          </w:tcPr>
          <w:p w14:paraId="421C2AD6" w14:textId="77777777" w:rsidR="000C6958" w:rsidRPr="00267124" w:rsidRDefault="000C6958" w:rsidP="00D93256">
            <w:pPr>
              <w:pStyle w:val="STPR2TableBody"/>
            </w:pPr>
            <w:r w:rsidRPr="00267124">
              <w:t>Cultural Heritage</w:t>
            </w:r>
          </w:p>
        </w:tc>
        <w:tc>
          <w:tcPr>
            <w:tcW w:w="3630" w:type="pct"/>
            <w:shd w:val="clear" w:color="auto" w:fill="DCEDC6"/>
          </w:tcPr>
          <w:p w14:paraId="4DA42E1B" w14:textId="77777777" w:rsidR="000C6958" w:rsidRPr="007C18B4" w:rsidRDefault="000C6958" w:rsidP="00D93256">
            <w:pPr>
              <w:pStyle w:val="STPR2TableBody"/>
            </w:pPr>
            <w:r w:rsidRPr="007C18B4">
              <w:t>Enhance the cultural, social, environmental and economic value of Scotland’s historic assets in order to achieve sustainable development in communities;</w:t>
            </w:r>
          </w:p>
          <w:p w14:paraId="2E899DE6" w14:textId="27D36E6D" w:rsidR="000C6958" w:rsidRPr="007C18B4" w:rsidRDefault="000C6958" w:rsidP="00D93256">
            <w:pPr>
              <w:pStyle w:val="STPR2TableBody"/>
            </w:pPr>
            <w:r w:rsidRPr="007C18B4">
              <w:t xml:space="preserve">Emphasise the positive </w:t>
            </w:r>
            <w:r w:rsidR="00FD342A">
              <w:t>effe</w:t>
            </w:r>
            <w:r w:rsidR="00FD342A" w:rsidRPr="004F5EEB">
              <w:t>cts</w:t>
            </w:r>
            <w:r w:rsidRPr="007C18B4">
              <w:t xml:space="preserve"> of protecting these assets on building vibrant communities through good design;</w:t>
            </w:r>
          </w:p>
          <w:p w14:paraId="707B3D18" w14:textId="5AF35769" w:rsidR="000C6958" w:rsidRPr="007C18B4" w:rsidRDefault="000C6958" w:rsidP="00D93256">
            <w:pPr>
              <w:pStyle w:val="STPR2TableBody"/>
            </w:pPr>
            <w:r w:rsidRPr="007C18B4">
              <w:t xml:space="preserve">Detrimental </w:t>
            </w:r>
            <w:r w:rsidR="00FD342A">
              <w:t>effe</w:t>
            </w:r>
            <w:r w:rsidR="00FD342A" w:rsidRPr="004F5EEB">
              <w:t>cts</w:t>
            </w:r>
            <w:r w:rsidR="00FD342A" w:rsidRPr="007C18B4" w:rsidDel="00FD342A">
              <w:t xml:space="preserve"> </w:t>
            </w:r>
            <w:r w:rsidRPr="007C18B4">
              <w:t xml:space="preserve">on the historic environment should be minimised; </w:t>
            </w:r>
          </w:p>
          <w:p w14:paraId="42E3B8EE" w14:textId="77777777" w:rsidR="000C6958" w:rsidRPr="007C18B4" w:rsidRDefault="000C6958" w:rsidP="00D93256">
            <w:pPr>
              <w:pStyle w:val="STPR2TableBody"/>
            </w:pPr>
            <w:r w:rsidRPr="007C18B4">
              <w:t>Strengthen the collaboration between different organisations and groups in protecting the historic environment</w:t>
            </w:r>
          </w:p>
        </w:tc>
      </w:tr>
      <w:tr w:rsidR="00FA0234" w:rsidRPr="006F782E" w14:paraId="2D329B26" w14:textId="77777777" w:rsidTr="00457DAB">
        <w:trPr>
          <w:cantSplit/>
        </w:trPr>
        <w:tc>
          <w:tcPr>
            <w:tcW w:w="1370" w:type="pct"/>
            <w:shd w:val="clear" w:color="auto" w:fill="DCEDC6"/>
          </w:tcPr>
          <w:p w14:paraId="1AE8482A" w14:textId="3DE874CC" w:rsidR="000C6958" w:rsidRPr="00267124" w:rsidRDefault="00276FC1" w:rsidP="00D93256">
            <w:pPr>
              <w:pStyle w:val="STPR2TableBody"/>
            </w:pPr>
            <w:r w:rsidRPr="00267124">
              <w:t>Landscape /</w:t>
            </w:r>
            <w:r>
              <w:t xml:space="preserve"> </w:t>
            </w:r>
            <w:r w:rsidRPr="00267124">
              <w:t>Townscape</w:t>
            </w:r>
          </w:p>
        </w:tc>
        <w:tc>
          <w:tcPr>
            <w:tcW w:w="3630" w:type="pct"/>
            <w:shd w:val="clear" w:color="auto" w:fill="DCEDC6"/>
          </w:tcPr>
          <w:p w14:paraId="5C2536C4" w14:textId="77777777" w:rsidR="000C6958" w:rsidRPr="007C18B4" w:rsidRDefault="000C6958" w:rsidP="00D93256">
            <w:pPr>
              <w:pStyle w:val="STPR2TableBody"/>
            </w:pPr>
            <w:r w:rsidRPr="007C18B4">
              <w:t xml:space="preserve">Protect Scotland’s landscape due to its contribution to quality of life, promoting the country’s national identity and enhancing the economy; </w:t>
            </w:r>
          </w:p>
          <w:p w14:paraId="1AB2F04C" w14:textId="77777777" w:rsidR="000C6958" w:rsidRPr="007C18B4" w:rsidRDefault="000C6958" w:rsidP="00D93256">
            <w:pPr>
              <w:pStyle w:val="STPR2TableBody"/>
            </w:pPr>
            <w:r w:rsidRPr="007C18B4">
              <w:t>Ensure that the unique qualities of Scotland’s cities, their historic environment and the character of its urban areas are safeguarded for the future;</w:t>
            </w:r>
          </w:p>
          <w:p w14:paraId="5DB94715" w14:textId="446D3E52" w:rsidR="000C6958" w:rsidRPr="007C18B4" w:rsidRDefault="000C6958" w:rsidP="00D93256">
            <w:pPr>
              <w:pStyle w:val="STPR2TableBody"/>
            </w:pPr>
            <w:r w:rsidRPr="007C18B4">
              <w:t xml:space="preserve">Design places that are compact, walkable and connected by sustainable modes of transport; </w:t>
            </w:r>
          </w:p>
          <w:p w14:paraId="27E8E8AA" w14:textId="443B6430" w:rsidR="000C6958" w:rsidRPr="007C18B4" w:rsidRDefault="000C6958" w:rsidP="00D93256">
            <w:pPr>
              <w:pStyle w:val="STPR2TableBody"/>
            </w:pPr>
            <w:r w:rsidRPr="007C18B4">
              <w:t>Protect important landscape, townscape, seascape and natural environmental features</w:t>
            </w:r>
            <w:r w:rsidR="0039074D">
              <w:t>.</w:t>
            </w:r>
          </w:p>
        </w:tc>
      </w:tr>
    </w:tbl>
    <w:p w14:paraId="6A8FE28A" w14:textId="50BF0CCE" w:rsidR="000C6958" w:rsidRDefault="00A86B56" w:rsidP="000C6958">
      <w:r>
        <w:br w:type="page"/>
      </w:r>
    </w:p>
    <w:p w14:paraId="2DF131A9" w14:textId="59104091" w:rsidR="000C6958" w:rsidRDefault="000C6958" w:rsidP="00155B4B">
      <w:pPr>
        <w:pStyle w:val="Heading1"/>
      </w:pPr>
      <w:bookmarkStart w:id="558" w:name="_Toc20756474"/>
      <w:bookmarkStart w:id="559" w:name="_Toc20758907"/>
      <w:bookmarkStart w:id="560" w:name="_Toc20758980"/>
      <w:bookmarkStart w:id="561" w:name="_Toc20759051"/>
      <w:bookmarkStart w:id="562" w:name="_Toc20759243"/>
      <w:bookmarkStart w:id="563" w:name="_Toc20898728"/>
      <w:bookmarkStart w:id="564" w:name="_Toc20899013"/>
      <w:bookmarkStart w:id="565" w:name="_Toc20903671"/>
      <w:bookmarkStart w:id="566" w:name="_Toc20903783"/>
      <w:bookmarkStart w:id="567" w:name="_Toc20903903"/>
      <w:bookmarkStart w:id="568" w:name="_Toc21078548"/>
      <w:bookmarkStart w:id="569" w:name="_Toc21080174"/>
      <w:bookmarkStart w:id="570" w:name="_Toc21353793"/>
      <w:bookmarkStart w:id="571" w:name="_Toc21354258"/>
      <w:bookmarkStart w:id="572" w:name="_Toc21446921"/>
      <w:bookmarkStart w:id="573" w:name="_Toc21447177"/>
      <w:bookmarkStart w:id="574" w:name="_Toc21447291"/>
      <w:bookmarkStart w:id="575" w:name="_Toc21447536"/>
      <w:bookmarkStart w:id="576" w:name="_Toc21447670"/>
      <w:bookmarkStart w:id="577" w:name="_Toc21510429"/>
      <w:bookmarkStart w:id="578" w:name="_Toc21511031"/>
      <w:bookmarkStart w:id="579" w:name="_Toc21523100"/>
      <w:bookmarkStart w:id="580" w:name="_Toc21672573"/>
      <w:bookmarkStart w:id="581" w:name="_Toc21677979"/>
      <w:bookmarkStart w:id="582" w:name="_Toc20756475"/>
      <w:bookmarkStart w:id="583" w:name="_Toc20758908"/>
      <w:bookmarkStart w:id="584" w:name="_Toc20758981"/>
      <w:bookmarkStart w:id="585" w:name="_Toc20759052"/>
      <w:bookmarkStart w:id="586" w:name="_Toc20759244"/>
      <w:bookmarkStart w:id="587" w:name="_Toc20898729"/>
      <w:bookmarkStart w:id="588" w:name="_Toc20899014"/>
      <w:bookmarkStart w:id="589" w:name="_Toc20903672"/>
      <w:bookmarkStart w:id="590" w:name="_Toc20903784"/>
      <w:bookmarkStart w:id="591" w:name="_Toc20903904"/>
      <w:bookmarkStart w:id="592" w:name="_Toc21078549"/>
      <w:bookmarkStart w:id="593" w:name="_Toc21080175"/>
      <w:bookmarkStart w:id="594" w:name="_Toc21353794"/>
      <w:bookmarkStart w:id="595" w:name="_Toc21354259"/>
      <w:bookmarkStart w:id="596" w:name="_Toc21446922"/>
      <w:bookmarkStart w:id="597" w:name="_Toc21447178"/>
      <w:bookmarkStart w:id="598" w:name="_Toc21447292"/>
      <w:bookmarkStart w:id="599" w:name="_Toc21447537"/>
      <w:bookmarkStart w:id="600" w:name="_Toc21447671"/>
      <w:bookmarkStart w:id="601" w:name="_Toc21510430"/>
      <w:bookmarkStart w:id="602" w:name="_Toc21511032"/>
      <w:bookmarkStart w:id="603" w:name="_Toc21523101"/>
      <w:bookmarkStart w:id="604" w:name="_Toc21672574"/>
      <w:bookmarkStart w:id="605" w:name="_Toc21677980"/>
      <w:bookmarkStart w:id="606" w:name="_Toc20756476"/>
      <w:bookmarkStart w:id="607" w:name="_Toc20758909"/>
      <w:bookmarkStart w:id="608" w:name="_Toc20758982"/>
      <w:bookmarkStart w:id="609" w:name="_Toc20759053"/>
      <w:bookmarkStart w:id="610" w:name="_Toc20759245"/>
      <w:bookmarkStart w:id="611" w:name="_Toc20898730"/>
      <w:bookmarkStart w:id="612" w:name="_Toc20899015"/>
      <w:bookmarkStart w:id="613" w:name="_Toc20903673"/>
      <w:bookmarkStart w:id="614" w:name="_Toc20903785"/>
      <w:bookmarkStart w:id="615" w:name="_Toc20903905"/>
      <w:bookmarkStart w:id="616" w:name="_Toc21078550"/>
      <w:bookmarkStart w:id="617" w:name="_Toc21080176"/>
      <w:bookmarkStart w:id="618" w:name="_Toc21353795"/>
      <w:bookmarkStart w:id="619" w:name="_Toc21354260"/>
      <w:bookmarkStart w:id="620" w:name="_Toc21446923"/>
      <w:bookmarkStart w:id="621" w:name="_Toc21447179"/>
      <w:bookmarkStart w:id="622" w:name="_Toc21447293"/>
      <w:bookmarkStart w:id="623" w:name="_Toc21447538"/>
      <w:bookmarkStart w:id="624" w:name="_Toc21447672"/>
      <w:bookmarkStart w:id="625" w:name="_Toc21510431"/>
      <w:bookmarkStart w:id="626" w:name="_Toc21511033"/>
      <w:bookmarkStart w:id="627" w:name="_Toc21523102"/>
      <w:bookmarkStart w:id="628" w:name="_Toc21672575"/>
      <w:bookmarkStart w:id="629" w:name="_Toc21677981"/>
      <w:bookmarkStart w:id="630" w:name="_Toc20756477"/>
      <w:bookmarkStart w:id="631" w:name="_Toc20758910"/>
      <w:bookmarkStart w:id="632" w:name="_Toc20758983"/>
      <w:bookmarkStart w:id="633" w:name="_Toc20759054"/>
      <w:bookmarkStart w:id="634" w:name="_Toc20759246"/>
      <w:bookmarkStart w:id="635" w:name="_Toc20898731"/>
      <w:bookmarkStart w:id="636" w:name="_Toc20899016"/>
      <w:bookmarkStart w:id="637" w:name="_Toc20903674"/>
      <w:bookmarkStart w:id="638" w:name="_Toc20903786"/>
      <w:bookmarkStart w:id="639" w:name="_Toc20903906"/>
      <w:bookmarkStart w:id="640" w:name="_Toc21078551"/>
      <w:bookmarkStart w:id="641" w:name="_Toc21080177"/>
      <w:bookmarkStart w:id="642" w:name="_Toc21353796"/>
      <w:bookmarkStart w:id="643" w:name="_Toc21354261"/>
      <w:bookmarkStart w:id="644" w:name="_Toc21446924"/>
      <w:bookmarkStart w:id="645" w:name="_Toc21447180"/>
      <w:bookmarkStart w:id="646" w:name="_Toc21447294"/>
      <w:bookmarkStart w:id="647" w:name="_Toc21447539"/>
      <w:bookmarkStart w:id="648" w:name="_Toc21447673"/>
      <w:bookmarkStart w:id="649" w:name="_Toc21510432"/>
      <w:bookmarkStart w:id="650" w:name="_Toc21511034"/>
      <w:bookmarkStart w:id="651" w:name="_Toc21523103"/>
      <w:bookmarkStart w:id="652" w:name="_Toc21672576"/>
      <w:bookmarkStart w:id="653" w:name="_Toc21677982"/>
      <w:bookmarkStart w:id="654" w:name="_Toc20756478"/>
      <w:bookmarkStart w:id="655" w:name="_Toc20758911"/>
      <w:bookmarkStart w:id="656" w:name="_Toc20758984"/>
      <w:bookmarkStart w:id="657" w:name="_Toc20759055"/>
      <w:bookmarkStart w:id="658" w:name="_Toc20759247"/>
      <w:bookmarkStart w:id="659" w:name="_Toc20898732"/>
      <w:bookmarkStart w:id="660" w:name="_Toc20899017"/>
      <w:bookmarkStart w:id="661" w:name="_Toc20903675"/>
      <w:bookmarkStart w:id="662" w:name="_Toc20903787"/>
      <w:bookmarkStart w:id="663" w:name="_Toc20903907"/>
      <w:bookmarkStart w:id="664" w:name="_Toc21078552"/>
      <w:bookmarkStart w:id="665" w:name="_Toc21080178"/>
      <w:bookmarkStart w:id="666" w:name="_Toc21353797"/>
      <w:bookmarkStart w:id="667" w:name="_Toc21354262"/>
      <w:bookmarkStart w:id="668" w:name="_Toc21446925"/>
      <w:bookmarkStart w:id="669" w:name="_Toc21447181"/>
      <w:bookmarkStart w:id="670" w:name="_Toc21447295"/>
      <w:bookmarkStart w:id="671" w:name="_Toc21447540"/>
      <w:bookmarkStart w:id="672" w:name="_Toc21447674"/>
      <w:bookmarkStart w:id="673" w:name="_Toc21510433"/>
      <w:bookmarkStart w:id="674" w:name="_Toc21511035"/>
      <w:bookmarkStart w:id="675" w:name="_Toc21523104"/>
      <w:bookmarkStart w:id="676" w:name="_Toc21672577"/>
      <w:bookmarkStart w:id="677" w:name="_Toc21677983"/>
      <w:bookmarkStart w:id="678" w:name="_Toc20756479"/>
      <w:bookmarkStart w:id="679" w:name="_Toc20758912"/>
      <w:bookmarkStart w:id="680" w:name="_Toc20758985"/>
      <w:bookmarkStart w:id="681" w:name="_Toc20759056"/>
      <w:bookmarkStart w:id="682" w:name="_Toc20759248"/>
      <w:bookmarkStart w:id="683" w:name="_Toc20898733"/>
      <w:bookmarkStart w:id="684" w:name="_Toc20899018"/>
      <w:bookmarkStart w:id="685" w:name="_Toc20903676"/>
      <w:bookmarkStart w:id="686" w:name="_Toc20903788"/>
      <w:bookmarkStart w:id="687" w:name="_Toc20903908"/>
      <w:bookmarkStart w:id="688" w:name="_Toc21078553"/>
      <w:bookmarkStart w:id="689" w:name="_Toc21080179"/>
      <w:bookmarkStart w:id="690" w:name="_Toc21353798"/>
      <w:bookmarkStart w:id="691" w:name="_Toc21354263"/>
      <w:bookmarkStart w:id="692" w:name="_Toc21446926"/>
      <w:bookmarkStart w:id="693" w:name="_Toc21447182"/>
      <w:bookmarkStart w:id="694" w:name="_Toc21447296"/>
      <w:bookmarkStart w:id="695" w:name="_Toc21447541"/>
      <w:bookmarkStart w:id="696" w:name="_Toc21447675"/>
      <w:bookmarkStart w:id="697" w:name="_Toc21510434"/>
      <w:bookmarkStart w:id="698" w:name="_Toc21511036"/>
      <w:bookmarkStart w:id="699" w:name="_Toc21523105"/>
      <w:bookmarkStart w:id="700" w:name="_Toc21672578"/>
      <w:bookmarkStart w:id="701" w:name="_Toc21677984"/>
      <w:bookmarkStart w:id="702" w:name="_Toc20756480"/>
      <w:bookmarkStart w:id="703" w:name="_Toc20758913"/>
      <w:bookmarkStart w:id="704" w:name="_Toc20758986"/>
      <w:bookmarkStart w:id="705" w:name="_Toc20759057"/>
      <w:bookmarkStart w:id="706" w:name="_Toc20759249"/>
      <w:bookmarkStart w:id="707" w:name="_Toc20898734"/>
      <w:bookmarkStart w:id="708" w:name="_Toc20899019"/>
      <w:bookmarkStart w:id="709" w:name="_Toc20903677"/>
      <w:bookmarkStart w:id="710" w:name="_Toc20903789"/>
      <w:bookmarkStart w:id="711" w:name="_Toc20903909"/>
      <w:bookmarkStart w:id="712" w:name="_Toc21078554"/>
      <w:bookmarkStart w:id="713" w:name="_Toc21080180"/>
      <w:bookmarkStart w:id="714" w:name="_Toc21353799"/>
      <w:bookmarkStart w:id="715" w:name="_Toc21354264"/>
      <w:bookmarkStart w:id="716" w:name="_Toc21446927"/>
      <w:bookmarkStart w:id="717" w:name="_Toc21447183"/>
      <w:bookmarkStart w:id="718" w:name="_Toc21447297"/>
      <w:bookmarkStart w:id="719" w:name="_Toc21447542"/>
      <w:bookmarkStart w:id="720" w:name="_Toc21447676"/>
      <w:bookmarkStart w:id="721" w:name="_Toc21510435"/>
      <w:bookmarkStart w:id="722" w:name="_Toc21511037"/>
      <w:bookmarkStart w:id="723" w:name="_Toc21523106"/>
      <w:bookmarkStart w:id="724" w:name="_Toc21672579"/>
      <w:bookmarkStart w:id="725" w:name="_Toc21677985"/>
      <w:bookmarkStart w:id="726" w:name="_Toc20756481"/>
      <w:bookmarkStart w:id="727" w:name="_Toc20758914"/>
      <w:bookmarkStart w:id="728" w:name="_Toc20758987"/>
      <w:bookmarkStart w:id="729" w:name="_Toc20759058"/>
      <w:bookmarkStart w:id="730" w:name="_Toc20759250"/>
      <w:bookmarkStart w:id="731" w:name="_Toc20898735"/>
      <w:bookmarkStart w:id="732" w:name="_Toc20899020"/>
      <w:bookmarkStart w:id="733" w:name="_Toc20903678"/>
      <w:bookmarkStart w:id="734" w:name="_Toc20903790"/>
      <w:bookmarkStart w:id="735" w:name="_Toc20903910"/>
      <w:bookmarkStart w:id="736" w:name="_Toc21078555"/>
      <w:bookmarkStart w:id="737" w:name="_Toc21080181"/>
      <w:bookmarkStart w:id="738" w:name="_Toc21353800"/>
      <w:bookmarkStart w:id="739" w:name="_Toc21354265"/>
      <w:bookmarkStart w:id="740" w:name="_Toc21446928"/>
      <w:bookmarkStart w:id="741" w:name="_Toc21447184"/>
      <w:bookmarkStart w:id="742" w:name="_Toc21447298"/>
      <w:bookmarkStart w:id="743" w:name="_Toc21447543"/>
      <w:bookmarkStart w:id="744" w:name="_Toc21447677"/>
      <w:bookmarkStart w:id="745" w:name="_Toc21510436"/>
      <w:bookmarkStart w:id="746" w:name="_Toc21511038"/>
      <w:bookmarkStart w:id="747" w:name="_Toc21523107"/>
      <w:bookmarkStart w:id="748" w:name="_Toc21672580"/>
      <w:bookmarkStart w:id="749" w:name="_Toc21677986"/>
      <w:bookmarkStart w:id="750" w:name="_Toc20756482"/>
      <w:bookmarkStart w:id="751" w:name="_Toc20758915"/>
      <w:bookmarkStart w:id="752" w:name="_Toc20758988"/>
      <w:bookmarkStart w:id="753" w:name="_Toc20759059"/>
      <w:bookmarkStart w:id="754" w:name="_Toc20759251"/>
      <w:bookmarkStart w:id="755" w:name="_Toc20898736"/>
      <w:bookmarkStart w:id="756" w:name="_Toc20899021"/>
      <w:bookmarkStart w:id="757" w:name="_Toc20903679"/>
      <w:bookmarkStart w:id="758" w:name="_Toc20903791"/>
      <w:bookmarkStart w:id="759" w:name="_Toc20903911"/>
      <w:bookmarkStart w:id="760" w:name="_Toc21078556"/>
      <w:bookmarkStart w:id="761" w:name="_Toc21080182"/>
      <w:bookmarkStart w:id="762" w:name="_Toc21353801"/>
      <w:bookmarkStart w:id="763" w:name="_Toc21354266"/>
      <w:bookmarkStart w:id="764" w:name="_Toc21446929"/>
      <w:bookmarkStart w:id="765" w:name="_Toc21447185"/>
      <w:bookmarkStart w:id="766" w:name="_Toc21447299"/>
      <w:bookmarkStart w:id="767" w:name="_Toc21447544"/>
      <w:bookmarkStart w:id="768" w:name="_Toc21447678"/>
      <w:bookmarkStart w:id="769" w:name="_Toc21510437"/>
      <w:bookmarkStart w:id="770" w:name="_Toc21511039"/>
      <w:bookmarkStart w:id="771" w:name="_Toc21523108"/>
      <w:bookmarkStart w:id="772" w:name="_Toc21672581"/>
      <w:bookmarkStart w:id="773" w:name="_Toc21677987"/>
      <w:bookmarkStart w:id="774" w:name="_Toc20756483"/>
      <w:bookmarkStart w:id="775" w:name="_Toc20758916"/>
      <w:bookmarkStart w:id="776" w:name="_Toc20758989"/>
      <w:bookmarkStart w:id="777" w:name="_Toc20759060"/>
      <w:bookmarkStart w:id="778" w:name="_Toc20759252"/>
      <w:bookmarkStart w:id="779" w:name="_Toc20898737"/>
      <w:bookmarkStart w:id="780" w:name="_Toc20899022"/>
      <w:bookmarkStart w:id="781" w:name="_Toc20903680"/>
      <w:bookmarkStart w:id="782" w:name="_Toc20903792"/>
      <w:bookmarkStart w:id="783" w:name="_Toc20903912"/>
      <w:bookmarkStart w:id="784" w:name="_Toc21078557"/>
      <w:bookmarkStart w:id="785" w:name="_Toc21080183"/>
      <w:bookmarkStart w:id="786" w:name="_Toc21353802"/>
      <w:bookmarkStart w:id="787" w:name="_Toc21354267"/>
      <w:bookmarkStart w:id="788" w:name="_Toc21446930"/>
      <w:bookmarkStart w:id="789" w:name="_Toc21447186"/>
      <w:bookmarkStart w:id="790" w:name="_Toc21447300"/>
      <w:bookmarkStart w:id="791" w:name="_Toc21447545"/>
      <w:bookmarkStart w:id="792" w:name="_Toc21447679"/>
      <w:bookmarkStart w:id="793" w:name="_Toc21510438"/>
      <w:bookmarkStart w:id="794" w:name="_Toc21511040"/>
      <w:bookmarkStart w:id="795" w:name="_Toc21523109"/>
      <w:bookmarkStart w:id="796" w:name="_Toc21672582"/>
      <w:bookmarkStart w:id="797" w:name="_Toc21677988"/>
      <w:bookmarkStart w:id="798" w:name="_Toc20756484"/>
      <w:bookmarkStart w:id="799" w:name="_Toc20758917"/>
      <w:bookmarkStart w:id="800" w:name="_Toc20758990"/>
      <w:bookmarkStart w:id="801" w:name="_Toc20759061"/>
      <w:bookmarkStart w:id="802" w:name="_Toc20759253"/>
      <w:bookmarkStart w:id="803" w:name="_Toc20898738"/>
      <w:bookmarkStart w:id="804" w:name="_Toc20899023"/>
      <w:bookmarkStart w:id="805" w:name="_Toc20903681"/>
      <w:bookmarkStart w:id="806" w:name="_Toc20903793"/>
      <w:bookmarkStart w:id="807" w:name="_Toc20903913"/>
      <w:bookmarkStart w:id="808" w:name="_Toc21078558"/>
      <w:bookmarkStart w:id="809" w:name="_Toc21080184"/>
      <w:bookmarkStart w:id="810" w:name="_Toc21353803"/>
      <w:bookmarkStart w:id="811" w:name="_Toc21354268"/>
      <w:bookmarkStart w:id="812" w:name="_Toc21446931"/>
      <w:bookmarkStart w:id="813" w:name="_Toc21447187"/>
      <w:bookmarkStart w:id="814" w:name="_Toc21447301"/>
      <w:bookmarkStart w:id="815" w:name="_Toc21447546"/>
      <w:bookmarkStart w:id="816" w:name="_Toc21447680"/>
      <w:bookmarkStart w:id="817" w:name="_Toc21510439"/>
      <w:bookmarkStart w:id="818" w:name="_Toc21511041"/>
      <w:bookmarkStart w:id="819" w:name="_Toc21523110"/>
      <w:bookmarkStart w:id="820" w:name="_Toc21672583"/>
      <w:bookmarkStart w:id="821" w:name="_Toc21677989"/>
      <w:bookmarkStart w:id="822" w:name="_Toc20756485"/>
      <w:bookmarkStart w:id="823" w:name="_Toc20758918"/>
      <w:bookmarkStart w:id="824" w:name="_Toc20758991"/>
      <w:bookmarkStart w:id="825" w:name="_Toc20759062"/>
      <w:bookmarkStart w:id="826" w:name="_Toc20759254"/>
      <w:bookmarkStart w:id="827" w:name="_Toc20898739"/>
      <w:bookmarkStart w:id="828" w:name="_Toc20899024"/>
      <w:bookmarkStart w:id="829" w:name="_Toc20903682"/>
      <w:bookmarkStart w:id="830" w:name="_Toc20903794"/>
      <w:bookmarkStart w:id="831" w:name="_Toc20903914"/>
      <w:bookmarkStart w:id="832" w:name="_Toc21078559"/>
      <w:bookmarkStart w:id="833" w:name="_Toc21080185"/>
      <w:bookmarkStart w:id="834" w:name="_Toc21353804"/>
      <w:bookmarkStart w:id="835" w:name="_Toc21354269"/>
      <w:bookmarkStart w:id="836" w:name="_Toc21446932"/>
      <w:bookmarkStart w:id="837" w:name="_Toc21447188"/>
      <w:bookmarkStart w:id="838" w:name="_Toc21447302"/>
      <w:bookmarkStart w:id="839" w:name="_Toc21447547"/>
      <w:bookmarkStart w:id="840" w:name="_Toc21447681"/>
      <w:bookmarkStart w:id="841" w:name="_Toc21510440"/>
      <w:bookmarkStart w:id="842" w:name="_Toc21511042"/>
      <w:bookmarkStart w:id="843" w:name="_Toc21523111"/>
      <w:bookmarkStart w:id="844" w:name="_Toc21672584"/>
      <w:bookmarkStart w:id="845" w:name="_Toc21677990"/>
      <w:bookmarkStart w:id="846" w:name="_Toc20756486"/>
      <w:bookmarkStart w:id="847" w:name="_Toc20758919"/>
      <w:bookmarkStart w:id="848" w:name="_Toc20758992"/>
      <w:bookmarkStart w:id="849" w:name="_Toc20759063"/>
      <w:bookmarkStart w:id="850" w:name="_Toc20759255"/>
      <w:bookmarkStart w:id="851" w:name="_Toc20898740"/>
      <w:bookmarkStart w:id="852" w:name="_Toc20899025"/>
      <w:bookmarkStart w:id="853" w:name="_Toc20903683"/>
      <w:bookmarkStart w:id="854" w:name="_Toc20903795"/>
      <w:bookmarkStart w:id="855" w:name="_Toc20903915"/>
      <w:bookmarkStart w:id="856" w:name="_Toc21078560"/>
      <w:bookmarkStart w:id="857" w:name="_Toc21080186"/>
      <w:bookmarkStart w:id="858" w:name="_Toc21353805"/>
      <w:bookmarkStart w:id="859" w:name="_Toc21354270"/>
      <w:bookmarkStart w:id="860" w:name="_Toc21446933"/>
      <w:bookmarkStart w:id="861" w:name="_Toc21447189"/>
      <w:bookmarkStart w:id="862" w:name="_Toc21447303"/>
      <w:bookmarkStart w:id="863" w:name="_Toc21447548"/>
      <w:bookmarkStart w:id="864" w:name="_Toc21447682"/>
      <w:bookmarkStart w:id="865" w:name="_Toc21510441"/>
      <w:bookmarkStart w:id="866" w:name="_Toc21511043"/>
      <w:bookmarkStart w:id="867" w:name="_Toc21523112"/>
      <w:bookmarkStart w:id="868" w:name="_Toc21672585"/>
      <w:bookmarkStart w:id="869" w:name="_Toc21677991"/>
      <w:bookmarkStart w:id="870" w:name="_Toc20756487"/>
      <w:bookmarkStart w:id="871" w:name="_Toc20758920"/>
      <w:bookmarkStart w:id="872" w:name="_Toc20758993"/>
      <w:bookmarkStart w:id="873" w:name="_Toc20759064"/>
      <w:bookmarkStart w:id="874" w:name="_Toc20759256"/>
      <w:bookmarkStart w:id="875" w:name="_Toc20898741"/>
      <w:bookmarkStart w:id="876" w:name="_Toc20899026"/>
      <w:bookmarkStart w:id="877" w:name="_Toc20903684"/>
      <w:bookmarkStart w:id="878" w:name="_Toc20903796"/>
      <w:bookmarkStart w:id="879" w:name="_Toc20903916"/>
      <w:bookmarkStart w:id="880" w:name="_Toc21078561"/>
      <w:bookmarkStart w:id="881" w:name="_Toc21080187"/>
      <w:bookmarkStart w:id="882" w:name="_Toc21353806"/>
      <w:bookmarkStart w:id="883" w:name="_Toc21354271"/>
      <w:bookmarkStart w:id="884" w:name="_Toc21446934"/>
      <w:bookmarkStart w:id="885" w:name="_Toc21447190"/>
      <w:bookmarkStart w:id="886" w:name="_Toc21447304"/>
      <w:bookmarkStart w:id="887" w:name="_Toc21447549"/>
      <w:bookmarkStart w:id="888" w:name="_Toc21447683"/>
      <w:bookmarkStart w:id="889" w:name="_Toc21510442"/>
      <w:bookmarkStart w:id="890" w:name="_Toc21511044"/>
      <w:bookmarkStart w:id="891" w:name="_Toc21523113"/>
      <w:bookmarkStart w:id="892" w:name="_Toc21672586"/>
      <w:bookmarkStart w:id="893" w:name="_Toc21677992"/>
      <w:bookmarkStart w:id="894" w:name="_Toc20756488"/>
      <w:bookmarkStart w:id="895" w:name="_Toc20758921"/>
      <w:bookmarkStart w:id="896" w:name="_Toc20758994"/>
      <w:bookmarkStart w:id="897" w:name="_Toc20759065"/>
      <w:bookmarkStart w:id="898" w:name="_Toc20759257"/>
      <w:bookmarkStart w:id="899" w:name="_Toc20898742"/>
      <w:bookmarkStart w:id="900" w:name="_Toc20899027"/>
      <w:bookmarkStart w:id="901" w:name="_Toc20903685"/>
      <w:bookmarkStart w:id="902" w:name="_Toc20903797"/>
      <w:bookmarkStart w:id="903" w:name="_Toc20903917"/>
      <w:bookmarkStart w:id="904" w:name="_Toc21078562"/>
      <w:bookmarkStart w:id="905" w:name="_Toc21080188"/>
      <w:bookmarkStart w:id="906" w:name="_Toc21353807"/>
      <w:bookmarkStart w:id="907" w:name="_Toc21354272"/>
      <w:bookmarkStart w:id="908" w:name="_Toc21446935"/>
      <w:bookmarkStart w:id="909" w:name="_Toc21447191"/>
      <w:bookmarkStart w:id="910" w:name="_Toc21447305"/>
      <w:bookmarkStart w:id="911" w:name="_Toc21447550"/>
      <w:bookmarkStart w:id="912" w:name="_Toc21447684"/>
      <w:bookmarkStart w:id="913" w:name="_Toc21510443"/>
      <w:bookmarkStart w:id="914" w:name="_Toc21511045"/>
      <w:bookmarkStart w:id="915" w:name="_Toc21523114"/>
      <w:bookmarkStart w:id="916" w:name="_Toc21672587"/>
      <w:bookmarkStart w:id="917" w:name="_Toc21677993"/>
      <w:bookmarkStart w:id="918" w:name="_Toc20756489"/>
      <w:bookmarkStart w:id="919" w:name="_Toc20758922"/>
      <w:bookmarkStart w:id="920" w:name="_Toc20758995"/>
      <w:bookmarkStart w:id="921" w:name="_Toc20759066"/>
      <w:bookmarkStart w:id="922" w:name="_Toc20759258"/>
      <w:bookmarkStart w:id="923" w:name="_Toc20898743"/>
      <w:bookmarkStart w:id="924" w:name="_Toc20899028"/>
      <w:bookmarkStart w:id="925" w:name="_Toc20903686"/>
      <w:bookmarkStart w:id="926" w:name="_Toc20903798"/>
      <w:bookmarkStart w:id="927" w:name="_Toc20903918"/>
      <w:bookmarkStart w:id="928" w:name="_Toc21078563"/>
      <w:bookmarkStart w:id="929" w:name="_Toc21080189"/>
      <w:bookmarkStart w:id="930" w:name="_Toc21353808"/>
      <w:bookmarkStart w:id="931" w:name="_Toc21354273"/>
      <w:bookmarkStart w:id="932" w:name="_Toc21446936"/>
      <w:bookmarkStart w:id="933" w:name="_Toc21447192"/>
      <w:bookmarkStart w:id="934" w:name="_Toc21447306"/>
      <w:bookmarkStart w:id="935" w:name="_Toc21447551"/>
      <w:bookmarkStart w:id="936" w:name="_Toc21447685"/>
      <w:bookmarkStart w:id="937" w:name="_Toc21510444"/>
      <w:bookmarkStart w:id="938" w:name="_Toc21511046"/>
      <w:bookmarkStart w:id="939" w:name="_Toc21523115"/>
      <w:bookmarkStart w:id="940" w:name="_Toc21672588"/>
      <w:bookmarkStart w:id="941" w:name="_Toc21677994"/>
      <w:bookmarkStart w:id="942" w:name="_Toc20756490"/>
      <w:bookmarkStart w:id="943" w:name="_Toc20758923"/>
      <w:bookmarkStart w:id="944" w:name="_Toc20758996"/>
      <w:bookmarkStart w:id="945" w:name="_Toc20759067"/>
      <w:bookmarkStart w:id="946" w:name="_Toc20759259"/>
      <w:bookmarkStart w:id="947" w:name="_Toc20898744"/>
      <w:bookmarkStart w:id="948" w:name="_Toc20899029"/>
      <w:bookmarkStart w:id="949" w:name="_Toc20903687"/>
      <w:bookmarkStart w:id="950" w:name="_Toc20903799"/>
      <w:bookmarkStart w:id="951" w:name="_Toc20903919"/>
      <w:bookmarkStart w:id="952" w:name="_Toc21078564"/>
      <w:bookmarkStart w:id="953" w:name="_Toc21080190"/>
      <w:bookmarkStart w:id="954" w:name="_Toc21353809"/>
      <w:bookmarkStart w:id="955" w:name="_Toc21354274"/>
      <w:bookmarkStart w:id="956" w:name="_Toc21446937"/>
      <w:bookmarkStart w:id="957" w:name="_Toc21447193"/>
      <w:bookmarkStart w:id="958" w:name="_Toc21447307"/>
      <w:bookmarkStart w:id="959" w:name="_Toc21447552"/>
      <w:bookmarkStart w:id="960" w:name="_Toc21447686"/>
      <w:bookmarkStart w:id="961" w:name="_Toc21510445"/>
      <w:bookmarkStart w:id="962" w:name="_Toc21511047"/>
      <w:bookmarkStart w:id="963" w:name="_Toc21523116"/>
      <w:bookmarkStart w:id="964" w:name="_Toc21672589"/>
      <w:bookmarkStart w:id="965" w:name="_Toc21677995"/>
      <w:bookmarkStart w:id="966" w:name="_Toc20756491"/>
      <w:bookmarkStart w:id="967" w:name="_Toc20758924"/>
      <w:bookmarkStart w:id="968" w:name="_Toc20758997"/>
      <w:bookmarkStart w:id="969" w:name="_Toc20759068"/>
      <w:bookmarkStart w:id="970" w:name="_Toc20759260"/>
      <w:bookmarkStart w:id="971" w:name="_Toc20898745"/>
      <w:bookmarkStart w:id="972" w:name="_Toc20899030"/>
      <w:bookmarkStart w:id="973" w:name="_Toc20903688"/>
      <w:bookmarkStart w:id="974" w:name="_Toc20903800"/>
      <w:bookmarkStart w:id="975" w:name="_Toc20903920"/>
      <w:bookmarkStart w:id="976" w:name="_Toc21078565"/>
      <w:bookmarkStart w:id="977" w:name="_Toc21080191"/>
      <w:bookmarkStart w:id="978" w:name="_Toc21353810"/>
      <w:bookmarkStart w:id="979" w:name="_Toc21354275"/>
      <w:bookmarkStart w:id="980" w:name="_Toc21446938"/>
      <w:bookmarkStart w:id="981" w:name="_Toc21447194"/>
      <w:bookmarkStart w:id="982" w:name="_Toc21447308"/>
      <w:bookmarkStart w:id="983" w:name="_Toc21447553"/>
      <w:bookmarkStart w:id="984" w:name="_Toc21447687"/>
      <w:bookmarkStart w:id="985" w:name="_Toc21510446"/>
      <w:bookmarkStart w:id="986" w:name="_Toc21511048"/>
      <w:bookmarkStart w:id="987" w:name="_Toc21523117"/>
      <w:bookmarkStart w:id="988" w:name="_Toc21672590"/>
      <w:bookmarkStart w:id="989" w:name="_Toc21677996"/>
      <w:bookmarkStart w:id="990" w:name="_Toc20756492"/>
      <w:bookmarkStart w:id="991" w:name="_Toc20758925"/>
      <w:bookmarkStart w:id="992" w:name="_Toc20758998"/>
      <w:bookmarkStart w:id="993" w:name="_Toc20759069"/>
      <w:bookmarkStart w:id="994" w:name="_Toc20759261"/>
      <w:bookmarkStart w:id="995" w:name="_Toc20898746"/>
      <w:bookmarkStart w:id="996" w:name="_Toc20899031"/>
      <w:bookmarkStart w:id="997" w:name="_Toc20903689"/>
      <w:bookmarkStart w:id="998" w:name="_Toc20903801"/>
      <w:bookmarkStart w:id="999" w:name="_Toc20903921"/>
      <w:bookmarkStart w:id="1000" w:name="_Toc21078566"/>
      <w:bookmarkStart w:id="1001" w:name="_Toc21080192"/>
      <w:bookmarkStart w:id="1002" w:name="_Toc21353811"/>
      <w:bookmarkStart w:id="1003" w:name="_Toc21354276"/>
      <w:bookmarkStart w:id="1004" w:name="_Toc21446939"/>
      <w:bookmarkStart w:id="1005" w:name="_Toc21447195"/>
      <w:bookmarkStart w:id="1006" w:name="_Toc21447309"/>
      <w:bookmarkStart w:id="1007" w:name="_Toc21447554"/>
      <w:bookmarkStart w:id="1008" w:name="_Toc21447688"/>
      <w:bookmarkStart w:id="1009" w:name="_Toc21510447"/>
      <w:bookmarkStart w:id="1010" w:name="_Toc21511049"/>
      <w:bookmarkStart w:id="1011" w:name="_Toc21523118"/>
      <w:bookmarkStart w:id="1012" w:name="_Toc21672591"/>
      <w:bookmarkStart w:id="1013" w:name="_Toc21677997"/>
      <w:bookmarkStart w:id="1014" w:name="_Toc81993593"/>
      <w:bookmarkStart w:id="1015" w:name="_Ref90564620"/>
      <w:bookmarkStart w:id="1016" w:name="_Ref90565084"/>
      <w:bookmarkStart w:id="1017" w:name="_Ref90565433"/>
      <w:bookmarkStart w:id="1018" w:name="_Ref90565475"/>
      <w:bookmarkStart w:id="1019" w:name="_Toc12133911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lastRenderedPageBreak/>
        <w:t>Baseline</w:t>
      </w:r>
      <w:r w:rsidRPr="001728BB">
        <w:t xml:space="preserve"> </w:t>
      </w:r>
      <w:r w:rsidRPr="00155B4B">
        <w:t>Summary</w:t>
      </w:r>
      <w:bookmarkEnd w:id="1014"/>
      <w:bookmarkEnd w:id="1015"/>
      <w:bookmarkEnd w:id="1016"/>
      <w:bookmarkEnd w:id="1017"/>
      <w:bookmarkEnd w:id="1018"/>
      <w:bookmarkEnd w:id="1019"/>
    </w:p>
    <w:p w14:paraId="496DE483" w14:textId="32814099" w:rsidR="0044797B" w:rsidRDefault="0044797B" w:rsidP="00155B4B">
      <w:pPr>
        <w:pStyle w:val="Heading2"/>
      </w:pPr>
      <w:bookmarkStart w:id="1020" w:name="_Toc121339118"/>
      <w:r w:rsidRPr="00155B4B">
        <w:t>Overview</w:t>
      </w:r>
      <w:bookmarkEnd w:id="1020"/>
    </w:p>
    <w:p w14:paraId="190AEC60" w14:textId="77777777" w:rsidR="000C6958" w:rsidRPr="00D27E49" w:rsidRDefault="000C6958" w:rsidP="00D93256">
      <w:pPr>
        <w:pStyle w:val="STPR2BodyText"/>
      </w:pPr>
      <w:r w:rsidRPr="00D27E49">
        <w:t>Schedule 3 of the Environmental Assessment (Scotland) Act 2005 requires that the following be identified when undertaking a SEA:</w:t>
      </w:r>
    </w:p>
    <w:p w14:paraId="531AD965" w14:textId="77777777" w:rsidR="000C6958" w:rsidRPr="00F2564D" w:rsidRDefault="000C6958" w:rsidP="00D93256">
      <w:pPr>
        <w:pStyle w:val="STPR2BulletsLevel1"/>
      </w:pPr>
      <w:r w:rsidRPr="00F2564D">
        <w:t>Relevant aspects of the current state of the environment and its likely evolution without the implementation of the plan or programme;</w:t>
      </w:r>
    </w:p>
    <w:p w14:paraId="4812CC36" w14:textId="77777777" w:rsidR="000C6958" w:rsidRPr="00F2564D" w:rsidRDefault="000C6958" w:rsidP="00D93256">
      <w:pPr>
        <w:pStyle w:val="STPR2BulletsLevel1"/>
      </w:pPr>
      <w:r w:rsidRPr="00F2564D">
        <w:t>Environmental characteristics of areas likely to be affected;</w:t>
      </w:r>
    </w:p>
    <w:p w14:paraId="14310943" w14:textId="2DFCAE33" w:rsidR="000C6958" w:rsidRPr="00F2564D" w:rsidRDefault="000C6958" w:rsidP="00D93256">
      <w:pPr>
        <w:pStyle w:val="STPR2BulletsLevel1"/>
        <w:rPr>
          <w:szCs w:val="24"/>
        </w:rPr>
      </w:pPr>
      <w:r w:rsidRPr="00F2564D">
        <w:t xml:space="preserve">Relevant existing environmental problems; </w:t>
      </w:r>
    </w:p>
    <w:p w14:paraId="383D1A6B" w14:textId="568D0CCD" w:rsidR="000C6958" w:rsidRPr="00F2564D" w:rsidRDefault="000C6958" w:rsidP="00D93256">
      <w:pPr>
        <w:pStyle w:val="STPR2BulletsLevel1"/>
      </w:pPr>
      <w:r w:rsidRPr="00F2564D">
        <w:t xml:space="preserve">Relevant environmental protection objectives at the international, European or national level (as described in </w:t>
      </w:r>
      <w:r w:rsidRPr="00F2564D">
        <w:rPr>
          <w:b/>
        </w:rPr>
        <w:t xml:space="preserve">Section </w:t>
      </w:r>
      <w:r w:rsidR="00844325" w:rsidRPr="00F2564D">
        <w:rPr>
          <w:b/>
        </w:rPr>
        <w:fldChar w:fldCharType="begin"/>
      </w:r>
      <w:r w:rsidR="00844325" w:rsidRPr="00F2564D">
        <w:rPr>
          <w:b/>
        </w:rPr>
        <w:instrText xml:space="preserve"> REF _Ref90047293 \n \h </w:instrText>
      </w:r>
      <w:r w:rsidR="00806A31" w:rsidRPr="00F2564D">
        <w:rPr>
          <w:b/>
        </w:rPr>
        <w:instrText xml:space="preserve"> \* MERGEFORMAT </w:instrText>
      </w:r>
      <w:r w:rsidR="00844325" w:rsidRPr="00F2564D">
        <w:rPr>
          <w:b/>
        </w:rPr>
      </w:r>
      <w:r w:rsidR="00844325" w:rsidRPr="00F2564D">
        <w:rPr>
          <w:b/>
        </w:rPr>
        <w:fldChar w:fldCharType="separate"/>
      </w:r>
      <w:r w:rsidR="00C22A9E">
        <w:rPr>
          <w:b/>
        </w:rPr>
        <w:t>0</w:t>
      </w:r>
      <w:r w:rsidR="00844325" w:rsidRPr="00F2564D">
        <w:rPr>
          <w:b/>
        </w:rPr>
        <w:fldChar w:fldCharType="end"/>
      </w:r>
      <w:r w:rsidRPr="00F2564D">
        <w:t xml:space="preserve">). </w:t>
      </w:r>
      <w:bookmarkStart w:id="1021" w:name="_Toc14361978"/>
    </w:p>
    <w:bookmarkEnd w:id="1021"/>
    <w:p w14:paraId="1B2B54DD" w14:textId="6A406636" w:rsidR="000C6958" w:rsidRPr="00D27E49" w:rsidRDefault="000C6958" w:rsidP="00D93256">
      <w:pPr>
        <w:pStyle w:val="STPR2BodyText"/>
      </w:pPr>
      <w:r w:rsidRPr="00D27E49">
        <w:t xml:space="preserve">The full national-level environmental baseline, that describes these aspects, is provided as </w:t>
      </w:r>
      <w:r w:rsidRPr="00D27E49">
        <w:rPr>
          <w:b/>
        </w:rPr>
        <w:t>Appendix C</w:t>
      </w:r>
      <w:r w:rsidR="003C53AC">
        <w:rPr>
          <w:b/>
        </w:rPr>
        <w:t xml:space="preserve"> (National Baseline)</w:t>
      </w:r>
      <w:r w:rsidRPr="00D27E49">
        <w:t xml:space="preserve">, which also contains discrete sections that summarise the likely evolution of the environmental baseline if </w:t>
      </w:r>
      <w:r w:rsidR="00A055AD" w:rsidRPr="00A055AD">
        <w:t xml:space="preserve">the </w:t>
      </w:r>
      <w:r w:rsidRPr="00D27E49">
        <w:t xml:space="preserve">STPR2 was not implemented (the ‘do nothing’ or ‘without plan’ scenario). The regional environmental baseline is summarised in </w:t>
      </w:r>
      <w:r w:rsidRPr="00D27E49">
        <w:rPr>
          <w:b/>
        </w:rPr>
        <w:t>Appendix D</w:t>
      </w:r>
      <w:r w:rsidR="003C53AC">
        <w:rPr>
          <w:b/>
        </w:rPr>
        <w:t xml:space="preserve"> (</w:t>
      </w:r>
      <w:r w:rsidR="003C53AC" w:rsidRPr="003C53AC">
        <w:rPr>
          <w:b/>
        </w:rPr>
        <w:t>Regional Environmental Summaries</w:t>
      </w:r>
      <w:r w:rsidR="003C53AC">
        <w:rPr>
          <w:b/>
        </w:rPr>
        <w:t>)</w:t>
      </w:r>
      <w:r w:rsidRPr="00D27E49">
        <w:t>. Information has been drawn from a range of sources, including the Scottish Government, NatureScot, HES, SEPA, and Scotland’s Environment Web, amongst others.</w:t>
      </w:r>
    </w:p>
    <w:p w14:paraId="15D84028" w14:textId="7FDF3A71" w:rsidR="0044797B" w:rsidRDefault="000C6958" w:rsidP="00D93256">
      <w:pPr>
        <w:pStyle w:val="STPR2BodyText"/>
      </w:pPr>
      <w:r w:rsidRPr="00D27E49">
        <w:t>All of the SEA topics listed in the SEA Directive have been ‘scoped in’ to the STPR2 SEA, as described in</w:t>
      </w:r>
      <w:r w:rsidRPr="00D27E49">
        <w:rPr>
          <w:b/>
        </w:rPr>
        <w:t xml:space="preserve"> </w:t>
      </w:r>
      <w:r w:rsidR="003908E5">
        <w:rPr>
          <w:b/>
        </w:rPr>
        <w:t xml:space="preserve">Section </w:t>
      </w:r>
      <w:r w:rsidR="00F7574C">
        <w:rPr>
          <w:b/>
        </w:rPr>
        <w:fldChar w:fldCharType="begin"/>
      </w:r>
      <w:r w:rsidR="00F7574C">
        <w:rPr>
          <w:b/>
        </w:rPr>
        <w:instrText xml:space="preserve"> REF _Ref90047323 \n \h </w:instrText>
      </w:r>
      <w:r w:rsidR="00F7574C">
        <w:rPr>
          <w:b/>
        </w:rPr>
      </w:r>
      <w:r w:rsidR="00F7574C">
        <w:rPr>
          <w:b/>
        </w:rPr>
        <w:fldChar w:fldCharType="separate"/>
      </w:r>
      <w:r w:rsidR="00C22A9E">
        <w:rPr>
          <w:b/>
        </w:rPr>
        <w:t>7.2</w:t>
      </w:r>
      <w:r w:rsidR="00F7574C">
        <w:rPr>
          <w:b/>
        </w:rPr>
        <w:fldChar w:fldCharType="end"/>
      </w:r>
      <w:r w:rsidR="003908E5">
        <w:rPr>
          <w:b/>
        </w:rPr>
        <w:t>.</w:t>
      </w:r>
      <w:r w:rsidRPr="00D27E49">
        <w:t xml:space="preserve"> </w:t>
      </w:r>
    </w:p>
    <w:p w14:paraId="4D4B1D98" w14:textId="3585941D" w:rsidR="0044797B" w:rsidRDefault="0044797B" w:rsidP="00155B4B">
      <w:pPr>
        <w:pStyle w:val="Heading2"/>
      </w:pPr>
      <w:bookmarkStart w:id="1022" w:name="_Toc121339119"/>
      <w:r>
        <w:t xml:space="preserve">Baseline Summaries by </w:t>
      </w:r>
      <w:r w:rsidRPr="00155B4B">
        <w:t>SEA</w:t>
      </w:r>
      <w:r>
        <w:t xml:space="preserve"> Topic</w:t>
      </w:r>
      <w:bookmarkEnd w:id="1022"/>
    </w:p>
    <w:p w14:paraId="68635B87" w14:textId="4031B074" w:rsidR="000C6958" w:rsidRDefault="000C6958" w:rsidP="00D93256">
      <w:pPr>
        <w:pStyle w:val="STPR2BodyText"/>
      </w:pPr>
      <w:r w:rsidRPr="00D27E49">
        <w:t>A summary of the key national-level baseline findings for each SEA topic is provided below:</w:t>
      </w:r>
      <w:bookmarkStart w:id="1023" w:name="_Toc81993594"/>
    </w:p>
    <w:p w14:paraId="46BB418E" w14:textId="77777777" w:rsidR="000C6958" w:rsidRPr="00B07D5B" w:rsidRDefault="000C6958" w:rsidP="00D93256">
      <w:pPr>
        <w:pStyle w:val="STPR2ProofBoxNormal"/>
        <w:rPr>
          <w:rStyle w:val="STPR2Proofboxheading"/>
          <w:szCs w:val="24"/>
        </w:rPr>
      </w:pPr>
      <w:r w:rsidRPr="00B07D5B">
        <w:rPr>
          <w:rStyle w:val="STPR2Proofboxheading"/>
          <w:szCs w:val="24"/>
        </w:rPr>
        <w:t xml:space="preserve">Climatic </w:t>
      </w:r>
      <w:r w:rsidRPr="00155B4B">
        <w:rPr>
          <w:rStyle w:val="STPR2Proofboxheading"/>
        </w:rPr>
        <w:t>Factors</w:t>
      </w:r>
    </w:p>
    <w:p w14:paraId="18CEB390" w14:textId="77777777" w:rsidR="000C6958" w:rsidRPr="00B07D5B" w:rsidRDefault="000C6958" w:rsidP="00D93256">
      <w:pPr>
        <w:pStyle w:val="STPR2ProofBoxNormal"/>
      </w:pPr>
      <w:r w:rsidRPr="00B07D5B">
        <w:t xml:space="preserve">Climate change is a threat to all countries and the expected impacts will affect infrastructure and its operation. Ensuring current and future infrastructure is resilient against the following anticipated impacts is vital: </w:t>
      </w:r>
    </w:p>
    <w:p w14:paraId="4CCB6005" w14:textId="77777777" w:rsidR="000C6958" w:rsidRPr="00B07D5B" w:rsidRDefault="000C6958" w:rsidP="00D93256">
      <w:pPr>
        <w:pStyle w:val="STPR2ProofBoxNormal"/>
      </w:pPr>
      <w:r w:rsidRPr="00B07D5B">
        <w:t>- Average temperatures increasing across all seasons;</w:t>
      </w:r>
    </w:p>
    <w:p w14:paraId="312F8F50" w14:textId="77777777" w:rsidR="000C6958" w:rsidRPr="00B07D5B" w:rsidRDefault="000C6958" w:rsidP="00D93256">
      <w:pPr>
        <w:pStyle w:val="STPR2ProofBoxNormal"/>
      </w:pPr>
      <w:r w:rsidRPr="00B07D5B">
        <w:t>- Our weather will remain variable and may become more variable;</w:t>
      </w:r>
    </w:p>
    <w:p w14:paraId="0899AE55" w14:textId="77777777" w:rsidR="000C6958" w:rsidRPr="00B07D5B" w:rsidRDefault="000C6958" w:rsidP="00D93256">
      <w:pPr>
        <w:pStyle w:val="STPR2ProofBoxNormal"/>
      </w:pPr>
      <w:r w:rsidRPr="00B07D5B">
        <w:t>- Typical summers will be warmer and drier;</w:t>
      </w:r>
    </w:p>
    <w:p w14:paraId="0AC1A42F" w14:textId="77777777" w:rsidR="000C6958" w:rsidRPr="00B07D5B" w:rsidRDefault="000C6958" w:rsidP="00D93256">
      <w:pPr>
        <w:pStyle w:val="STPR2ProofBoxNormal"/>
      </w:pPr>
      <w:r w:rsidRPr="00B07D5B">
        <w:t>- Intense heavy rainfall events will increase in frequency in both winter and summer</w:t>
      </w:r>
    </w:p>
    <w:p w14:paraId="41C4667B" w14:textId="51B3AF45" w:rsidR="000C6958" w:rsidRPr="00B07D5B" w:rsidRDefault="000C6958" w:rsidP="00D93256">
      <w:pPr>
        <w:pStyle w:val="STPR2ProofBoxNormal"/>
      </w:pPr>
      <w:r w:rsidRPr="00B07D5B">
        <w:t>- Rising sea levels;</w:t>
      </w:r>
    </w:p>
    <w:p w14:paraId="269C5A7F" w14:textId="77777777" w:rsidR="000C6958" w:rsidRPr="00B07D5B" w:rsidRDefault="000C6958" w:rsidP="00D93256">
      <w:pPr>
        <w:pStyle w:val="STPR2ProofBoxNormal"/>
      </w:pPr>
      <w:r w:rsidRPr="00B07D5B">
        <w:t>- Fewer days / periods of frost and snowfall.</w:t>
      </w:r>
    </w:p>
    <w:p w14:paraId="199CBA93" w14:textId="3E38C298" w:rsidR="00C7731D" w:rsidRDefault="00271B96" w:rsidP="00D93256">
      <w:pPr>
        <w:pStyle w:val="STPR2BodyText"/>
      </w:pPr>
      <w:r>
        <w:br w:type="page"/>
      </w:r>
    </w:p>
    <w:p w14:paraId="1303564B" w14:textId="6B1A5876" w:rsidR="000C6958" w:rsidRPr="00B07D5B" w:rsidRDefault="000C6958" w:rsidP="00D93256">
      <w:pPr>
        <w:pStyle w:val="STPR2ProofBoxNormal"/>
        <w:rPr>
          <w:rStyle w:val="STPR2Proofboxheading"/>
        </w:rPr>
      </w:pPr>
      <w:r w:rsidRPr="00B07D5B">
        <w:rPr>
          <w:rStyle w:val="STPR2Proofboxheading"/>
        </w:rPr>
        <w:lastRenderedPageBreak/>
        <w:t xml:space="preserve">Air </w:t>
      </w:r>
      <w:r w:rsidRPr="00155B4B">
        <w:rPr>
          <w:rStyle w:val="STPR2Proofboxheading"/>
        </w:rPr>
        <w:t>quality</w:t>
      </w:r>
    </w:p>
    <w:p w14:paraId="021236F8" w14:textId="0A353AF6" w:rsidR="000C6958" w:rsidRPr="00155B4B" w:rsidRDefault="000C6958" w:rsidP="00D93256">
      <w:pPr>
        <w:pStyle w:val="STPR2ProofBoxNormal"/>
      </w:pPr>
      <w:r w:rsidRPr="00B07D5B">
        <w:t xml:space="preserve">- Air pollution originates from </w:t>
      </w:r>
      <w:r w:rsidRPr="00155B4B">
        <w:t>organic and human sources</w:t>
      </w:r>
      <w:r w:rsidR="00CE621F">
        <w:t>;</w:t>
      </w:r>
    </w:p>
    <w:p w14:paraId="0FD372A8" w14:textId="3723A970" w:rsidR="000C6958" w:rsidRPr="00155B4B" w:rsidRDefault="000C6958" w:rsidP="00D93256">
      <w:pPr>
        <w:pStyle w:val="STPR2ProofBoxNormal"/>
      </w:pPr>
      <w:r w:rsidRPr="00155B4B">
        <w:t>- Urban air quality has improved significantly during the past 70 years as industry has moved outside of urban areas and regulations have incentivised technological innovation in residential heating and vehicles</w:t>
      </w:r>
      <w:r w:rsidR="00CE621F">
        <w:t>;</w:t>
      </w:r>
    </w:p>
    <w:p w14:paraId="3DE2511A" w14:textId="77777777" w:rsidR="000C6958" w:rsidRPr="00B07D5B" w:rsidRDefault="000C6958" w:rsidP="00D93256">
      <w:pPr>
        <w:pStyle w:val="STPR2ProofBoxNormal"/>
      </w:pPr>
      <w:r w:rsidRPr="00155B4B">
        <w:t>- Scotland has declared 38 Air Quality</w:t>
      </w:r>
      <w:r w:rsidRPr="00B07D5B">
        <w:t xml:space="preserve"> Management Areas where air quality objectives are not being met. Almost all of these are located in urban areas due to emissions of nitrogen oxides and particulates primarily originating from road transport.</w:t>
      </w:r>
    </w:p>
    <w:p w14:paraId="2E4E3A86" w14:textId="77777777" w:rsidR="000C6958" w:rsidRDefault="000C6958" w:rsidP="00D93256">
      <w:pPr>
        <w:pStyle w:val="STPR2BodyText"/>
      </w:pPr>
    </w:p>
    <w:p w14:paraId="0A27E5A0" w14:textId="77777777" w:rsidR="000C6958" w:rsidRPr="00B07D5B" w:rsidRDefault="000C6958" w:rsidP="00D93256">
      <w:pPr>
        <w:pStyle w:val="STPR2ProofBoxNormal"/>
        <w:rPr>
          <w:rStyle w:val="STPR2Proofboxheading"/>
        </w:rPr>
      </w:pPr>
      <w:r w:rsidRPr="00B07D5B">
        <w:rPr>
          <w:rStyle w:val="STPR2Proofboxheading"/>
        </w:rPr>
        <w:t xml:space="preserve">Population and Human </w:t>
      </w:r>
      <w:r w:rsidRPr="00155B4B">
        <w:rPr>
          <w:rStyle w:val="STPR2Proofboxheading"/>
        </w:rPr>
        <w:t>Health</w:t>
      </w:r>
    </w:p>
    <w:p w14:paraId="37A0CE6B" w14:textId="42531F0B" w:rsidR="000C6958" w:rsidRPr="00B07D5B" w:rsidRDefault="000C6958" w:rsidP="00D93256">
      <w:pPr>
        <w:pStyle w:val="STPR2ProofBoxNormal"/>
      </w:pPr>
      <w:r w:rsidRPr="00B07D5B">
        <w:t>- There are significant numbers of people living in remote communities on the mainland and on the islands surrounding Scotland</w:t>
      </w:r>
      <w:r w:rsidR="00CE621F">
        <w:t>;</w:t>
      </w:r>
    </w:p>
    <w:p w14:paraId="2F1BA78E" w14:textId="0F6546D9" w:rsidR="000C6958" w:rsidRPr="00B07D5B" w:rsidRDefault="000C6958" w:rsidP="00D93256">
      <w:pPr>
        <w:pStyle w:val="STPR2ProofBoxNormal"/>
      </w:pPr>
      <w:r w:rsidRPr="00B07D5B">
        <w:t>- The population is forecast to increase from 5.4 million (current) to 5.7 million by 2026</w:t>
      </w:r>
      <w:r w:rsidR="00CE621F">
        <w:t>;</w:t>
      </w:r>
    </w:p>
    <w:p w14:paraId="52F7AD67" w14:textId="3B5BBBBD" w:rsidR="000C6958" w:rsidRPr="00B07D5B" w:rsidRDefault="000C6958" w:rsidP="00D93256">
      <w:pPr>
        <w:pStyle w:val="STPR2ProofBoxNormal"/>
      </w:pPr>
      <w:r w:rsidRPr="00B07D5B">
        <w:t>- Scotland’s obesity rates continue to be amongst the highest in the developed world and are a significant public health issue. Women and children in the most deprived areas are affected by extreme obesity</w:t>
      </w:r>
      <w:r w:rsidR="00CE621F">
        <w:t>;</w:t>
      </w:r>
    </w:p>
    <w:p w14:paraId="02C438D1" w14:textId="09DAD16A" w:rsidR="000C6958" w:rsidRPr="00B07D5B" w:rsidRDefault="000C6958" w:rsidP="00D93256">
      <w:pPr>
        <w:pStyle w:val="STPR2ProofBoxNormal"/>
        <w:rPr>
          <w:color w:val="auto"/>
        </w:rPr>
      </w:pPr>
      <w:r w:rsidRPr="00B07D5B">
        <w:t xml:space="preserve">- Transport is a significant contributor to poor air quality in urban areas. There are significant </w:t>
      </w:r>
      <w:r w:rsidRPr="00B07D5B">
        <w:rPr>
          <w:color w:val="auto"/>
        </w:rPr>
        <w:t>short and long-term air pollution impacts on human health</w:t>
      </w:r>
      <w:r w:rsidR="00CE621F">
        <w:rPr>
          <w:color w:val="auto"/>
        </w:rPr>
        <w:t>;</w:t>
      </w:r>
    </w:p>
    <w:p w14:paraId="3CC448B9" w14:textId="689788B2" w:rsidR="000C6958" w:rsidRPr="00B07D5B" w:rsidRDefault="000C6958" w:rsidP="00D93256">
      <w:pPr>
        <w:pStyle w:val="STPR2ProofBoxNormal"/>
      </w:pPr>
      <w:r w:rsidRPr="00B07D5B">
        <w:t xml:space="preserve">- </w:t>
      </w:r>
      <w:r w:rsidRPr="00517E2F">
        <w:t>The C</w:t>
      </w:r>
      <w:r w:rsidR="00CE621F">
        <w:t>OVID</w:t>
      </w:r>
      <w:r w:rsidRPr="00517E2F">
        <w:t>-19 pandemi</w:t>
      </w:r>
      <w:r w:rsidR="00517E2F" w:rsidRPr="00517E2F">
        <w:t>c</w:t>
      </w:r>
      <w:r w:rsidR="00285703">
        <w:t xml:space="preserve"> </w:t>
      </w:r>
      <w:r w:rsidR="00517E2F" w:rsidRPr="00517E2F">
        <w:t>led to an increase in walking</w:t>
      </w:r>
      <w:r w:rsidR="00477E8E">
        <w:t>, wheeling</w:t>
      </w:r>
      <w:r w:rsidR="00517E2F" w:rsidRPr="00517E2F">
        <w:t xml:space="preserve"> and cycling as people sought to</w:t>
      </w:r>
      <w:r w:rsidR="0037226D">
        <w:t xml:space="preserve"> exercise and</w:t>
      </w:r>
      <w:r w:rsidR="00517E2F" w:rsidRPr="00517E2F">
        <w:t xml:space="preserve"> avoid public transport</w:t>
      </w:r>
      <w:r w:rsidR="00E30D9A">
        <w:t xml:space="preserve">. </w:t>
      </w:r>
      <w:r w:rsidR="00F632BB">
        <w:t xml:space="preserve">However, these </w:t>
      </w:r>
      <w:r w:rsidR="00715F6B" w:rsidRPr="00715F6B">
        <w:t>walking</w:t>
      </w:r>
      <w:r w:rsidR="00444E50">
        <w:t xml:space="preserve">, wheeling </w:t>
      </w:r>
      <w:r w:rsidR="00715F6B" w:rsidRPr="00715F6B">
        <w:t xml:space="preserve">and cycling </w:t>
      </w:r>
      <w:r w:rsidR="00F632BB">
        <w:t xml:space="preserve">levels </w:t>
      </w:r>
      <w:r w:rsidR="007B5CC5">
        <w:t>are likely to have dropped significantly due to</w:t>
      </w:r>
      <w:r w:rsidR="00715F6B">
        <w:t xml:space="preserve"> </w:t>
      </w:r>
      <w:r w:rsidR="00486BCE">
        <w:t>G</w:t>
      </w:r>
      <w:r w:rsidR="00715F6B">
        <w:t>overnment</w:t>
      </w:r>
      <w:r w:rsidR="007B5CC5">
        <w:t xml:space="preserve"> restr</w:t>
      </w:r>
      <w:r w:rsidR="00715F6B">
        <w:t>i</w:t>
      </w:r>
      <w:r w:rsidR="007B5CC5">
        <w:t>ctions to movem</w:t>
      </w:r>
      <w:r w:rsidR="00715F6B">
        <w:t>ent being lifted.</w:t>
      </w:r>
    </w:p>
    <w:p w14:paraId="5126ADC9" w14:textId="77777777" w:rsidR="000C6958" w:rsidRPr="00B07D5B" w:rsidRDefault="000C6958" w:rsidP="00D93256">
      <w:pPr>
        <w:pStyle w:val="STPR2BodyText"/>
      </w:pPr>
    </w:p>
    <w:p w14:paraId="53E5DAED" w14:textId="77777777" w:rsidR="000C6958" w:rsidRPr="00B07D5B" w:rsidRDefault="000C6958" w:rsidP="00D93256">
      <w:pPr>
        <w:pStyle w:val="STPR2ProofBoxNormal"/>
        <w:rPr>
          <w:rStyle w:val="STPR2Proofboxheading"/>
        </w:rPr>
      </w:pPr>
      <w:r w:rsidRPr="00155B4B">
        <w:rPr>
          <w:rStyle w:val="STPR2Proofboxheading"/>
        </w:rPr>
        <w:t>Material</w:t>
      </w:r>
      <w:r w:rsidRPr="00B07D5B">
        <w:rPr>
          <w:rStyle w:val="STPR2Proofboxheading"/>
        </w:rPr>
        <w:t xml:space="preserve"> Assets</w:t>
      </w:r>
    </w:p>
    <w:p w14:paraId="340C86F2" w14:textId="78BA775B" w:rsidR="000C6958" w:rsidRPr="00B07D5B" w:rsidRDefault="000C6958" w:rsidP="00D93256">
      <w:pPr>
        <w:pStyle w:val="STPR2ProofBoxNormal"/>
      </w:pPr>
      <w:r w:rsidRPr="00B07D5B">
        <w:t>- Scotland has significant valuable material assets, encompassing those within the natural and built environments</w:t>
      </w:r>
      <w:r w:rsidR="00983F16">
        <w:t>;</w:t>
      </w:r>
    </w:p>
    <w:p w14:paraId="5FA1CB60" w14:textId="2481E72E" w:rsidR="000C6958" w:rsidRPr="00B07D5B" w:rsidRDefault="000C6958" w:rsidP="00D93256">
      <w:pPr>
        <w:pStyle w:val="STPR2ProofBoxNormal"/>
      </w:pPr>
      <w:r w:rsidRPr="00B07D5B">
        <w:t>- The country has access to a range of crucial natural resources that underpin the operation of the country, such as water, soil, fossil fuels and minerals</w:t>
      </w:r>
      <w:r w:rsidR="00983F16">
        <w:t>;</w:t>
      </w:r>
    </w:p>
    <w:p w14:paraId="5D041D6E" w14:textId="268E92C6" w:rsidR="000C6958" w:rsidRPr="00B07D5B" w:rsidRDefault="000C6958" w:rsidP="00D93256">
      <w:pPr>
        <w:pStyle w:val="STPR2ProofBoxNormal"/>
      </w:pPr>
      <w:r w:rsidRPr="00B07D5B">
        <w:t>- The built environment encompasses the country’s infrastructure for transport, waste management, energy and land-use, capturing a wide range of policies</w:t>
      </w:r>
      <w:r w:rsidR="00983F16">
        <w:t>.</w:t>
      </w:r>
    </w:p>
    <w:p w14:paraId="01E9F2F6" w14:textId="19D86C7A" w:rsidR="00155B4B" w:rsidRDefault="00155B4B" w:rsidP="00D93256">
      <w:pPr>
        <w:pStyle w:val="STPR2BodyText"/>
      </w:pPr>
      <w:r>
        <w:br w:type="page"/>
      </w:r>
    </w:p>
    <w:p w14:paraId="071A6D5C" w14:textId="77777777" w:rsidR="000C6958" w:rsidRPr="00B07D5B" w:rsidRDefault="000C6958" w:rsidP="00D93256">
      <w:pPr>
        <w:pStyle w:val="STPR2ProofBoxNormal"/>
        <w:rPr>
          <w:rStyle w:val="STPR2Proofboxheading"/>
        </w:rPr>
      </w:pPr>
      <w:r w:rsidRPr="00B07D5B">
        <w:rPr>
          <w:rStyle w:val="STPR2Proofboxheading"/>
        </w:rPr>
        <w:lastRenderedPageBreak/>
        <w:t xml:space="preserve">Water </w:t>
      </w:r>
      <w:r w:rsidRPr="00155B4B">
        <w:rPr>
          <w:rStyle w:val="STPR2Proofboxheading"/>
        </w:rPr>
        <w:t>Environment</w:t>
      </w:r>
    </w:p>
    <w:p w14:paraId="1BE2196D" w14:textId="2F302857" w:rsidR="000C6958" w:rsidRPr="00B07D5B" w:rsidRDefault="000C6958" w:rsidP="00D93256">
      <w:pPr>
        <w:pStyle w:val="STPR2ProofBoxNormal"/>
      </w:pPr>
      <w:r w:rsidRPr="00B07D5B">
        <w:t xml:space="preserve">- Scotland has two </w:t>
      </w:r>
      <w:r w:rsidR="00666917">
        <w:t>R</w:t>
      </w:r>
      <w:r w:rsidRPr="00B07D5B">
        <w:t xml:space="preserve">iver </w:t>
      </w:r>
      <w:r w:rsidR="00666917">
        <w:t>B</w:t>
      </w:r>
      <w:r w:rsidRPr="00B07D5B">
        <w:t xml:space="preserve">asin </w:t>
      </w:r>
      <w:r w:rsidR="00666917">
        <w:t>M</w:t>
      </w:r>
      <w:r w:rsidRPr="00B07D5B">
        <w:t xml:space="preserve">anagement </w:t>
      </w:r>
      <w:r w:rsidR="00666917">
        <w:t>P</w:t>
      </w:r>
      <w:r w:rsidRPr="00B07D5B">
        <w:t>lans to improve the condition of inland water bodies and coastal waters</w:t>
      </w:r>
      <w:r w:rsidR="00983F16">
        <w:t>;</w:t>
      </w:r>
    </w:p>
    <w:p w14:paraId="4BF61B24" w14:textId="78752F66" w:rsidR="000C6958" w:rsidRPr="00B07D5B" w:rsidRDefault="000C6958" w:rsidP="00D93256">
      <w:pPr>
        <w:pStyle w:val="STPR2ProofBoxNormal"/>
      </w:pPr>
      <w:r w:rsidRPr="00B07D5B">
        <w:t>- Effective protection of coastal areas and management of inland water basins is key to managing flood risk. There is a need to avoid development in areas which are or are likely to be highly vulnerable to flood risk</w:t>
      </w:r>
      <w:r w:rsidR="00222A68">
        <w:t>;</w:t>
      </w:r>
    </w:p>
    <w:p w14:paraId="3B7C19A5" w14:textId="0C23D9B1" w:rsidR="000C6958" w:rsidRPr="00B07D5B" w:rsidRDefault="000C6958" w:rsidP="00D93256">
      <w:pPr>
        <w:pStyle w:val="STPR2ProofBoxNormal"/>
      </w:pPr>
      <w:r w:rsidRPr="00B07D5B">
        <w:t>- Scotland’s water provides an essential resource for providing drinking water for the population and as a resource in agriculture and industry, as well as supporting a rich diversity of habitats and species</w:t>
      </w:r>
      <w:r w:rsidR="00983F16">
        <w:t>.</w:t>
      </w:r>
    </w:p>
    <w:p w14:paraId="3EC4E3C4" w14:textId="77777777" w:rsidR="005A0EB9" w:rsidRPr="00B07D5B" w:rsidRDefault="005A0EB9" w:rsidP="00D93256">
      <w:pPr>
        <w:pStyle w:val="STPR2BodyText"/>
      </w:pPr>
    </w:p>
    <w:p w14:paraId="03E14558" w14:textId="77777777" w:rsidR="000C6958" w:rsidRPr="00B07D5B" w:rsidRDefault="000C6958" w:rsidP="00D93256">
      <w:pPr>
        <w:pStyle w:val="STPR2ProofBoxNormal"/>
        <w:rPr>
          <w:rStyle w:val="STPR2Proofboxheading"/>
        </w:rPr>
      </w:pPr>
      <w:r w:rsidRPr="00B07D5B">
        <w:rPr>
          <w:rStyle w:val="STPR2Proofboxheading"/>
        </w:rPr>
        <w:t xml:space="preserve">Biodiversity, </w:t>
      </w:r>
      <w:r w:rsidRPr="00155B4B">
        <w:rPr>
          <w:rStyle w:val="STPR2Proofboxheading"/>
        </w:rPr>
        <w:t>Flora</w:t>
      </w:r>
      <w:r w:rsidRPr="00B07D5B">
        <w:rPr>
          <w:rStyle w:val="STPR2Proofboxheading"/>
        </w:rPr>
        <w:t xml:space="preserve"> and Fauna</w:t>
      </w:r>
    </w:p>
    <w:p w14:paraId="742DEBFA" w14:textId="0997CFE8" w:rsidR="000C6958" w:rsidRPr="00B07D5B" w:rsidRDefault="000C6958" w:rsidP="00D93256">
      <w:pPr>
        <w:pStyle w:val="STPR2ProofBoxNormal"/>
      </w:pPr>
      <w:r w:rsidRPr="00B07D5B">
        <w:t>- Scotland has a vast number of designated and undesignated areas that contain important habitats and species</w:t>
      </w:r>
      <w:r w:rsidR="00E57E53">
        <w:t>;</w:t>
      </w:r>
    </w:p>
    <w:p w14:paraId="20C2B9B4" w14:textId="36DDD679" w:rsidR="000C6958" w:rsidRPr="00B07D5B" w:rsidRDefault="000C6958" w:rsidP="00D93256">
      <w:pPr>
        <w:pStyle w:val="STPR2ProofBoxNormal"/>
      </w:pPr>
      <w:r w:rsidRPr="00B07D5B">
        <w:t>- Scotland’s protected sites include 241 Special Areas of Conservation (SAC), 153 Special Protection Areas (SPA) and 51 Ramsar sites</w:t>
      </w:r>
      <w:r w:rsidR="00292252">
        <w:t>,</w:t>
      </w:r>
      <w:r w:rsidR="00494EB1">
        <w:t xml:space="preserve"> </w:t>
      </w:r>
      <w:r w:rsidRPr="00B07D5B">
        <w:t xml:space="preserve">1,423 Sites of Special Scientific Interest (SSSI), </w:t>
      </w:r>
      <w:r w:rsidRPr="00C62906">
        <w:t xml:space="preserve">30 </w:t>
      </w:r>
      <w:r w:rsidR="00C62906" w:rsidRPr="00C62906">
        <w:t xml:space="preserve">Nature Conservation </w:t>
      </w:r>
      <w:r w:rsidRPr="00C62906">
        <w:t>Marine Protected Areas (MPAs)</w:t>
      </w:r>
    </w:p>
    <w:p w14:paraId="695AE6CF" w14:textId="77777777" w:rsidR="000C6958" w:rsidRDefault="000C6958" w:rsidP="00D93256">
      <w:pPr>
        <w:pStyle w:val="STPR2BodyText"/>
      </w:pPr>
    </w:p>
    <w:p w14:paraId="5F558AC8" w14:textId="77777777" w:rsidR="000C6958" w:rsidRPr="00B07D5B" w:rsidRDefault="000C6958" w:rsidP="00D93256">
      <w:pPr>
        <w:pStyle w:val="STPR2ProofBoxNormal"/>
        <w:rPr>
          <w:rStyle w:val="STPR2Proofboxheading"/>
        </w:rPr>
      </w:pPr>
      <w:r w:rsidRPr="00155B4B">
        <w:rPr>
          <w:rStyle w:val="STPR2Proofboxheading"/>
        </w:rPr>
        <w:t>Soil</w:t>
      </w:r>
    </w:p>
    <w:p w14:paraId="6FBA16F6" w14:textId="5C9C3644" w:rsidR="000C6958" w:rsidRPr="00B07D5B" w:rsidRDefault="000C6958" w:rsidP="00D93256">
      <w:pPr>
        <w:pStyle w:val="STPR2ProofBoxNormal"/>
      </w:pPr>
      <w:r w:rsidRPr="00B07D5B">
        <w:t>- Soil is a non-renewable resource and one of Scotland’s most important assets, underpinning much of the natural environment, providing the basis for food, regulating water quality and acting as a foundation for the built environment</w:t>
      </w:r>
      <w:r w:rsidR="004A436D">
        <w:t>;</w:t>
      </w:r>
    </w:p>
    <w:p w14:paraId="510FC251" w14:textId="77777777" w:rsidR="000C6958" w:rsidRPr="00B07D5B" w:rsidRDefault="000C6958" w:rsidP="00D93256">
      <w:pPr>
        <w:pStyle w:val="STPR2ProofBoxNormal"/>
      </w:pPr>
      <w:r w:rsidRPr="00B07D5B">
        <w:t>- Scotland has significant areas of peatlands that act as carbon sinks, playing a key role in climate change mitigation. It is important to minimise disturbance of carbon-rich soils, as disturbances can lead to significant releases of carbon.</w:t>
      </w:r>
    </w:p>
    <w:p w14:paraId="649E8D71" w14:textId="77777777" w:rsidR="000C6958" w:rsidRDefault="000C6958" w:rsidP="00D93256">
      <w:pPr>
        <w:pStyle w:val="STPR2BodyText"/>
      </w:pPr>
    </w:p>
    <w:p w14:paraId="31A51719" w14:textId="77777777" w:rsidR="000C6958" w:rsidRPr="00B07D5B" w:rsidRDefault="000C6958" w:rsidP="00D93256">
      <w:pPr>
        <w:pStyle w:val="STPR2ProofBoxNormal"/>
        <w:rPr>
          <w:rStyle w:val="STPR2Proofboxheading"/>
        </w:rPr>
      </w:pPr>
      <w:r w:rsidRPr="00B07D5B">
        <w:rPr>
          <w:rStyle w:val="STPR2Proofboxheading"/>
        </w:rPr>
        <w:t xml:space="preserve">Cultural </w:t>
      </w:r>
      <w:r w:rsidRPr="00155B4B">
        <w:rPr>
          <w:rStyle w:val="STPR2Proofboxheading"/>
        </w:rPr>
        <w:t>Heritage</w:t>
      </w:r>
    </w:p>
    <w:p w14:paraId="2573D4E7" w14:textId="43403AA7" w:rsidR="000C6958" w:rsidRPr="00B07D5B" w:rsidRDefault="000C6958" w:rsidP="00D93256">
      <w:pPr>
        <w:pStyle w:val="STPR2ProofBoxNormal"/>
      </w:pPr>
      <w:r w:rsidRPr="00B07D5B">
        <w:t>- Scotland has a rich historic environment with a variety of sites and assets, some of which are protected by international, national or local designations and some that are undesignated</w:t>
      </w:r>
      <w:r w:rsidR="004A436D">
        <w:t>;</w:t>
      </w:r>
    </w:p>
    <w:p w14:paraId="67BB6BF2" w14:textId="3360E415" w:rsidR="000C6958" w:rsidRPr="00B07D5B" w:rsidRDefault="000C6958" w:rsidP="00D93256">
      <w:pPr>
        <w:pStyle w:val="STPR2ProofBoxNormal"/>
      </w:pPr>
      <w:r w:rsidRPr="00B07D5B">
        <w:t>- Assets of historic value include buildings, sites of archaeological significance, battlefields, townscapes and landscapes</w:t>
      </w:r>
      <w:r w:rsidR="004A436D">
        <w:t>;</w:t>
      </w:r>
    </w:p>
    <w:p w14:paraId="5C04CE85" w14:textId="271AC47C" w:rsidR="005A0EB9" w:rsidRDefault="000C6958" w:rsidP="00D93256">
      <w:pPr>
        <w:pStyle w:val="STPR2ProofBoxNormal"/>
      </w:pPr>
      <w:r w:rsidRPr="00B07D5B">
        <w:t>- Scotland’s heritage is a key factor in the country’s significant tourism industry</w:t>
      </w:r>
      <w:r w:rsidR="004A436D">
        <w:t>.</w:t>
      </w:r>
    </w:p>
    <w:p w14:paraId="271ABBAC" w14:textId="4160383B" w:rsidR="00155B4B" w:rsidRPr="00155B4B" w:rsidRDefault="00271B96" w:rsidP="00D93256">
      <w:pPr>
        <w:pStyle w:val="STPR2BodyText"/>
      </w:pPr>
      <w:r>
        <w:br w:type="page"/>
      </w:r>
    </w:p>
    <w:p w14:paraId="36861B9B" w14:textId="0E9FD17F" w:rsidR="000C6958" w:rsidRPr="00B07D5B" w:rsidRDefault="000C6958" w:rsidP="00D93256">
      <w:pPr>
        <w:pStyle w:val="STPR2ProofBoxNormal"/>
        <w:rPr>
          <w:rStyle w:val="STPR2Proofboxheading"/>
        </w:rPr>
      </w:pPr>
      <w:r w:rsidRPr="00B07D5B">
        <w:rPr>
          <w:rStyle w:val="STPR2Proofboxheading"/>
        </w:rPr>
        <w:lastRenderedPageBreak/>
        <w:t xml:space="preserve">Landscape and </w:t>
      </w:r>
      <w:r w:rsidRPr="00155B4B">
        <w:rPr>
          <w:rStyle w:val="STPR2Proofboxheading"/>
        </w:rPr>
        <w:t>Visual</w:t>
      </w:r>
      <w:r w:rsidRPr="00B07D5B">
        <w:rPr>
          <w:rStyle w:val="STPR2Proofboxheading"/>
        </w:rPr>
        <w:t xml:space="preserve"> Amenity </w:t>
      </w:r>
    </w:p>
    <w:p w14:paraId="51DDE34C" w14:textId="6A99111E" w:rsidR="000C6958" w:rsidRPr="00B07D5B" w:rsidRDefault="000C6958" w:rsidP="00D93256">
      <w:pPr>
        <w:pStyle w:val="STPR2ProofBoxNormal"/>
      </w:pPr>
      <w:r w:rsidRPr="00B07D5B">
        <w:t>- Scotland has an array of stunning landscapes and sceneries, including important protected sites, such as two National Parks and 40 National Scenic Areas (NSAs)</w:t>
      </w:r>
      <w:r w:rsidR="00BF348D">
        <w:t>;</w:t>
      </w:r>
    </w:p>
    <w:p w14:paraId="4865BA38" w14:textId="0D329028" w:rsidR="000C6958" w:rsidRPr="00B07D5B" w:rsidRDefault="000C6958" w:rsidP="00D93256">
      <w:pPr>
        <w:pStyle w:val="STPR2ProofBoxNormal"/>
      </w:pPr>
      <w:r w:rsidRPr="00B07D5B">
        <w:t>- Scotland’s landscape character is very diverse. This is described and mapped in the Landscape Character Assessment of Scotland, commissioned by NatureScot (formerly</w:t>
      </w:r>
      <w:r w:rsidR="004070D0">
        <w:t> </w:t>
      </w:r>
      <w:r w:rsidRPr="00B07D5B">
        <w:t>SNH)</w:t>
      </w:r>
      <w:r w:rsidR="00BF348D">
        <w:t>;</w:t>
      </w:r>
    </w:p>
    <w:p w14:paraId="01A5C77F" w14:textId="2117D779" w:rsidR="000C6958" w:rsidRPr="00B07D5B" w:rsidRDefault="000C6958" w:rsidP="00D93256">
      <w:pPr>
        <w:pStyle w:val="STPR2ProofBoxNormal"/>
      </w:pPr>
      <w:r w:rsidRPr="00B07D5B">
        <w:t xml:space="preserve">- Scotland’s planning system safeguards the special qualities of NSAs, with </w:t>
      </w:r>
      <w:r w:rsidR="00DF2930">
        <w:t>NatureScot</w:t>
      </w:r>
      <w:r w:rsidRPr="00B07D5B">
        <w:t xml:space="preserve"> acting in an advisory capacity</w:t>
      </w:r>
      <w:r w:rsidR="0095653D">
        <w:t>;</w:t>
      </w:r>
    </w:p>
    <w:p w14:paraId="4FE2FBBF" w14:textId="1216FC07" w:rsidR="000C6958" w:rsidRPr="00B07D5B" w:rsidRDefault="000C6958" w:rsidP="00D93256">
      <w:pPr>
        <w:pStyle w:val="STPR2ProofBoxNormal"/>
      </w:pPr>
      <w:r w:rsidRPr="00B07D5B">
        <w:t>- Scotland’s landscapes play a valuable role in Scotland’s cultural heritage and contribut</w:t>
      </w:r>
      <w:r w:rsidR="0095653D">
        <w:t>e</w:t>
      </w:r>
      <w:r w:rsidRPr="00B07D5B">
        <w:t xml:space="preserve"> to the economy by attracting tourism</w:t>
      </w:r>
      <w:r w:rsidR="0095653D">
        <w:t>.</w:t>
      </w:r>
    </w:p>
    <w:p w14:paraId="646B5E01" w14:textId="77777777" w:rsidR="002E633B" w:rsidRDefault="002E633B" w:rsidP="00155B4B">
      <w:pPr>
        <w:pStyle w:val="Heading2"/>
      </w:pPr>
      <w:bookmarkStart w:id="1024" w:name="_Toc121339120"/>
      <w:r>
        <w:t xml:space="preserve">Inter-relationships </w:t>
      </w:r>
      <w:r w:rsidRPr="00155B4B">
        <w:t>between</w:t>
      </w:r>
      <w:r>
        <w:t xml:space="preserve"> SEA Topics</w:t>
      </w:r>
      <w:bookmarkEnd w:id="1024"/>
    </w:p>
    <w:p w14:paraId="3C3B1F01" w14:textId="467A0D99" w:rsidR="003D06C0" w:rsidRDefault="002E633B" w:rsidP="00D93256">
      <w:pPr>
        <w:pStyle w:val="STPR2BodyText"/>
      </w:pPr>
      <w:r w:rsidRPr="002E633B">
        <w:t>As set out in the Scottish Government’s SEA Guidance (2013)</w:t>
      </w:r>
      <w:r w:rsidR="00DB57AA">
        <w:t xml:space="preserve"> and Scottish SEA Regulations</w:t>
      </w:r>
      <w:r w:rsidRPr="002E633B">
        <w:t xml:space="preserve">, the inter-relationship of environmental effects between the topics has been considered within the SEA. The Guidance states that </w:t>
      </w:r>
      <w:r w:rsidRPr="000926A8">
        <w:t>‘When considering inter</w:t>
      </w:r>
      <w:r w:rsidR="00123D84">
        <w:t>-</w:t>
      </w:r>
      <w:r w:rsidRPr="000926A8">
        <w:t xml:space="preserve">relationships and secondary effects, the assessment would only have to consider the effects that can reasonably be attributed to </w:t>
      </w:r>
      <w:r w:rsidRPr="00155B4B">
        <w:t>the</w:t>
      </w:r>
      <w:r w:rsidRPr="000926A8">
        <w:t xml:space="preserve"> plan. Interactions arising from external factors, beyond the control of the plan, do not need to be included.</w:t>
      </w:r>
      <w:r w:rsidRPr="002E633B">
        <w:t>’</w:t>
      </w:r>
      <w:r w:rsidR="0042494A">
        <w:t xml:space="preserve"> </w:t>
      </w:r>
      <w:r w:rsidR="00235803">
        <w:fldChar w:fldCharType="begin"/>
      </w:r>
      <w:r w:rsidR="00235803">
        <w:instrText xml:space="preserve"> REF _Ref92969853 \h </w:instrText>
      </w:r>
      <w:r w:rsidR="00235803">
        <w:fldChar w:fldCharType="separate"/>
      </w:r>
      <w:r w:rsidR="00C22A9E" w:rsidRPr="00E44B32">
        <w:t xml:space="preserve">Figure </w:t>
      </w:r>
      <w:r w:rsidR="00C22A9E">
        <w:rPr>
          <w:noProof/>
        </w:rPr>
        <w:t>4</w:t>
      </w:r>
      <w:r w:rsidR="00235803">
        <w:fldChar w:fldCharType="end"/>
      </w:r>
      <w:r w:rsidR="003D06C0">
        <w:t xml:space="preserve"> </w:t>
      </w:r>
      <w:r w:rsidRPr="002E633B">
        <w:t xml:space="preserve">sets out the </w:t>
      </w:r>
      <w:r w:rsidR="00AD1599">
        <w:t xml:space="preserve">key </w:t>
      </w:r>
      <w:r w:rsidRPr="002E633B">
        <w:t>inter-relationship</w:t>
      </w:r>
      <w:r w:rsidR="00AD1599">
        <w:t>s</w:t>
      </w:r>
      <w:r w:rsidRPr="002E633B">
        <w:t xml:space="preserve"> of environmental effects that could reasonably arise as a result of </w:t>
      </w:r>
      <w:r w:rsidR="00A055AD" w:rsidRPr="00A055AD">
        <w:t xml:space="preserve">the </w:t>
      </w:r>
      <w:r w:rsidRPr="002E633B">
        <w:t>STPR2</w:t>
      </w:r>
      <w:r w:rsidR="003E396A">
        <w:t>. These inter</w:t>
      </w:r>
      <w:r w:rsidR="00123D84">
        <w:t>-</w:t>
      </w:r>
      <w:r w:rsidR="003E396A">
        <w:t xml:space="preserve">relationships </w:t>
      </w:r>
      <w:r w:rsidRPr="002E633B">
        <w:t xml:space="preserve">have been explored in </w:t>
      </w:r>
      <w:r w:rsidR="003E396A">
        <w:t xml:space="preserve">more detail in </w:t>
      </w:r>
      <w:r w:rsidRPr="002E633B">
        <w:t xml:space="preserve">the detailed </w:t>
      </w:r>
      <w:r w:rsidR="00095940">
        <w:t>baseline review</w:t>
      </w:r>
      <w:r w:rsidRPr="002E633B">
        <w:t xml:space="preserve"> </w:t>
      </w:r>
      <w:r w:rsidR="003E396A">
        <w:t>of</w:t>
      </w:r>
      <w:r w:rsidRPr="002E633B">
        <w:t xml:space="preserve"> </w:t>
      </w:r>
      <w:r w:rsidRPr="003C53AC">
        <w:rPr>
          <w:b/>
          <w:bCs/>
        </w:rPr>
        <w:t xml:space="preserve">Appendix </w:t>
      </w:r>
      <w:r w:rsidR="007536F2" w:rsidRPr="003C53AC">
        <w:rPr>
          <w:b/>
          <w:bCs/>
        </w:rPr>
        <w:t>C</w:t>
      </w:r>
      <w:r w:rsidRPr="003C53AC">
        <w:rPr>
          <w:b/>
          <w:bCs/>
        </w:rPr>
        <w:t xml:space="preserve"> (</w:t>
      </w:r>
      <w:r w:rsidR="003C53AC" w:rsidRPr="003C53AC">
        <w:rPr>
          <w:b/>
          <w:bCs/>
        </w:rPr>
        <w:t xml:space="preserve">National </w:t>
      </w:r>
      <w:r w:rsidRPr="003C53AC">
        <w:rPr>
          <w:b/>
          <w:bCs/>
        </w:rPr>
        <w:t>Baseline</w:t>
      </w:r>
      <w:r w:rsidRPr="002E633B">
        <w:t>). These inter-relationships have been tailored to consider only what are considered significant inter</w:t>
      </w:r>
      <w:r w:rsidR="00123D84">
        <w:t>-</w:t>
      </w:r>
      <w:r w:rsidRPr="002E633B">
        <w:t xml:space="preserve">relationships for </w:t>
      </w:r>
      <w:r w:rsidR="00A055AD" w:rsidRPr="00A055AD">
        <w:t xml:space="preserve">the </w:t>
      </w:r>
      <w:r w:rsidRPr="002E633B">
        <w:t xml:space="preserve">STPR2. Some inter-relationships identified in </w:t>
      </w:r>
      <w:r w:rsidR="007A20DA">
        <w:rPr>
          <w:highlight w:val="yellow"/>
        </w:rPr>
        <w:fldChar w:fldCharType="begin"/>
      </w:r>
      <w:r w:rsidR="007A20DA">
        <w:instrText xml:space="preserve"> REF _Ref92969853 \h </w:instrText>
      </w:r>
      <w:r w:rsidR="007A20DA">
        <w:rPr>
          <w:highlight w:val="yellow"/>
        </w:rPr>
      </w:r>
      <w:r w:rsidR="007A20DA">
        <w:rPr>
          <w:highlight w:val="yellow"/>
        </w:rPr>
        <w:fldChar w:fldCharType="separate"/>
      </w:r>
      <w:r w:rsidR="00C22A9E" w:rsidRPr="00E44B32">
        <w:t xml:space="preserve">Figure </w:t>
      </w:r>
      <w:r w:rsidR="00C22A9E">
        <w:rPr>
          <w:noProof/>
        </w:rPr>
        <w:t>4</w:t>
      </w:r>
      <w:r w:rsidR="007A20DA">
        <w:rPr>
          <w:highlight w:val="yellow"/>
        </w:rPr>
        <w:fldChar w:fldCharType="end"/>
      </w:r>
      <w:r w:rsidR="003D06C0">
        <w:t xml:space="preserve"> </w:t>
      </w:r>
      <w:r w:rsidRPr="002E633B">
        <w:t>have the potential to result in cumulative effect</w:t>
      </w:r>
      <w:r w:rsidR="00DF2930">
        <w:t>s</w:t>
      </w:r>
      <w:r w:rsidRPr="002E633B">
        <w:t xml:space="preserve">, which are discussed in </w:t>
      </w:r>
      <w:r w:rsidRPr="00F7574C">
        <w:rPr>
          <w:b/>
          <w:bCs/>
        </w:rPr>
        <w:t xml:space="preserve">Section </w:t>
      </w:r>
      <w:r w:rsidR="00F7574C" w:rsidRPr="00F7574C">
        <w:rPr>
          <w:b/>
          <w:bCs/>
        </w:rPr>
        <w:fldChar w:fldCharType="begin"/>
      </w:r>
      <w:r w:rsidR="00F7574C" w:rsidRPr="00F7574C">
        <w:rPr>
          <w:b/>
          <w:bCs/>
        </w:rPr>
        <w:instrText xml:space="preserve"> REF _Ref90047361 \n \h </w:instrText>
      </w:r>
      <w:r w:rsidR="00F7574C">
        <w:rPr>
          <w:b/>
          <w:bCs/>
        </w:rPr>
        <w:instrText xml:space="preserve"> \* MERGEFORMAT </w:instrText>
      </w:r>
      <w:r w:rsidR="00F7574C" w:rsidRPr="00F7574C">
        <w:rPr>
          <w:b/>
          <w:bCs/>
        </w:rPr>
      </w:r>
      <w:r w:rsidR="00F7574C" w:rsidRPr="00F7574C">
        <w:rPr>
          <w:b/>
          <w:bCs/>
        </w:rPr>
        <w:fldChar w:fldCharType="separate"/>
      </w:r>
      <w:r w:rsidR="00C22A9E" w:rsidRPr="00C22A9E">
        <w:rPr>
          <w:b/>
        </w:rPr>
        <w:t>7.8</w:t>
      </w:r>
      <w:r w:rsidR="00F7574C" w:rsidRPr="00F7574C">
        <w:rPr>
          <w:b/>
          <w:bCs/>
        </w:rPr>
        <w:fldChar w:fldCharType="end"/>
      </w:r>
      <w:r w:rsidRPr="00883EAB">
        <w:t>.</w:t>
      </w:r>
      <w:r w:rsidR="003D06C0">
        <w:t xml:space="preserve"> </w:t>
      </w:r>
      <w:r w:rsidR="003D06C0" w:rsidRPr="00765EAA">
        <w:rPr>
          <w:noProof/>
        </w:rPr>
        <w:lastRenderedPageBreak/>
        <w:drawing>
          <wp:inline distT="0" distB="0" distL="0" distR="0" wp14:anchorId="0F31109F" wp14:editId="08CA0D52">
            <wp:extent cx="4904481" cy="5444622"/>
            <wp:effectExtent l="0" t="0" r="0" b="3810"/>
            <wp:docPr id="15" name="Picture 15" descr="This figure shows each of the SEA environmental topics on both axes and indicates with a tick which other environmental topics are related to each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each of the SEA environmental topics on both axes and indicates with a tick which other environmental topics are related to each one"/>
                    <pic:cNvPicPr/>
                  </pic:nvPicPr>
                  <pic:blipFill>
                    <a:blip r:embed="rId22"/>
                    <a:stretch>
                      <a:fillRect/>
                    </a:stretch>
                  </pic:blipFill>
                  <pic:spPr>
                    <a:xfrm>
                      <a:off x="0" y="0"/>
                      <a:ext cx="4904481" cy="5444622"/>
                    </a:xfrm>
                    <a:prstGeom prst="rect">
                      <a:avLst/>
                    </a:prstGeom>
                  </pic:spPr>
                </pic:pic>
              </a:graphicData>
            </a:graphic>
          </wp:inline>
        </w:drawing>
      </w:r>
    </w:p>
    <w:p w14:paraId="43213A36" w14:textId="7C3D8590" w:rsidR="003D06C0" w:rsidRPr="00E44B32" w:rsidRDefault="003D06C0" w:rsidP="00D93256">
      <w:pPr>
        <w:pStyle w:val="STPR2CaptionFigures"/>
      </w:pPr>
      <w:bookmarkStart w:id="1025" w:name="_Ref90019896"/>
      <w:bookmarkStart w:id="1026" w:name="_Ref92969853"/>
      <w:bookmarkStart w:id="1027" w:name="_Toc90031476"/>
      <w:bookmarkStart w:id="1028" w:name="_Toc121231968"/>
      <w:r w:rsidRPr="00E44B32">
        <w:t xml:space="preserve">Figure </w:t>
      </w:r>
      <w:bookmarkEnd w:id="1025"/>
      <w:r w:rsidR="00FE05C9">
        <w:fldChar w:fldCharType="begin"/>
      </w:r>
      <w:r w:rsidR="00FE05C9">
        <w:instrText xml:space="preserve"> SEQ Figure \* ARABIC </w:instrText>
      </w:r>
      <w:r w:rsidR="00FE05C9">
        <w:fldChar w:fldCharType="separate"/>
      </w:r>
      <w:r w:rsidR="00C22A9E">
        <w:rPr>
          <w:noProof/>
        </w:rPr>
        <w:t>4</w:t>
      </w:r>
      <w:r w:rsidR="00FE05C9">
        <w:fldChar w:fldCharType="end"/>
      </w:r>
      <w:bookmarkEnd w:id="1026"/>
      <w:r w:rsidRPr="00E44B32">
        <w:t xml:space="preserve">: SEA </w:t>
      </w:r>
      <w:bookmarkEnd w:id="1027"/>
      <w:r w:rsidR="00436228">
        <w:t>t</w:t>
      </w:r>
      <w:r w:rsidRPr="00E44B32">
        <w:t xml:space="preserve">opic </w:t>
      </w:r>
      <w:r w:rsidR="00436228">
        <w:t>i</w:t>
      </w:r>
      <w:r w:rsidRPr="00E44B32">
        <w:t>nter</w:t>
      </w:r>
      <w:r w:rsidR="007134A8">
        <w:t>-</w:t>
      </w:r>
      <w:r w:rsidRPr="00E44B32">
        <w:t>relationship</w:t>
      </w:r>
      <w:r w:rsidR="00C70FCF">
        <w:t>s</w:t>
      </w:r>
      <w:bookmarkEnd w:id="1028"/>
    </w:p>
    <w:p w14:paraId="233386CB" w14:textId="19145590" w:rsidR="00A86B56" w:rsidRDefault="00A86B56" w:rsidP="00765EAA">
      <w:r>
        <w:br w:type="page"/>
      </w:r>
      <w:bookmarkStart w:id="1029" w:name="_Toc81993597"/>
      <w:bookmarkEnd w:id="1023"/>
    </w:p>
    <w:p w14:paraId="342B6392" w14:textId="37FFE632" w:rsidR="000C6958" w:rsidRDefault="000C6958" w:rsidP="00765EAA">
      <w:pPr>
        <w:pStyle w:val="Heading1"/>
      </w:pPr>
      <w:bookmarkStart w:id="1030" w:name="_Ref90564629"/>
      <w:bookmarkStart w:id="1031" w:name="_Toc121339121"/>
      <w:r w:rsidRPr="00765EAA">
        <w:lastRenderedPageBreak/>
        <w:t>Stakeholder</w:t>
      </w:r>
      <w:r>
        <w:t xml:space="preserve"> Engagement</w:t>
      </w:r>
      <w:bookmarkEnd w:id="1029"/>
      <w:bookmarkEnd w:id="1030"/>
      <w:bookmarkEnd w:id="1031"/>
    </w:p>
    <w:p w14:paraId="7F97B433" w14:textId="4D629257" w:rsidR="000C6958" w:rsidRDefault="000C6958" w:rsidP="00AD6C0F">
      <w:pPr>
        <w:pStyle w:val="Heading2"/>
      </w:pPr>
      <w:bookmarkStart w:id="1032" w:name="_Toc121339122"/>
      <w:bookmarkStart w:id="1033" w:name="_Toc81993598"/>
      <w:r w:rsidRPr="00AD6C0F">
        <w:t>Overview</w:t>
      </w:r>
      <w:bookmarkEnd w:id="1032"/>
      <w:r>
        <w:t xml:space="preserve"> </w:t>
      </w:r>
      <w:bookmarkEnd w:id="1033"/>
    </w:p>
    <w:p w14:paraId="68CD5E44" w14:textId="1F538703" w:rsidR="00BF40DD" w:rsidRDefault="00BF40DD" w:rsidP="00D93256">
      <w:pPr>
        <w:pStyle w:val="STPR2BodyText"/>
        <w:rPr>
          <w:rFonts w:eastAsia="Times New Roman"/>
        </w:rPr>
      </w:pPr>
      <w:r w:rsidRPr="00834A7D">
        <w:t>Effective collaboration with stakeholders and</w:t>
      </w:r>
      <w:r>
        <w:t xml:space="preserve"> engagement with</w:t>
      </w:r>
      <w:r w:rsidRPr="00834A7D">
        <w:t xml:space="preserve"> the public </w:t>
      </w:r>
      <w:r>
        <w:t>ha</w:t>
      </w:r>
      <w:r w:rsidRPr="00834A7D">
        <w:t>s</w:t>
      </w:r>
      <w:r>
        <w:t xml:space="preserve"> been</w:t>
      </w:r>
      <w:r w:rsidRPr="00834A7D">
        <w:t xml:space="preserve"> vital to </w:t>
      </w:r>
      <w:r w:rsidR="00A055AD" w:rsidRPr="00A055AD">
        <w:t xml:space="preserve">the </w:t>
      </w:r>
      <w:r w:rsidRPr="00834A7D">
        <w:t>STPR2</w:t>
      </w:r>
      <w:r>
        <w:t xml:space="preserve"> and a </w:t>
      </w:r>
      <w:r w:rsidRPr="00834A7D">
        <w:t xml:space="preserve">considerable programme of activities </w:t>
      </w:r>
      <w:r>
        <w:t xml:space="preserve">has been undertaken </w:t>
      </w:r>
      <w:r w:rsidRPr="00834A7D">
        <w:t xml:space="preserve">at a national and regional level throughout the STPR2 </w:t>
      </w:r>
      <w:r w:rsidRPr="00765EAA">
        <w:t>process</w:t>
      </w:r>
      <w:r w:rsidRPr="00834A7D">
        <w:t>.</w:t>
      </w:r>
      <w:r>
        <w:t xml:space="preserve"> </w:t>
      </w:r>
      <w:r>
        <w:rPr>
          <w:rFonts w:eastAsia="Times New Roman"/>
        </w:rPr>
        <w:t>A comprehensive Engagement Plan was developed during the inception phase to guide engagement and communications with principles agreed to set the tone of the message portrayed to key stakeholders and ensure the project team adhere</w:t>
      </w:r>
      <w:r w:rsidR="00852FCB">
        <w:rPr>
          <w:rFonts w:eastAsia="Times New Roman"/>
        </w:rPr>
        <w:t>d</w:t>
      </w:r>
      <w:r>
        <w:rPr>
          <w:rFonts w:eastAsia="Times New Roman"/>
        </w:rPr>
        <w:t xml:space="preserve"> to best practice and offer</w:t>
      </w:r>
      <w:r w:rsidR="00852FCB">
        <w:rPr>
          <w:rFonts w:eastAsia="Times New Roman"/>
        </w:rPr>
        <w:t>ed</w:t>
      </w:r>
      <w:r>
        <w:rPr>
          <w:rFonts w:eastAsia="Times New Roman"/>
        </w:rPr>
        <w:t xml:space="preserve"> a consistent approach across all engagement activities. The principles agreed </w:t>
      </w:r>
      <w:r w:rsidR="00852FCB">
        <w:rPr>
          <w:rFonts w:eastAsia="Times New Roman"/>
        </w:rPr>
        <w:t>we</w:t>
      </w:r>
      <w:r>
        <w:rPr>
          <w:rFonts w:eastAsia="Times New Roman"/>
        </w:rPr>
        <w:t>re as</w:t>
      </w:r>
      <w:r w:rsidR="00C7731D">
        <w:rPr>
          <w:rFonts w:eastAsia="Times New Roman"/>
        </w:rPr>
        <w:t> </w:t>
      </w:r>
      <w:r>
        <w:rPr>
          <w:rFonts w:eastAsia="Times New Roman"/>
        </w:rPr>
        <w:t>follows:</w:t>
      </w:r>
    </w:p>
    <w:p w14:paraId="29A639AF" w14:textId="77777777" w:rsidR="00BF40DD" w:rsidRPr="00765EAA" w:rsidRDefault="00BF40DD" w:rsidP="00D93256">
      <w:pPr>
        <w:pStyle w:val="STPR2BulletsLevel1"/>
      </w:pPr>
      <w:r w:rsidRPr="00806A31">
        <w:t xml:space="preserve">A fully transparent and auditable approach to capturing engagement through promotion of fair </w:t>
      </w:r>
      <w:r w:rsidRPr="00765EAA">
        <w:t>access - an equal opportunity to become involved - using a range of engagement and communications approaches;</w:t>
      </w:r>
    </w:p>
    <w:p w14:paraId="68FFC663" w14:textId="77777777" w:rsidR="00BF40DD" w:rsidRPr="00765EAA" w:rsidRDefault="00BF40DD" w:rsidP="00D93256">
      <w:pPr>
        <w:pStyle w:val="STPR2BulletsLevel1"/>
      </w:pPr>
      <w:r w:rsidRPr="00765EAA">
        <w:t xml:space="preserve">A proactive approach to elicit responses from diverse stakeholders, including hard to reach groups; </w:t>
      </w:r>
    </w:p>
    <w:p w14:paraId="376ABFAC" w14:textId="77777777" w:rsidR="00BF40DD" w:rsidRPr="00765EAA" w:rsidRDefault="00BF40DD" w:rsidP="00D93256">
      <w:pPr>
        <w:pStyle w:val="STPR2BulletsLevel1"/>
      </w:pPr>
      <w:r w:rsidRPr="00765EAA">
        <w:t>A consistent approach whilst responding to the diverse geography of Scotland;</w:t>
      </w:r>
    </w:p>
    <w:p w14:paraId="1547FF0E" w14:textId="7557D49D" w:rsidR="00BF40DD" w:rsidRPr="00765EAA" w:rsidRDefault="00BF40DD" w:rsidP="00D93256">
      <w:pPr>
        <w:pStyle w:val="STPR2BulletsLevel1"/>
      </w:pPr>
      <w:r w:rsidRPr="00765EAA">
        <w:t xml:space="preserve">An efficient approach to make best use of finite resources and timescales and minimise engagement/consultation fatigue; </w:t>
      </w:r>
    </w:p>
    <w:p w14:paraId="06108033" w14:textId="14B11FEA" w:rsidR="00BF40DD" w:rsidRPr="00806A31" w:rsidRDefault="00BF40DD" w:rsidP="00D93256">
      <w:pPr>
        <w:pStyle w:val="STPR2BulletsLevel1"/>
      </w:pPr>
      <w:r w:rsidRPr="00765EAA">
        <w:t xml:space="preserve">An integrated approach between engagement on </w:t>
      </w:r>
      <w:r w:rsidR="00A055AD">
        <w:t xml:space="preserve">the </w:t>
      </w:r>
      <w:r w:rsidRPr="00765EAA">
        <w:t xml:space="preserve">NTS2, STPR2 and </w:t>
      </w:r>
      <w:r w:rsidR="006B37F2">
        <w:t xml:space="preserve">the Revised Draft </w:t>
      </w:r>
      <w:r w:rsidRPr="00765EAA">
        <w:t>NPF4 where possible and appropriate</w:t>
      </w:r>
      <w:r w:rsidRPr="00806A31">
        <w:t>.</w:t>
      </w:r>
    </w:p>
    <w:p w14:paraId="091A1E28" w14:textId="77777777" w:rsidR="00C22A9E" w:rsidRDefault="00BF40DD" w:rsidP="00D93256">
      <w:pPr>
        <w:pStyle w:val="STPR2CaptionFigures"/>
      </w:pPr>
      <w:r w:rsidRPr="00834A7D">
        <w:t xml:space="preserve">As part of Transport Scotland’s commitment to collaborative working, Regional Transport Working Groups (RTWGs), </w:t>
      </w:r>
      <w:r w:rsidR="006B37F2">
        <w:t>were</w:t>
      </w:r>
      <w:r w:rsidRPr="00834A7D">
        <w:t xml:space="preserve"> established across Scotland with local authorities, National Park authorities</w:t>
      </w:r>
      <w:r w:rsidR="00FD23B8">
        <w:t>,</w:t>
      </w:r>
      <w:r w:rsidRPr="00834A7D">
        <w:t xml:space="preserve"> Regional Transport Partnerships (RTPs) </w:t>
      </w:r>
      <w:r w:rsidR="00FD23B8">
        <w:t>and other regional stakeholders</w:t>
      </w:r>
      <w:r w:rsidR="005A50B5">
        <w:t>, such as Enterprise Agencies and Growth Deal representatives,</w:t>
      </w:r>
      <w:r w:rsidR="00FD23B8">
        <w:t xml:space="preserve"> </w:t>
      </w:r>
      <w:r w:rsidRPr="00834A7D">
        <w:t>to inform and guide the review in their respective areas.</w:t>
      </w:r>
      <w:r>
        <w:t xml:space="preserve"> </w:t>
      </w:r>
      <w:r w:rsidRPr="00834A7D">
        <w:t xml:space="preserve">RTWGs feature representatives covering a variety of remits, including </w:t>
      </w:r>
      <w:r>
        <w:t xml:space="preserve">transportation, </w:t>
      </w:r>
      <w:r w:rsidRPr="00834A7D">
        <w:t xml:space="preserve">planning and economic development. The STPR2 RTWGs and the STPR2 regions </w:t>
      </w:r>
      <w:r w:rsidRPr="00834A7D">
        <w:lastRenderedPageBreak/>
        <w:t>they cover</w:t>
      </w:r>
      <w:r w:rsidR="0017596E">
        <w:t xml:space="preserve">, as shown in </w:t>
      </w:r>
      <w:r w:rsidR="00EA5F8D">
        <w:fldChar w:fldCharType="begin"/>
      </w:r>
      <w:r w:rsidR="00EA5F8D">
        <w:instrText xml:space="preserve"> REF _Ref93053779 \h </w:instrText>
      </w:r>
      <w:r w:rsidR="00EA5F8D">
        <w:fldChar w:fldCharType="separate"/>
      </w:r>
    </w:p>
    <w:p w14:paraId="4A03A319" w14:textId="77777777" w:rsidR="00C22A9E" w:rsidRDefault="00C22A9E" w:rsidP="00D93256">
      <w:pPr>
        <w:pStyle w:val="STPR2CaptionFigures"/>
      </w:pPr>
      <w:r>
        <w:rPr>
          <w:noProof/>
        </w:rPr>
        <w:drawing>
          <wp:inline distT="0" distB="0" distL="0" distR="0" wp14:anchorId="4E139843" wp14:editId="60C521A6">
            <wp:extent cx="6120765" cy="6376670"/>
            <wp:effectExtent l="0" t="0" r="0" b="5080"/>
            <wp:docPr id="13" name="Picture 13" descr="Map of Scotland showing the 11 STPR2 regions: Argyll and Bute, Ayrshire and Arran, Edinburgh and South East, Forth Valley, Glasgow City Region, Highlands and Islands, North East Scotland, Scottish Borders, Shetland Islands, South West Scotland and Tay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Scotland showing the 11 STPR2 regions: Argyll and Bute, Ayrshire and Arran, Edinburgh and South East, Forth Valley, Glasgow City Region, Highlands and Islands, North East Scotland, Scottish Borders, Shetland Islands, South West Scotland and Tay Citi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6376670"/>
                    </a:xfrm>
                    <a:prstGeom prst="rect">
                      <a:avLst/>
                    </a:prstGeom>
                    <a:noFill/>
                  </pic:spPr>
                </pic:pic>
              </a:graphicData>
            </a:graphic>
          </wp:inline>
        </w:drawing>
      </w:r>
    </w:p>
    <w:p w14:paraId="4212DC46" w14:textId="05A8B8F2" w:rsidR="00BF40DD" w:rsidRPr="00834A7D" w:rsidRDefault="00C22A9E" w:rsidP="00D93256">
      <w:pPr>
        <w:pStyle w:val="STPR2BodyText"/>
      </w:pPr>
      <w:r w:rsidRPr="0083205E">
        <w:t xml:space="preserve">Figure </w:t>
      </w:r>
      <w:r>
        <w:rPr>
          <w:noProof/>
        </w:rPr>
        <w:t>2</w:t>
      </w:r>
      <w:r w:rsidR="00EA5F8D">
        <w:fldChar w:fldCharType="end"/>
      </w:r>
      <w:r w:rsidR="00F412A4">
        <w:t>,</w:t>
      </w:r>
      <w:r w:rsidR="00457DAB">
        <w:t xml:space="preserve"> </w:t>
      </w:r>
      <w:r w:rsidR="00BF40DD">
        <w:t>are as follows:</w:t>
      </w:r>
    </w:p>
    <w:p w14:paraId="689948A9" w14:textId="54EEDDC0" w:rsidR="00BF40DD" w:rsidRPr="00806A31" w:rsidRDefault="00BF40DD" w:rsidP="00D93256">
      <w:pPr>
        <w:pStyle w:val="STPR2BulletsLevel1"/>
      </w:pPr>
      <w:r w:rsidRPr="00806A31">
        <w:t xml:space="preserve">Argyll </w:t>
      </w:r>
      <w:r w:rsidR="00C40A6F">
        <w:t>and</w:t>
      </w:r>
      <w:r w:rsidRPr="00806A31">
        <w:t xml:space="preserve"> Bute RTWG – Argyll </w:t>
      </w:r>
      <w:r w:rsidR="00C40A6F">
        <w:t>and</w:t>
      </w:r>
      <w:r w:rsidRPr="00806A31">
        <w:t xml:space="preserve"> Bute Region;</w:t>
      </w:r>
    </w:p>
    <w:p w14:paraId="5B85766D" w14:textId="2FD7790B" w:rsidR="00BF40DD" w:rsidRPr="00806A31" w:rsidRDefault="00BF40DD" w:rsidP="00D93256">
      <w:pPr>
        <w:pStyle w:val="STPR2BulletsLevel1"/>
      </w:pPr>
      <w:r w:rsidRPr="00806A31">
        <w:t xml:space="preserve">Ayrshire </w:t>
      </w:r>
      <w:r w:rsidR="00C40A6F">
        <w:t>and</w:t>
      </w:r>
      <w:r w:rsidR="00C40A6F" w:rsidRPr="00806A31" w:rsidDel="00C40A6F">
        <w:t xml:space="preserve"> </w:t>
      </w:r>
      <w:r w:rsidRPr="00806A31">
        <w:t xml:space="preserve">Arran RTWG – Ayrshire </w:t>
      </w:r>
      <w:r w:rsidR="00C40A6F">
        <w:t>and</w:t>
      </w:r>
      <w:r w:rsidR="00C40A6F" w:rsidRPr="00806A31" w:rsidDel="00C40A6F">
        <w:t xml:space="preserve"> </w:t>
      </w:r>
      <w:r w:rsidRPr="00806A31">
        <w:t>Arran Region;</w:t>
      </w:r>
    </w:p>
    <w:p w14:paraId="2A1D172E" w14:textId="784B74D5" w:rsidR="00BF40DD" w:rsidRPr="00806A31" w:rsidRDefault="00BF40DD" w:rsidP="00D93256">
      <w:pPr>
        <w:pStyle w:val="STPR2BulletsLevel1"/>
      </w:pPr>
      <w:r w:rsidRPr="00806A31">
        <w:t xml:space="preserve">Edinburgh </w:t>
      </w:r>
      <w:r w:rsidR="00C40A6F">
        <w:t>and</w:t>
      </w:r>
      <w:r w:rsidR="00C40A6F" w:rsidRPr="00806A31" w:rsidDel="00C40A6F">
        <w:t xml:space="preserve"> </w:t>
      </w:r>
      <w:r w:rsidRPr="00806A31">
        <w:t>South</w:t>
      </w:r>
      <w:r w:rsidR="00C40A6F">
        <w:t xml:space="preserve"> </w:t>
      </w:r>
      <w:r w:rsidRPr="00806A31">
        <w:t xml:space="preserve">East RTWG - Edinburgh </w:t>
      </w:r>
      <w:r w:rsidR="00C40A6F">
        <w:t>and</w:t>
      </w:r>
      <w:r w:rsidRPr="00806A31">
        <w:t xml:space="preserve"> South</w:t>
      </w:r>
      <w:r w:rsidR="00C40A6F">
        <w:t xml:space="preserve"> </w:t>
      </w:r>
      <w:r w:rsidRPr="00806A31">
        <w:t>East Region;</w:t>
      </w:r>
    </w:p>
    <w:p w14:paraId="390F028C" w14:textId="77777777" w:rsidR="00BF40DD" w:rsidRPr="00806A31" w:rsidRDefault="00BF40DD" w:rsidP="00D93256">
      <w:pPr>
        <w:pStyle w:val="STPR2BulletsLevel1"/>
      </w:pPr>
      <w:r w:rsidRPr="00806A31">
        <w:t>Forth Valley RTWG – Forth Valley Region;</w:t>
      </w:r>
    </w:p>
    <w:p w14:paraId="0FE18F9A" w14:textId="3A523F31" w:rsidR="00BF40DD" w:rsidRPr="00806A31" w:rsidRDefault="00BF40DD" w:rsidP="00D93256">
      <w:pPr>
        <w:pStyle w:val="STPR2BulletsLevel1"/>
      </w:pPr>
      <w:r w:rsidRPr="00806A31">
        <w:t>Glasgow City Region RTWG – Glasgow City Region;</w:t>
      </w:r>
    </w:p>
    <w:p w14:paraId="5B4EB925" w14:textId="77777777" w:rsidR="00BF40DD" w:rsidRPr="00806A31" w:rsidRDefault="00BF40DD" w:rsidP="00D93256">
      <w:pPr>
        <w:pStyle w:val="STPR2BulletsLevel1"/>
      </w:pPr>
      <w:r w:rsidRPr="00806A31">
        <w:t>Highlands and Islands RTWG – Highlands and Islands Region;</w:t>
      </w:r>
    </w:p>
    <w:p w14:paraId="7621B51A" w14:textId="19401D1C" w:rsidR="00BF40DD" w:rsidRPr="00806A31" w:rsidRDefault="00BF40DD" w:rsidP="00D93256">
      <w:pPr>
        <w:pStyle w:val="STPR2BulletsLevel1"/>
      </w:pPr>
      <w:r w:rsidRPr="00806A31">
        <w:t>North</w:t>
      </w:r>
      <w:r w:rsidR="00C40A6F">
        <w:t xml:space="preserve"> </w:t>
      </w:r>
      <w:r w:rsidRPr="00806A31">
        <w:t>East RTWG – North</w:t>
      </w:r>
      <w:r w:rsidR="00C40A6F">
        <w:t xml:space="preserve"> </w:t>
      </w:r>
      <w:r w:rsidRPr="00806A31">
        <w:t>East Region;</w:t>
      </w:r>
    </w:p>
    <w:p w14:paraId="1F4DEC44" w14:textId="75034BF7" w:rsidR="00BF40DD" w:rsidRPr="00806A31" w:rsidRDefault="00BF40DD" w:rsidP="00D93256">
      <w:pPr>
        <w:pStyle w:val="STPR2BulletsLevel1"/>
      </w:pPr>
      <w:r w:rsidRPr="00806A31">
        <w:t>Shetland Islands RTWG – Shetland Islands Region;</w:t>
      </w:r>
    </w:p>
    <w:p w14:paraId="0B6DA79A" w14:textId="4584701D" w:rsidR="00BF40DD" w:rsidRPr="00806A31" w:rsidRDefault="00BF40DD" w:rsidP="00D93256">
      <w:pPr>
        <w:pStyle w:val="STPR2BulletsLevel1"/>
      </w:pPr>
      <w:r w:rsidRPr="00806A31">
        <w:t>South of Scotland RTWG – South</w:t>
      </w:r>
      <w:r w:rsidR="00B80FAA">
        <w:t xml:space="preserve"> </w:t>
      </w:r>
      <w:r w:rsidRPr="00806A31">
        <w:t xml:space="preserve">West Scotland Region </w:t>
      </w:r>
      <w:r w:rsidR="00B80FAA">
        <w:t>and</w:t>
      </w:r>
      <w:r w:rsidRPr="00806A31">
        <w:t xml:space="preserve"> Borders Region</w:t>
      </w:r>
      <w:r w:rsidR="00CD59B9">
        <w:t xml:space="preserve">; </w:t>
      </w:r>
    </w:p>
    <w:p w14:paraId="4FE3F804" w14:textId="6D5FB999" w:rsidR="00CD59B9" w:rsidRPr="00806A31" w:rsidRDefault="00CD59B9" w:rsidP="00D93256">
      <w:pPr>
        <w:pStyle w:val="STPR2BulletsLevel1"/>
      </w:pPr>
      <w:r w:rsidRPr="00806A31">
        <w:t>Tay Cities RTWG – Tay Cities</w:t>
      </w:r>
      <w:r w:rsidR="00EC0B4B">
        <w:t xml:space="preserve"> Region</w:t>
      </w:r>
      <w:r w:rsidRPr="00806A31">
        <w:t>;</w:t>
      </w:r>
    </w:p>
    <w:p w14:paraId="08C36995" w14:textId="4D05FDA9" w:rsidR="00BF40DD" w:rsidRPr="00AB78A8" w:rsidRDefault="00BF40DD" w:rsidP="00D93256">
      <w:pPr>
        <w:pStyle w:val="STPR2BodyText"/>
      </w:pPr>
      <w:r w:rsidRPr="00AB78A8">
        <w:lastRenderedPageBreak/>
        <w:t xml:space="preserve">Before the </w:t>
      </w:r>
      <w:r w:rsidR="00B80FAA">
        <w:t xml:space="preserve">COVID-19 </w:t>
      </w:r>
      <w:r w:rsidRPr="00AB78A8">
        <w:t xml:space="preserve">pandemic, the engagement with the RTWGs was complemented by a comprehensive programme of stakeholder and public engagement activities building on the engagement work undertaken for </w:t>
      </w:r>
      <w:r w:rsidR="00BD6270" w:rsidRPr="00BD6270">
        <w:t xml:space="preserve">the </w:t>
      </w:r>
      <w:r w:rsidRPr="00AB78A8">
        <w:t xml:space="preserve">NTS2. Regional workshops </w:t>
      </w:r>
      <w:r>
        <w:t xml:space="preserve">played a very important role </w:t>
      </w:r>
      <w:r w:rsidR="00EF00B1">
        <w:t xml:space="preserve">in </w:t>
      </w:r>
      <w:r>
        <w:t xml:space="preserve">bringing </w:t>
      </w:r>
      <w:r w:rsidRPr="00AB78A8">
        <w:t>together transport users, business, equality and other representative groups to provide their input on problems and opportunities</w:t>
      </w:r>
      <w:r>
        <w:t xml:space="preserve"> </w:t>
      </w:r>
      <w:r>
        <w:rPr>
          <w:rFonts w:eastAsia="Times New Roman"/>
        </w:rPr>
        <w:t>in the first round of sessions and into potential interventions in the second round of sessions. Structured interviews were also undertaken with a range of key stakeholders to provide additional inputs</w:t>
      </w:r>
      <w:r w:rsidDel="008245D3">
        <w:rPr>
          <w:rFonts w:eastAsia="Times New Roman"/>
        </w:rPr>
        <w:t>.</w:t>
      </w:r>
    </w:p>
    <w:p w14:paraId="4BB63A2B" w14:textId="73563ED8" w:rsidR="00BF40DD" w:rsidRDefault="00BF40DD" w:rsidP="00D93256">
      <w:pPr>
        <w:pStyle w:val="STPR2BodyText"/>
      </w:pPr>
      <w:r>
        <w:t>A number of national workshops were arranged</w:t>
      </w:r>
      <w:r w:rsidR="003B5189">
        <w:t>,</w:t>
      </w:r>
      <w:r>
        <w:t xml:space="preserve"> focussing on all the key modes of transport</w:t>
      </w:r>
      <w:r w:rsidR="00EF00B1">
        <w:t>,</w:t>
      </w:r>
      <w:r>
        <w:t xml:space="preserve"> including active travel, bus, rail, maritime, road and freight transport. There was also a national equalities workshop and a national environmental workshop. </w:t>
      </w:r>
      <w:r w:rsidR="00C129C8">
        <w:t>B</w:t>
      </w:r>
      <w:r>
        <w:t xml:space="preserve">reakfast seminars were arranged in different parts of Scotland for organisations representing key business sectors. Engagement activities were also undertaken with schools in different parts of </w:t>
      </w:r>
      <w:r w:rsidRPr="00765EAA">
        <w:t>Scotland</w:t>
      </w:r>
      <w:r>
        <w:t>.</w:t>
      </w:r>
    </w:p>
    <w:p w14:paraId="28E25093" w14:textId="0CA899CE" w:rsidR="00BF40DD" w:rsidRDefault="00BF40DD" w:rsidP="00D93256">
      <w:pPr>
        <w:pStyle w:val="STPR2BodyText"/>
      </w:pPr>
      <w:r w:rsidRPr="00BD5090">
        <w:t xml:space="preserve">An online survey to capture the views of the wider public, community councils and organisations with an interest in transport </w:t>
      </w:r>
      <w:r w:rsidR="00287D09">
        <w:t>was available</w:t>
      </w:r>
      <w:r w:rsidRPr="00BD5090">
        <w:t xml:space="preserve"> from </w:t>
      </w:r>
      <w:r w:rsidR="00361B87">
        <w:t>0</w:t>
      </w:r>
      <w:r w:rsidRPr="00BD5090">
        <w:t xml:space="preserve">2 December 2019 to 10 January 2020. Similar surveys </w:t>
      </w:r>
      <w:r w:rsidR="002E6D64">
        <w:t>were undertaken as part of the</w:t>
      </w:r>
      <w:r w:rsidRPr="00BD5090">
        <w:t xml:space="preserve"> three earlier Pre-Appraisal studies in the South</w:t>
      </w:r>
      <w:r w:rsidR="002E6D64">
        <w:t xml:space="preserve"> </w:t>
      </w:r>
      <w:r w:rsidRPr="00BD5090">
        <w:t xml:space="preserve">West, the Scottish Borders and </w:t>
      </w:r>
      <w:r w:rsidR="00350A68">
        <w:t>North East</w:t>
      </w:r>
      <w:r w:rsidRPr="00BD5090">
        <w:t xml:space="preserve"> Region</w:t>
      </w:r>
      <w:r w:rsidR="002E6D64">
        <w:t>s</w:t>
      </w:r>
      <w:r w:rsidRPr="00BD5090">
        <w:t xml:space="preserve">. </w:t>
      </w:r>
    </w:p>
    <w:p w14:paraId="0D39DFC9" w14:textId="4901B194" w:rsidR="00BF40DD" w:rsidRDefault="00BF40DD" w:rsidP="00D93256">
      <w:pPr>
        <w:pStyle w:val="STPR2BodyText"/>
      </w:pPr>
      <w:r>
        <w:t>All the information from the various workshop sessions and the online survey was captured and fed into the Case for Change and option generation phases of work.</w:t>
      </w:r>
      <w:r w:rsidR="00DF6ACA">
        <w:t xml:space="preserve"> </w:t>
      </w:r>
    </w:p>
    <w:p w14:paraId="004AE755" w14:textId="2C705E88" w:rsidR="00BF40DD" w:rsidRDefault="00BF40DD" w:rsidP="00D93256">
      <w:pPr>
        <w:pStyle w:val="STPR2BodyText"/>
      </w:pPr>
      <w:r>
        <w:t xml:space="preserve">From March 2020 stakeholder engagement </w:t>
      </w:r>
      <w:r w:rsidR="002E6D64">
        <w:t>required</w:t>
      </w:r>
      <w:r>
        <w:t xml:space="preserve"> to be paused due to COVID-19, with Transport Scotland resources being focussed on supporting Ministers’ response to the pandemic. Stakeholder engagement was re-started in October 2020 to feed into the remainder of the STPR2 process.</w:t>
      </w:r>
    </w:p>
    <w:p w14:paraId="028CE0E4" w14:textId="5B197D11" w:rsidR="00876CDB" w:rsidRDefault="00BF40DD" w:rsidP="00D93256">
      <w:pPr>
        <w:pStyle w:val="STPR2BodyText"/>
      </w:pPr>
      <w:r w:rsidRPr="00FD1DCB">
        <w:t>Following the publication of the Phase 1 Recommendations Report</w:t>
      </w:r>
      <w:r w:rsidR="00E379FA">
        <w:t xml:space="preserve"> (Jacobs </w:t>
      </w:r>
      <w:r w:rsidR="007F59CB">
        <w:t>AECOM</w:t>
      </w:r>
      <w:r w:rsidR="00E379FA">
        <w:t xml:space="preserve"> 2021a)</w:t>
      </w:r>
      <w:r w:rsidR="00AA6FA9">
        <w:t xml:space="preserve">, </w:t>
      </w:r>
      <w:r w:rsidR="002445B1">
        <w:t xml:space="preserve">and </w:t>
      </w:r>
      <w:r w:rsidR="00AA6FA9">
        <w:t xml:space="preserve">the </w:t>
      </w:r>
      <w:r w:rsidR="001F1A42">
        <w:t xml:space="preserve">updated </w:t>
      </w:r>
      <w:r w:rsidR="00AA6FA9">
        <w:t>regional Case for Change reports</w:t>
      </w:r>
      <w:r w:rsidRPr="00FD1DCB">
        <w:t xml:space="preserve">, comment forms were published in February 2021 to capture feedback. In total 276 Individuals and 118 </w:t>
      </w:r>
      <w:r w:rsidRPr="00E379FA">
        <w:t xml:space="preserve">Organisations provided. The comments received </w:t>
      </w:r>
      <w:r w:rsidR="00E119BD">
        <w:t>were</w:t>
      </w:r>
      <w:r w:rsidRPr="00E379FA">
        <w:t xml:space="preserve"> considered and helped to inform the recommendations</w:t>
      </w:r>
      <w:r w:rsidRPr="00FD1DCB">
        <w:t xml:space="preserve"> and options taken forward for more detailed appraisal.</w:t>
      </w:r>
      <w:r w:rsidR="00DF6ACA">
        <w:t xml:space="preserve"> </w:t>
      </w:r>
    </w:p>
    <w:p w14:paraId="51943F1C" w14:textId="1D808487" w:rsidR="00DA289D" w:rsidRDefault="00E31B3F" w:rsidP="00D93256">
      <w:pPr>
        <w:pStyle w:val="STPR2BodyText"/>
      </w:pPr>
      <w:r>
        <w:t>The STPR2</w:t>
      </w:r>
      <w:r w:rsidR="00D81338">
        <w:t xml:space="preserve"> Draft</w:t>
      </w:r>
      <w:r>
        <w:t xml:space="preserve"> Final Report </w:t>
      </w:r>
      <w:r w:rsidR="00D15539">
        <w:t>was</w:t>
      </w:r>
      <w:r>
        <w:t xml:space="preserve"> consulted on for</w:t>
      </w:r>
      <w:r w:rsidR="00094BEA">
        <w:t xml:space="preserve"> 12 week</w:t>
      </w:r>
      <w:r w:rsidR="00E06ABA">
        <w:t>s</w:t>
      </w:r>
      <w:r w:rsidR="002C0831">
        <w:t xml:space="preserve">, </w:t>
      </w:r>
      <w:r w:rsidR="00E91476">
        <w:t>starting 20 January 2022</w:t>
      </w:r>
      <w:r w:rsidR="0028486B">
        <w:t>. A</w:t>
      </w:r>
      <w:r w:rsidR="00094BEA">
        <w:t xml:space="preserve">ll feedback received </w:t>
      </w:r>
      <w:r w:rsidR="00D15539">
        <w:t>was</w:t>
      </w:r>
      <w:r w:rsidR="00094BEA">
        <w:t xml:space="preserve"> collated and reviewed</w:t>
      </w:r>
      <w:r w:rsidR="00E90439">
        <w:t xml:space="preserve"> and findings and recommendations</w:t>
      </w:r>
      <w:r w:rsidR="006E7809">
        <w:t xml:space="preserve"> used to shape the Final Technical Report</w:t>
      </w:r>
      <w:r w:rsidR="000803C5">
        <w:t xml:space="preserve">. </w:t>
      </w:r>
      <w:r w:rsidR="00094BEA">
        <w:t xml:space="preserve">In addition, the feedback received </w:t>
      </w:r>
      <w:r w:rsidR="00C6564A">
        <w:t>was</w:t>
      </w:r>
      <w:r w:rsidR="00094BEA">
        <w:t xml:space="preserve"> used to inform th</w:t>
      </w:r>
      <w:r w:rsidR="00C6564A">
        <w:t>is</w:t>
      </w:r>
      <w:r w:rsidR="00094BEA">
        <w:t xml:space="preserve"> </w:t>
      </w:r>
      <w:r w:rsidR="00732549">
        <w:t>f</w:t>
      </w:r>
      <w:r w:rsidR="00DA289D">
        <w:t>inal</w:t>
      </w:r>
      <w:r w:rsidR="00732549">
        <w:t xml:space="preserve"> version of th</w:t>
      </w:r>
      <w:r w:rsidR="00C6564A">
        <w:t>e</w:t>
      </w:r>
      <w:r w:rsidR="00DA289D">
        <w:t xml:space="preserve"> </w:t>
      </w:r>
      <w:r w:rsidR="00094BEA">
        <w:t>Environmental Report</w:t>
      </w:r>
      <w:r w:rsidR="00732549">
        <w:t xml:space="preserve"> and the SEA Post Adoption Statement</w:t>
      </w:r>
      <w:r w:rsidR="00624383">
        <w:t>.</w:t>
      </w:r>
      <w:r w:rsidR="00791DB9" w:rsidRPr="00791DB9">
        <w:t xml:space="preserve"> The publication of the draft STPR2 report, associated documents and draft impact assessments in January 2022 launched a 12-week public consultation period, hosted on the Scottish Government’s consultation platform Citizen Space. The public consultation was publicised through various means including email correspondence to a wide range of organisations and authorities from across Scotland, via the Transport Scotland website and through both press and social media coverage. Organisations and authorities were also requested to publicise the consultation through their own channels. A summary of the consultation responses is provided in the STPR2 Consultation Summary Report (Jacobs AECOM, 2022e). Gaelic and Easy Read versions of the STPR2 report were also produced for consultation.</w:t>
      </w:r>
    </w:p>
    <w:p w14:paraId="67425B79" w14:textId="4C1E5413" w:rsidR="0059160E" w:rsidRDefault="0059160E" w:rsidP="00D93256">
      <w:pPr>
        <w:pStyle w:val="STPR2BodyText"/>
      </w:pPr>
      <w:r>
        <w:t xml:space="preserve">A total of 454 responses to the 12-week consultation were received, including from RTPs and Local Authorities. </w:t>
      </w:r>
      <w:r w:rsidR="005E0DCE" w:rsidRPr="005E0DCE">
        <w:t xml:space="preserve">Responses were also received from professional/trade bodies, charity groups/organisations, single-issue campaign groups, and Community Councils and </w:t>
      </w:r>
      <w:r w:rsidR="005E0DCE" w:rsidRPr="005E0DCE">
        <w:lastRenderedPageBreak/>
        <w:t>other local groups with an interest in transport</w:t>
      </w:r>
      <w:r>
        <w:t>.</w:t>
      </w:r>
    </w:p>
    <w:p w14:paraId="04901462" w14:textId="6676690E" w:rsidR="00ED6013" w:rsidRDefault="00BF40DD" w:rsidP="00765EAA">
      <w:pPr>
        <w:pStyle w:val="Heading1"/>
      </w:pPr>
      <w:bookmarkStart w:id="1034" w:name="_Ref90564514"/>
      <w:bookmarkStart w:id="1035" w:name="_Ref90564634"/>
      <w:bookmarkStart w:id="1036" w:name="_Ref90565512"/>
      <w:bookmarkStart w:id="1037" w:name="_Toc121339123"/>
      <w:r>
        <w:t xml:space="preserve">SEA </w:t>
      </w:r>
      <w:r w:rsidR="00ED6013">
        <w:t>Consultation</w:t>
      </w:r>
      <w:r w:rsidR="00B15B88">
        <w:t xml:space="preserve"> Requirements</w:t>
      </w:r>
      <w:bookmarkEnd w:id="1034"/>
      <w:bookmarkEnd w:id="1035"/>
      <w:bookmarkEnd w:id="1036"/>
      <w:bookmarkEnd w:id="1037"/>
      <w:r w:rsidR="00ED6013">
        <w:t xml:space="preserve"> </w:t>
      </w:r>
    </w:p>
    <w:p w14:paraId="5C3602CC" w14:textId="7E95A0D4" w:rsidR="00ED6013" w:rsidRPr="008C5AEC" w:rsidRDefault="00ED6013" w:rsidP="00D93256">
      <w:pPr>
        <w:pStyle w:val="STPR2BodyText"/>
      </w:pPr>
      <w:r w:rsidRPr="008C5AEC">
        <w:t xml:space="preserve">The SEA consultation is an integral part of the plan-making process. Consultation </w:t>
      </w:r>
      <w:r w:rsidR="00144FF7">
        <w:t>Authorities</w:t>
      </w:r>
      <w:r w:rsidRPr="008C5AEC">
        <w:t xml:space="preserve"> and the public are consulted in ways and at times which give them an early and effective opportunity within appropriate timeframes to express their opinions on the draft STPR2</w:t>
      </w:r>
      <w:r w:rsidR="00811ECF">
        <w:t xml:space="preserve"> Technical Report</w:t>
      </w:r>
      <w:r w:rsidRPr="008C5AEC">
        <w:t xml:space="preserve"> and SEA.</w:t>
      </w:r>
      <w:r w:rsidR="00A0336C">
        <w:t xml:space="preserve"> </w:t>
      </w:r>
      <w:r w:rsidR="00864F1E">
        <w:t>Th</w:t>
      </w:r>
      <w:r w:rsidR="00C83D27">
        <w:t>e</w:t>
      </w:r>
      <w:r w:rsidR="003C6B6D">
        <w:t xml:space="preserve"> consultation requirements for plans such as </w:t>
      </w:r>
      <w:r w:rsidR="00EA3891" w:rsidRPr="00EA3891">
        <w:t xml:space="preserve">the </w:t>
      </w:r>
      <w:r w:rsidR="003C6B6D">
        <w:t>STPR2</w:t>
      </w:r>
      <w:r w:rsidR="00372B12">
        <w:t xml:space="preserve"> (based on ODPM, 2005)</w:t>
      </w:r>
      <w:r w:rsidR="00870364">
        <w:t xml:space="preserve"> </w:t>
      </w:r>
      <w:r w:rsidR="00C83D27">
        <w:t>are as follows:</w:t>
      </w:r>
    </w:p>
    <w:p w14:paraId="2B1234E8" w14:textId="7133C4AE" w:rsidR="00754C21" w:rsidRDefault="00607530" w:rsidP="00D93256">
      <w:pPr>
        <w:pStyle w:val="STPR2BulletsLevel1"/>
      </w:pPr>
      <w:r>
        <w:t xml:space="preserve">Screening and </w:t>
      </w:r>
      <w:r w:rsidR="00864F1E">
        <w:t xml:space="preserve">Scoping - </w:t>
      </w:r>
      <w:r w:rsidR="00864F1E" w:rsidRPr="00864F1E">
        <w:t xml:space="preserve">Consult Consultation </w:t>
      </w:r>
      <w:r w:rsidR="00144FF7" w:rsidRPr="00144FF7">
        <w:t>Authorities</w:t>
      </w:r>
      <w:r w:rsidR="00864F1E" w:rsidRPr="00864F1E">
        <w:t xml:space="preserve"> (NatureScot, Historic Environment Scotland, Scottish Environmental Protection Agency)</w:t>
      </w:r>
      <w:r w:rsidR="00F20670">
        <w:t xml:space="preserve"> (completed)</w:t>
      </w:r>
      <w:r w:rsidR="003C3B77">
        <w:t>;</w:t>
      </w:r>
    </w:p>
    <w:p w14:paraId="0EA00BF8" w14:textId="6A0D48D6" w:rsidR="00864F1E" w:rsidRDefault="00864F1E" w:rsidP="00D93256">
      <w:pPr>
        <w:pStyle w:val="STPR2BulletsLevel1"/>
      </w:pPr>
      <w:r w:rsidRPr="00864F1E">
        <w:t>Environmental Report and draft plan or programme</w:t>
      </w:r>
      <w:r>
        <w:t xml:space="preserve"> - </w:t>
      </w:r>
      <w:r w:rsidRPr="00864F1E">
        <w:t xml:space="preserve">Consult Consultation </w:t>
      </w:r>
      <w:r w:rsidR="00F2237A" w:rsidRPr="00F2237A">
        <w:t>Authorities</w:t>
      </w:r>
      <w:r w:rsidRPr="00864F1E">
        <w:t xml:space="preserve"> and public. Normally this is one web-based consultation (SEA Gateway), for a 12-week period</w:t>
      </w:r>
      <w:r w:rsidR="00F2237A">
        <w:t xml:space="preserve"> (completed)</w:t>
      </w:r>
      <w:r w:rsidR="003C3B77">
        <w:t>;</w:t>
      </w:r>
    </w:p>
    <w:p w14:paraId="1EB7C47D" w14:textId="1AB01CE0" w:rsidR="00864F1E" w:rsidRDefault="007C65C0" w:rsidP="00D93256">
      <w:pPr>
        <w:pStyle w:val="STPR2BulletsLevel1"/>
      </w:pPr>
      <w:r w:rsidRPr="007C65C0">
        <w:t xml:space="preserve">During preparation of plan or programme </w:t>
      </w:r>
      <w:r>
        <w:t xml:space="preserve">- </w:t>
      </w:r>
      <w:r w:rsidRPr="007C65C0">
        <w:t>Take account of Environmental Report and opinions expressed</w:t>
      </w:r>
      <w:r w:rsidR="004341D3">
        <w:t xml:space="preserve"> </w:t>
      </w:r>
      <w:r w:rsidR="004341D3" w:rsidRPr="004341D3">
        <w:t>(completed)</w:t>
      </w:r>
      <w:r w:rsidR="003C3B77">
        <w:t>;</w:t>
      </w:r>
    </w:p>
    <w:p w14:paraId="4BF7C9BF" w14:textId="10CBB036" w:rsidR="007C65C0" w:rsidRPr="008C5AEC" w:rsidRDefault="007C65C0" w:rsidP="00D93256">
      <w:pPr>
        <w:pStyle w:val="STPR2BulletsLevel1"/>
      </w:pPr>
      <w:r w:rsidRPr="007C65C0">
        <w:t>Adopted plan or programme: statement and measures concerning monitoring</w:t>
      </w:r>
      <w:r>
        <w:t xml:space="preserve"> - </w:t>
      </w:r>
      <w:r w:rsidRPr="007C65C0">
        <w:t xml:space="preserve">Issue to Consultation </w:t>
      </w:r>
      <w:r w:rsidR="00F2237A" w:rsidRPr="00F2237A">
        <w:t>Authorities</w:t>
      </w:r>
      <w:r w:rsidRPr="007C65C0">
        <w:t xml:space="preserve"> and public for information</w:t>
      </w:r>
      <w:r w:rsidR="004341D3">
        <w:t xml:space="preserve"> (</w:t>
      </w:r>
      <w:r w:rsidR="003C3B77">
        <w:t>to be published in 2023).</w:t>
      </w:r>
    </w:p>
    <w:p w14:paraId="1D487320" w14:textId="32991210" w:rsidR="00C11532" w:rsidRPr="00FB27D8" w:rsidRDefault="00C11532" w:rsidP="00FB27D8">
      <w:pPr>
        <w:pStyle w:val="Heading2"/>
      </w:pPr>
      <w:bookmarkStart w:id="1038" w:name="_Toc121339124"/>
      <w:r w:rsidRPr="00FB27D8">
        <w:t>Feedback from SEA Consultation Authorities</w:t>
      </w:r>
      <w:bookmarkEnd w:id="1038"/>
    </w:p>
    <w:p w14:paraId="7F7548CB" w14:textId="62B76E71" w:rsidR="00C11532" w:rsidRPr="003F7414" w:rsidRDefault="00C11532" w:rsidP="00D93256">
      <w:pPr>
        <w:pStyle w:val="STPR2BodyText"/>
      </w:pPr>
      <w:r w:rsidRPr="003F7414">
        <w:t xml:space="preserve">The SEA </w:t>
      </w:r>
      <w:r w:rsidR="002E6142">
        <w:t>has been</w:t>
      </w:r>
      <w:r w:rsidRPr="003F7414">
        <w:t xml:space="preserve"> developed to incorporate the feedback from the three statutory Consultation Authorities in Scotland:</w:t>
      </w:r>
      <w:r w:rsidR="00DF6ACA">
        <w:t xml:space="preserve"> </w:t>
      </w:r>
    </w:p>
    <w:p w14:paraId="5176A076" w14:textId="77777777" w:rsidR="00C11532" w:rsidRPr="00806A31" w:rsidRDefault="00C11532" w:rsidP="00D93256">
      <w:pPr>
        <w:pStyle w:val="STPR2BulletsLevel1"/>
      </w:pPr>
      <w:r w:rsidRPr="00806A31">
        <w:t>Scottish Environment Protection Agency (SEPA);</w:t>
      </w:r>
    </w:p>
    <w:p w14:paraId="4EF6AD80" w14:textId="04CDE3BA" w:rsidR="00C11532" w:rsidRPr="00806A31" w:rsidRDefault="00C11532" w:rsidP="00D93256">
      <w:pPr>
        <w:pStyle w:val="STPR2BulletsLevel1"/>
      </w:pPr>
      <w:r w:rsidRPr="00806A31">
        <w:t xml:space="preserve">NatureScot; </w:t>
      </w:r>
    </w:p>
    <w:p w14:paraId="686AF126" w14:textId="77777777" w:rsidR="00C11532" w:rsidRPr="00806A31" w:rsidRDefault="00C11532" w:rsidP="00D93256">
      <w:pPr>
        <w:pStyle w:val="STPR2BulletsLevel1"/>
      </w:pPr>
      <w:r w:rsidRPr="00806A31">
        <w:t>Historic Environment Scotland (HES).</w:t>
      </w:r>
    </w:p>
    <w:p w14:paraId="69B21CFD" w14:textId="0F23FD74" w:rsidR="00C11532" w:rsidRDefault="00C11532" w:rsidP="00D93256">
      <w:pPr>
        <w:pStyle w:val="STPR2BodyText"/>
      </w:pPr>
      <w:r w:rsidRPr="003F7414">
        <w:t xml:space="preserve">The role of the Consultation Authorities within SEA is to bring their individual environmental expertise to the assessment process. This can help to ensure that the future consultation process undertaken by a Responsible Authority (in this case Transport Scotland) is more robust. </w:t>
      </w:r>
      <w:r w:rsidRPr="00FB27D8">
        <w:t>This</w:t>
      </w:r>
      <w:r w:rsidRPr="003F7414">
        <w:t xml:space="preserve"> in turn means that the public can gain a better understanding of the likely effect of a plan on the environment and meaningfully contribute to the plan’s preparation process by offering an informed view (Scottish</w:t>
      </w:r>
      <w:r w:rsidR="00C7731D">
        <w:t> </w:t>
      </w:r>
      <w:r w:rsidRPr="003F7414">
        <w:t xml:space="preserve">Government, 2013). </w:t>
      </w:r>
    </w:p>
    <w:p w14:paraId="25FBC4CA" w14:textId="283CAC18" w:rsidR="00467719" w:rsidRPr="003F7414" w:rsidRDefault="00804345" w:rsidP="00D93256">
      <w:pPr>
        <w:pStyle w:val="STPR2BodyText"/>
      </w:pPr>
      <w:r>
        <w:t>T</w:t>
      </w:r>
      <w:r w:rsidR="00FB2F06">
        <w:t>he Consultation Authorities</w:t>
      </w:r>
      <w:r>
        <w:t xml:space="preserve"> have provided </w:t>
      </w:r>
      <w:r w:rsidR="006B38C2">
        <w:t xml:space="preserve">feedback at </w:t>
      </w:r>
      <w:r w:rsidR="00D17BE9">
        <w:t xml:space="preserve">various </w:t>
      </w:r>
      <w:r w:rsidR="006B38C2">
        <w:t>workshops</w:t>
      </w:r>
      <w:r w:rsidR="00D17BE9">
        <w:t xml:space="preserve"> throughout the project</w:t>
      </w:r>
      <w:r w:rsidR="006B38C2">
        <w:t xml:space="preserve"> (see </w:t>
      </w:r>
      <w:r w:rsidR="006B38C2" w:rsidRPr="006B38C2">
        <w:rPr>
          <w:b/>
          <w:bCs/>
        </w:rPr>
        <w:t>Section 6.2</w:t>
      </w:r>
      <w:r w:rsidR="006B38C2">
        <w:t>)</w:t>
      </w:r>
      <w:r w:rsidR="00FB2F06">
        <w:t xml:space="preserve"> </w:t>
      </w:r>
      <w:r w:rsidR="00173042">
        <w:t xml:space="preserve">and on </w:t>
      </w:r>
      <w:r w:rsidR="00F2237A">
        <w:t>the</w:t>
      </w:r>
      <w:r w:rsidR="00173042">
        <w:t xml:space="preserve"> SEA</w:t>
      </w:r>
      <w:r w:rsidR="00F2237A">
        <w:t xml:space="preserve"> </w:t>
      </w:r>
      <w:r w:rsidR="00173042">
        <w:t>S</w:t>
      </w:r>
      <w:r w:rsidR="00F2237A">
        <w:t xml:space="preserve">coping </w:t>
      </w:r>
      <w:r w:rsidR="00173042">
        <w:t>Report</w:t>
      </w:r>
      <w:r w:rsidR="00A06572">
        <w:t xml:space="preserve"> </w:t>
      </w:r>
      <w:r w:rsidR="00A06572" w:rsidRPr="00A06572">
        <w:t xml:space="preserve">(Jacobs </w:t>
      </w:r>
      <w:r w:rsidR="007F59CB">
        <w:t>AECOM</w:t>
      </w:r>
      <w:r w:rsidR="00A06572" w:rsidRPr="00A06572">
        <w:t>, 2019)</w:t>
      </w:r>
      <w:r w:rsidR="00173042">
        <w:t>, Progress Report</w:t>
      </w:r>
      <w:r w:rsidR="00A06572">
        <w:t xml:space="preserve"> </w:t>
      </w:r>
      <w:r w:rsidR="00A06572" w:rsidRPr="00A06572">
        <w:t xml:space="preserve">(Jacobs </w:t>
      </w:r>
      <w:r w:rsidR="007F59CB">
        <w:t>AECOM</w:t>
      </w:r>
      <w:r w:rsidR="00A06572" w:rsidRPr="00A06572">
        <w:t>, 20</w:t>
      </w:r>
      <w:r w:rsidR="00A06572">
        <w:t>21a</w:t>
      </w:r>
      <w:r w:rsidR="00A06572" w:rsidRPr="00A06572">
        <w:t xml:space="preserve">) </w:t>
      </w:r>
      <w:r w:rsidR="00173042">
        <w:t>and Draft Environmental Report</w:t>
      </w:r>
      <w:r w:rsidR="003B7DD9">
        <w:t xml:space="preserve"> </w:t>
      </w:r>
      <w:r w:rsidR="003B7DD9" w:rsidRPr="003B7DD9">
        <w:t xml:space="preserve">(Jacobs </w:t>
      </w:r>
      <w:r w:rsidR="007F59CB">
        <w:t>AECOM</w:t>
      </w:r>
      <w:r w:rsidR="003B7DD9" w:rsidRPr="003B7DD9">
        <w:t>, 2022d)</w:t>
      </w:r>
      <w:r w:rsidR="00173042">
        <w:t xml:space="preserve">. </w:t>
      </w:r>
      <w:r w:rsidR="00467719" w:rsidRPr="00467719">
        <w:t>The full SEA response to the feedback</w:t>
      </w:r>
      <w:r w:rsidR="00467719">
        <w:t xml:space="preserve"> </w:t>
      </w:r>
      <w:r w:rsidR="00FB2F06">
        <w:t>from the Consultation Authorities</w:t>
      </w:r>
      <w:r w:rsidR="00467719" w:rsidRPr="00467719">
        <w:t xml:space="preserve"> is provided in </w:t>
      </w:r>
      <w:r w:rsidR="00467719" w:rsidRPr="006B38C2">
        <w:rPr>
          <w:b/>
          <w:bCs/>
        </w:rPr>
        <w:t>Appendix E (Consultation Feedback).</w:t>
      </w:r>
    </w:p>
    <w:p w14:paraId="735A50B2" w14:textId="0C331EF9" w:rsidR="00F2271F" w:rsidRDefault="00DB7A96" w:rsidP="003154B4">
      <w:pPr>
        <w:pStyle w:val="Heading3"/>
      </w:pPr>
      <w:bookmarkStart w:id="1039" w:name="_Toc121339125"/>
      <w:r>
        <w:t xml:space="preserve">SEA </w:t>
      </w:r>
      <w:r w:rsidR="00F2271F">
        <w:t>Scoping Report Feedback</w:t>
      </w:r>
      <w:bookmarkEnd w:id="1039"/>
    </w:p>
    <w:p w14:paraId="710EFC1C" w14:textId="08F81A02" w:rsidR="00333C75" w:rsidRDefault="00C11532" w:rsidP="00D93256">
      <w:pPr>
        <w:pStyle w:val="STPR2BodyText"/>
      </w:pPr>
      <w:r w:rsidRPr="003F7414">
        <w:t xml:space="preserve">A Scoping Report was issued to the Consultation Authorities between December 2019 and February 2020 for comment. Feedback was sought on whether the baseline and policy information presented was comprehensive and the proposed methodology appropriate. </w:t>
      </w:r>
      <w:r w:rsidR="0027202F">
        <w:t>In their responses (</w:t>
      </w:r>
      <w:r w:rsidR="00EB589C">
        <w:t>HES, 2020</w:t>
      </w:r>
      <w:r w:rsidR="000F1852">
        <w:t>;</w:t>
      </w:r>
      <w:r w:rsidR="00EB589C">
        <w:t xml:space="preserve"> </w:t>
      </w:r>
      <w:r w:rsidR="002B26EF">
        <w:t>SEPA</w:t>
      </w:r>
      <w:r w:rsidR="000F1852">
        <w:t xml:space="preserve"> 2020 and</w:t>
      </w:r>
      <w:r w:rsidR="00233119">
        <w:t xml:space="preserve"> SNH 2020)</w:t>
      </w:r>
      <w:r w:rsidR="000F1852">
        <w:t xml:space="preserve"> </w:t>
      </w:r>
      <w:r w:rsidRPr="003F7414">
        <w:t xml:space="preserve">The three statutory Consultation Authorities were content with the approach but provided further detail on additional baseline and policy, which have since been updated and </w:t>
      </w:r>
      <w:r w:rsidR="001E389D">
        <w:t>are</w:t>
      </w:r>
      <w:r w:rsidRPr="003F7414">
        <w:t xml:space="preserve"> presented in th</w:t>
      </w:r>
      <w:r w:rsidR="001E389D">
        <w:t>is</w:t>
      </w:r>
      <w:r w:rsidR="00181DAC">
        <w:t xml:space="preserve"> Final</w:t>
      </w:r>
      <w:r w:rsidRPr="003F7414">
        <w:t xml:space="preserve"> Environmental Report</w:t>
      </w:r>
      <w:r w:rsidR="001E389D">
        <w:t xml:space="preserve"> (</w:t>
      </w:r>
      <w:r w:rsidR="001E389D" w:rsidRPr="00181DAC">
        <w:rPr>
          <w:b/>
          <w:bCs/>
        </w:rPr>
        <w:t xml:space="preserve">Appendices </w:t>
      </w:r>
      <w:r w:rsidR="003D490F" w:rsidRPr="00181DAC">
        <w:rPr>
          <w:b/>
          <w:bCs/>
        </w:rPr>
        <w:t>B, C and D</w:t>
      </w:r>
      <w:r w:rsidR="003D490F">
        <w:t>)</w:t>
      </w:r>
      <w:r w:rsidRPr="003F7414">
        <w:t xml:space="preserve">. Specific comments were made on the assessment objectives (hereafter referred to as SEA objectives) and these were taken on board when finalising the assessment framework. It was highlighted that any reasonable </w:t>
      </w:r>
      <w:r w:rsidRPr="003F7414">
        <w:lastRenderedPageBreak/>
        <w:t xml:space="preserve">alternatives identified during the preparation of the plan should be assessed as part of the SEA process and the findings of the assessment should inform the choice of the preferred </w:t>
      </w:r>
      <w:r w:rsidR="008329B8">
        <w:t>transport interven</w:t>
      </w:r>
      <w:r w:rsidRPr="003F7414">
        <w:t>tion</w:t>
      </w:r>
      <w:r w:rsidR="000D4DA6">
        <w:t>s</w:t>
      </w:r>
      <w:r w:rsidRPr="003F7414">
        <w:t xml:space="preserve">. </w:t>
      </w:r>
    </w:p>
    <w:p w14:paraId="310A6B03" w14:textId="77777777" w:rsidR="00333C75" w:rsidRDefault="00333C75">
      <w:pPr>
        <w:rPr>
          <w:rFonts w:ascii="Arial" w:hAnsi="Arial" w:cs="Arial"/>
          <w:color w:val="000000"/>
          <w:sz w:val="24"/>
        </w:rPr>
      </w:pPr>
      <w:r>
        <w:br w:type="page"/>
      </w:r>
    </w:p>
    <w:p w14:paraId="1493E655" w14:textId="77777777" w:rsidR="00C11532" w:rsidRDefault="00C11532" w:rsidP="00D93256">
      <w:pPr>
        <w:pStyle w:val="STPR2BodyText"/>
      </w:pPr>
    </w:p>
    <w:p w14:paraId="65B3740B" w14:textId="2999AD51" w:rsidR="00DB7A96" w:rsidRDefault="00DB7A96" w:rsidP="00115E65">
      <w:pPr>
        <w:pStyle w:val="Heading3"/>
      </w:pPr>
      <w:bookmarkStart w:id="1040" w:name="_Toc121339126"/>
      <w:r>
        <w:t>SEA Progress Report Feedback</w:t>
      </w:r>
      <w:bookmarkEnd w:id="1040"/>
    </w:p>
    <w:p w14:paraId="151BF1A9" w14:textId="7ACC1A1D" w:rsidR="001A1BF7" w:rsidRDefault="001A1BF7" w:rsidP="00D93256">
      <w:pPr>
        <w:pStyle w:val="STPR2BodyText"/>
      </w:pPr>
      <w:r w:rsidRPr="001A1BF7">
        <w:t xml:space="preserve">An STPR2 SEA Progress Report was issued to the Consultation Authorities between February and April 2021. This report provided a summary of the STPR2 and SEA work undertaken to date. It also included an update to the proposed SEA assessment methodology and signposted the next phase of assessment and opportunities for input into the final STPR2 </w:t>
      </w:r>
      <w:r w:rsidR="000574B3">
        <w:t xml:space="preserve">Recommendations </w:t>
      </w:r>
      <w:r w:rsidRPr="001A1BF7">
        <w:t xml:space="preserve">and </w:t>
      </w:r>
      <w:r w:rsidR="00135A67">
        <w:t xml:space="preserve">Final </w:t>
      </w:r>
      <w:r w:rsidRPr="001A1BF7">
        <w:t>SEA Environmental Report. Consultation feedback was received from NatureScot and HES in March 2021</w:t>
      </w:r>
      <w:r w:rsidR="00A560B7">
        <w:t xml:space="preserve"> (HES, 2021a; NatureScot 2021)</w:t>
      </w:r>
      <w:r w:rsidRPr="001A1BF7">
        <w:t>.</w:t>
      </w:r>
    </w:p>
    <w:p w14:paraId="31A264F6" w14:textId="3775A254" w:rsidR="00DB7A96" w:rsidRDefault="00DB7A96" w:rsidP="00D93256">
      <w:pPr>
        <w:pStyle w:val="STPR2BodyText"/>
      </w:pPr>
      <w:r>
        <w:t>NatureScot support</w:t>
      </w:r>
      <w:r w:rsidR="00BE20EE">
        <w:t>ed</w:t>
      </w:r>
      <w:r>
        <w:t xml:space="preserve"> the publication of the Progress Report as </w:t>
      </w:r>
      <w:r w:rsidR="00AF1800">
        <w:t>it was considered</w:t>
      </w:r>
      <w:r>
        <w:t xml:space="preserve"> helpful due to the lengthy process of </w:t>
      </w:r>
      <w:r w:rsidR="00B2655C" w:rsidRPr="00B2655C">
        <w:t xml:space="preserve">the </w:t>
      </w:r>
      <w:r>
        <w:t>STPR2 and the impacts of the C</w:t>
      </w:r>
      <w:r w:rsidR="00CE621F">
        <w:t>OVID</w:t>
      </w:r>
      <w:r>
        <w:t>-19 pandemic.</w:t>
      </w:r>
    </w:p>
    <w:p w14:paraId="3E07ED89" w14:textId="0AB7974E" w:rsidR="00DB7A96" w:rsidRDefault="00DB7A96" w:rsidP="00D93256">
      <w:pPr>
        <w:pStyle w:val="STPR2BodyText"/>
      </w:pPr>
      <w:r>
        <w:t xml:space="preserve">The plan to embed natural capital principles into appraisal mapping requirements, as well as placing a stronger focus on place and placemaking, </w:t>
      </w:r>
      <w:r w:rsidR="008C1A76">
        <w:t>was also</w:t>
      </w:r>
      <w:r>
        <w:t xml:space="preserve"> supported by NatureScot. They believe</w:t>
      </w:r>
      <w:r w:rsidR="001E5CF7">
        <w:t>d</w:t>
      </w:r>
      <w:r>
        <w:t xml:space="preserve"> that it w</w:t>
      </w:r>
      <w:r w:rsidR="001E5CF7">
        <w:t>ould</w:t>
      </w:r>
      <w:r>
        <w:t xml:space="preserve"> be useful for the SEA process to address areas for embedding nature-based solutions for all interventions. NatureScot </w:t>
      </w:r>
      <w:r w:rsidR="0079511D">
        <w:t xml:space="preserve">recommended that the </w:t>
      </w:r>
      <w:r>
        <w:t xml:space="preserve">three-point scoring system </w:t>
      </w:r>
      <w:r w:rsidR="0079511D">
        <w:t xml:space="preserve">should be </w:t>
      </w:r>
      <w:r>
        <w:t xml:space="preserve">replaced by the </w:t>
      </w:r>
      <w:r w:rsidR="006D4B55">
        <w:t xml:space="preserve">seven-point system described in </w:t>
      </w:r>
      <w:r w:rsidR="006D4B55" w:rsidRPr="003B196E">
        <w:rPr>
          <w:b/>
          <w:bCs/>
        </w:rPr>
        <w:t xml:space="preserve">Section </w:t>
      </w:r>
      <w:r w:rsidR="00B31EF2" w:rsidRPr="003B196E">
        <w:rPr>
          <w:b/>
          <w:bCs/>
        </w:rPr>
        <w:fldChar w:fldCharType="begin"/>
      </w:r>
      <w:r w:rsidR="00B31EF2" w:rsidRPr="003B196E">
        <w:rPr>
          <w:b/>
          <w:bCs/>
        </w:rPr>
        <w:instrText xml:space="preserve"> REF _Ref90565782 \r \h </w:instrText>
      </w:r>
      <w:r w:rsidR="003B196E">
        <w:rPr>
          <w:b/>
          <w:bCs/>
        </w:rPr>
        <w:instrText xml:space="preserve"> \* MERGEFORMAT </w:instrText>
      </w:r>
      <w:r w:rsidR="00B31EF2" w:rsidRPr="003B196E">
        <w:rPr>
          <w:b/>
          <w:bCs/>
        </w:rPr>
      </w:r>
      <w:r w:rsidR="00B31EF2" w:rsidRPr="003B196E">
        <w:rPr>
          <w:b/>
          <w:bCs/>
        </w:rPr>
        <w:fldChar w:fldCharType="separate"/>
      </w:r>
      <w:r w:rsidR="00C22A9E">
        <w:rPr>
          <w:b/>
          <w:bCs/>
        </w:rPr>
        <w:t>0</w:t>
      </w:r>
      <w:r w:rsidR="00B31EF2" w:rsidRPr="003B196E">
        <w:rPr>
          <w:b/>
          <w:bCs/>
        </w:rPr>
        <w:fldChar w:fldCharType="end"/>
      </w:r>
      <w:r w:rsidR="006D4B55">
        <w:t xml:space="preserve"> of this report</w:t>
      </w:r>
      <w:r>
        <w:t>.</w:t>
      </w:r>
    </w:p>
    <w:p w14:paraId="385F7DA3" w14:textId="7CFAAAC1" w:rsidR="00DB7A96" w:rsidRDefault="00DB7A96" w:rsidP="00D93256">
      <w:pPr>
        <w:pStyle w:val="STPR2BodyText"/>
      </w:pPr>
      <w:r>
        <w:t>NatureScot also welcome</w:t>
      </w:r>
      <w:r w:rsidR="001E5CF7">
        <w:t>d</w:t>
      </w:r>
      <w:r>
        <w:t xml:space="preserve"> the mitigation and enhancement measures provided in </w:t>
      </w:r>
      <w:r w:rsidR="006D4B55">
        <w:t>the SEA Progress Report</w:t>
      </w:r>
      <w:r>
        <w:t>. However, they request</w:t>
      </w:r>
      <w:r w:rsidR="00656D30">
        <w:t>ed</w:t>
      </w:r>
      <w:r>
        <w:t xml:space="preserve"> </w:t>
      </w:r>
      <w:r w:rsidR="0057028C">
        <w:t xml:space="preserve">that the </w:t>
      </w:r>
      <w:r w:rsidR="00E91A14">
        <w:t xml:space="preserve">SEA should make </w:t>
      </w:r>
      <w:r>
        <w:t xml:space="preserve">specific reference to opportunities which would deliver Positive Effects for Biodiversity </w:t>
      </w:r>
      <w:r w:rsidR="0057028C">
        <w:t>and</w:t>
      </w:r>
      <w:r>
        <w:t xml:space="preserve"> nature-based</w:t>
      </w:r>
      <w:r w:rsidR="007171A6">
        <w:t> </w:t>
      </w:r>
      <w:r>
        <w:t>solutions.</w:t>
      </w:r>
    </w:p>
    <w:p w14:paraId="2342C9F4" w14:textId="7419B833" w:rsidR="007F3485" w:rsidRDefault="007F3485" w:rsidP="00D93256">
      <w:pPr>
        <w:pStyle w:val="STPR2BodyText"/>
      </w:pPr>
      <w:r>
        <w:t xml:space="preserve">HES submitted a response on 30 March 2021 to the Phase 1 Recommendations for the STPR2 and updates on the SEA issued on the </w:t>
      </w:r>
      <w:r w:rsidR="007C7BC8">
        <w:t>0</w:t>
      </w:r>
      <w:r>
        <w:t>4 February 2021. The following text provides a summary of the main points.</w:t>
      </w:r>
    </w:p>
    <w:p w14:paraId="666D5AC0" w14:textId="28B038D4" w:rsidR="00D95AA3" w:rsidRDefault="007F3485" w:rsidP="00D93256">
      <w:pPr>
        <w:pStyle w:val="STPR2BodyText"/>
      </w:pPr>
      <w:r>
        <w:t xml:space="preserve">In relation to the STPR2 update and Phase 1 Recommendations, HES agreed with the </w:t>
      </w:r>
      <w:r w:rsidR="00140A31">
        <w:t>general phasing approach f</w:t>
      </w:r>
      <w:r w:rsidR="000004D9">
        <w:t xml:space="preserve">or </w:t>
      </w:r>
      <w:r w:rsidR="00B2655C" w:rsidRPr="00B2655C">
        <w:t xml:space="preserve">the </w:t>
      </w:r>
      <w:r w:rsidR="000004D9">
        <w:t>STPR2</w:t>
      </w:r>
      <w:r w:rsidR="00CD0311">
        <w:t xml:space="preserve"> and the general themes</w:t>
      </w:r>
      <w:r w:rsidR="00B72979">
        <w:t xml:space="preserve"> and transport investment priorities</w:t>
      </w:r>
      <w:r w:rsidR="000004D9">
        <w:t xml:space="preserve">. </w:t>
      </w:r>
      <w:r w:rsidR="00B72979">
        <w:t>However</w:t>
      </w:r>
      <w:r>
        <w:t>, HES comment</w:t>
      </w:r>
      <w:r w:rsidR="00B72979">
        <w:t>ed</w:t>
      </w:r>
      <w:r>
        <w:t xml:space="preserve"> that that the implications to the historic environment in Phase 1 do not encompass the </w:t>
      </w:r>
      <w:r w:rsidR="00C14166">
        <w:t xml:space="preserve">full </w:t>
      </w:r>
      <w:r>
        <w:t>potential range of impacts</w:t>
      </w:r>
      <w:r w:rsidR="002D51CA">
        <w:t xml:space="preserve">, </w:t>
      </w:r>
      <w:r w:rsidR="00D95AA3">
        <w:t>particularly in relation to:</w:t>
      </w:r>
    </w:p>
    <w:p w14:paraId="7D7CACEB" w14:textId="3F107126" w:rsidR="000F426C" w:rsidRPr="00806A31" w:rsidRDefault="00F5114B" w:rsidP="00D93256">
      <w:pPr>
        <w:pStyle w:val="STPR2BulletsLevel1"/>
      </w:pPr>
      <w:r w:rsidRPr="00806A31">
        <w:t>Enhancing Major Rail Stations</w:t>
      </w:r>
      <w:r w:rsidR="0096357B">
        <w:t xml:space="preserve"> (now </w:t>
      </w:r>
      <w:r w:rsidR="002303D6">
        <w:t>included as Recommendation 43 – Major Station Masterplans)</w:t>
      </w:r>
      <w:r w:rsidR="00CD7950">
        <w:t>;</w:t>
      </w:r>
    </w:p>
    <w:p w14:paraId="78E4B2BE" w14:textId="74D18C5A" w:rsidR="00EE2E11" w:rsidRPr="00806A31" w:rsidRDefault="00EE2E11" w:rsidP="00D93256">
      <w:pPr>
        <w:pStyle w:val="STPR2BulletsLevel1"/>
      </w:pPr>
      <w:r w:rsidRPr="00806A31">
        <w:t>Infrastructure to provide access for all at rail stations</w:t>
      </w:r>
      <w:r w:rsidR="00C46079">
        <w:t xml:space="preserve"> (Recommendation 19)</w:t>
      </w:r>
      <w:r w:rsidR="00CD7950">
        <w:t>;</w:t>
      </w:r>
    </w:p>
    <w:p w14:paraId="78AA289E" w14:textId="260258D3" w:rsidR="00EE2E11" w:rsidRPr="00806A31" w:rsidRDefault="00EE2E11" w:rsidP="00D93256">
      <w:pPr>
        <w:pStyle w:val="STPR2BulletsLevel1"/>
      </w:pPr>
      <w:r w:rsidRPr="00806A31">
        <w:t>Delivery of Rail Decarbonisation Programme (Phase 1)</w:t>
      </w:r>
      <w:r w:rsidR="00102A59" w:rsidRPr="00102A59">
        <w:t xml:space="preserve"> (Recommendation </w:t>
      </w:r>
      <w:r w:rsidR="00102A59">
        <w:t>25</w:t>
      </w:r>
      <w:r w:rsidR="00102A59" w:rsidRPr="00102A59">
        <w:t>)</w:t>
      </w:r>
      <w:r w:rsidR="00CD7950">
        <w:t>;</w:t>
      </w:r>
    </w:p>
    <w:p w14:paraId="72A3131B" w14:textId="6B17EB0E" w:rsidR="00EE2E11" w:rsidRPr="00806A31" w:rsidRDefault="00EE2E11" w:rsidP="00D93256">
      <w:pPr>
        <w:pStyle w:val="STPR2BulletsLevel1"/>
      </w:pPr>
      <w:r w:rsidRPr="00806A31">
        <w:t>Infrastructure to encourage rail freight</w:t>
      </w:r>
    </w:p>
    <w:p w14:paraId="4170AF3C" w14:textId="53E6C6BA" w:rsidR="007F3485" w:rsidRDefault="007F3485" w:rsidP="00D93256">
      <w:pPr>
        <w:pStyle w:val="STPR2BodyText"/>
      </w:pPr>
      <w:r>
        <w:t>HES are engaging with stakeholders in attempt to look at design options to help improve access at historic stations. They also seek to continue collaboration to ensure the interventions are implemented in a way which minimises impact to historic assets and HES wish to be involved at a strategic stage.</w:t>
      </w:r>
    </w:p>
    <w:p w14:paraId="1AFF6013" w14:textId="23454AE2" w:rsidR="007F3485" w:rsidRDefault="007F3485" w:rsidP="00D93256">
      <w:pPr>
        <w:pStyle w:val="STPR2BodyText"/>
      </w:pPr>
      <w:r>
        <w:t>In response to the SEA Progress Report, HES discuss</w:t>
      </w:r>
      <w:r w:rsidR="00B66E21">
        <w:t>ed</w:t>
      </w:r>
      <w:r>
        <w:t xml:space="preserve"> how they </w:t>
      </w:r>
      <w:r w:rsidR="00B66E21">
        <w:t>we</w:t>
      </w:r>
      <w:r>
        <w:t xml:space="preserve">re unable to comment on the effectiveness of the assessment process due to lack of detail of the high-level findings presented to them. The summaries of the potential interactions of the interventions with the SEA objectives </w:t>
      </w:r>
      <w:r w:rsidR="00A42729">
        <w:t>we</w:t>
      </w:r>
      <w:r>
        <w:t>re supported by HES, however, due to a lack of detail, further comments c</w:t>
      </w:r>
      <w:r w:rsidR="00A42729">
        <w:t xml:space="preserve">ould </w:t>
      </w:r>
      <w:r>
        <w:t>not be provided. HES mention how the approach lacks in recognising the complexity of environmental implications for the historic environment across several of the interventions. Some examples of p</w:t>
      </w:r>
      <w:r w:rsidR="00A0710D">
        <w:t>otentially significant effects</w:t>
      </w:r>
      <w:r>
        <w:t xml:space="preserve"> which </w:t>
      </w:r>
      <w:r>
        <w:lastRenderedPageBreak/>
        <w:t xml:space="preserve">the summaries failed to include are the implications </w:t>
      </w:r>
      <w:r w:rsidR="00A0710D">
        <w:t>of</w:t>
      </w:r>
      <w:r>
        <w:t xml:space="preserve"> access work and electrification.</w:t>
      </w:r>
    </w:p>
    <w:p w14:paraId="66EAB515" w14:textId="03DB9DEC" w:rsidR="00C11532" w:rsidRDefault="007F3485" w:rsidP="00D93256">
      <w:pPr>
        <w:pStyle w:val="STPR2BodyText"/>
      </w:pPr>
      <w:r>
        <w:t>HES recommend</w:t>
      </w:r>
      <w:r w:rsidR="00FF58EA">
        <w:t>ed</w:t>
      </w:r>
      <w:r>
        <w:t xml:space="preserve"> </w:t>
      </w:r>
      <w:r w:rsidR="004F2BED">
        <w:t xml:space="preserve">that </w:t>
      </w:r>
      <w:r>
        <w:t xml:space="preserve">the proposed matrix approach for the preliminary appraisal should recognise that proposed interventions such as major rail station enhancement may contribute positively and negatively to the SEA objectives. The scoring system for the detailed appraisal stage should </w:t>
      </w:r>
      <w:r w:rsidR="00CE0DA5">
        <w:t xml:space="preserve">therefore </w:t>
      </w:r>
      <w:r>
        <w:t>be flexible enough to allow</w:t>
      </w:r>
      <w:r w:rsidR="0073712D">
        <w:t xml:space="preserve"> the scoring of</w:t>
      </w:r>
      <w:r>
        <w:t xml:space="preserve"> positive and negative effects.</w:t>
      </w:r>
    </w:p>
    <w:p w14:paraId="72868CE5" w14:textId="42570D1B" w:rsidR="00581AEE" w:rsidRDefault="00581AEE" w:rsidP="00D93256">
      <w:pPr>
        <w:pStyle w:val="STPR2BodyText"/>
      </w:pPr>
      <w:r>
        <w:t>SEPA were unable to provide feedback to the SEA Progress Report due to a cyber</w:t>
      </w:r>
      <w:r w:rsidR="00854D35">
        <w:t>-</w:t>
      </w:r>
      <w:r>
        <w:t xml:space="preserve">attack in December 2020 that affected SEPA’s </w:t>
      </w:r>
      <w:r w:rsidR="004642E2">
        <w:t>systems for several months.</w:t>
      </w:r>
    </w:p>
    <w:p w14:paraId="0FB16C34" w14:textId="61CD5470" w:rsidR="00CE2BB3" w:rsidRDefault="00CE2BB3" w:rsidP="00115E65">
      <w:pPr>
        <w:pStyle w:val="Heading3"/>
      </w:pPr>
      <w:bookmarkStart w:id="1041" w:name="_Toc121339127"/>
      <w:bookmarkStart w:id="1042" w:name="_Ref90046875"/>
      <w:r>
        <w:t xml:space="preserve">SEA Draft Environmental Report </w:t>
      </w:r>
      <w:r w:rsidR="00137485">
        <w:t>Feedback</w:t>
      </w:r>
      <w:bookmarkEnd w:id="1041"/>
    </w:p>
    <w:p w14:paraId="3D661513" w14:textId="702F7397" w:rsidR="00E61356" w:rsidRDefault="00191E3D" w:rsidP="00137485">
      <w:pPr>
        <w:rPr>
          <w:rFonts w:ascii="Arial" w:hAnsi="Arial" w:cs="Arial"/>
          <w:color w:val="000000"/>
          <w:sz w:val="24"/>
        </w:rPr>
      </w:pPr>
      <w:r w:rsidRPr="00191E3D">
        <w:rPr>
          <w:rFonts w:ascii="Arial" w:hAnsi="Arial" w:cs="Arial"/>
          <w:color w:val="000000"/>
          <w:sz w:val="24"/>
        </w:rPr>
        <w:t xml:space="preserve">The </w:t>
      </w:r>
      <w:r w:rsidR="00755A24">
        <w:rPr>
          <w:rFonts w:ascii="Arial" w:hAnsi="Arial" w:cs="Arial"/>
          <w:color w:val="000000"/>
          <w:sz w:val="24"/>
        </w:rPr>
        <w:t xml:space="preserve">Draft </w:t>
      </w:r>
      <w:r w:rsidRPr="00191E3D">
        <w:rPr>
          <w:rFonts w:ascii="Arial" w:hAnsi="Arial" w:cs="Arial"/>
          <w:color w:val="000000"/>
          <w:sz w:val="24"/>
        </w:rPr>
        <w:t xml:space="preserve">Environmental Report </w:t>
      </w:r>
      <w:r w:rsidR="00135A67" w:rsidRPr="00135A67">
        <w:rPr>
          <w:rFonts w:ascii="Arial" w:hAnsi="Arial" w:cs="Arial"/>
          <w:color w:val="000000"/>
          <w:sz w:val="24"/>
        </w:rPr>
        <w:t xml:space="preserve">(Jacobs </w:t>
      </w:r>
      <w:r w:rsidR="007F59CB">
        <w:rPr>
          <w:rFonts w:ascii="Arial" w:hAnsi="Arial" w:cs="Arial"/>
          <w:color w:val="000000"/>
          <w:sz w:val="24"/>
        </w:rPr>
        <w:t>AECOM</w:t>
      </w:r>
      <w:r w:rsidR="00135A67" w:rsidRPr="00135A67">
        <w:rPr>
          <w:rFonts w:ascii="Arial" w:hAnsi="Arial" w:cs="Arial"/>
          <w:color w:val="000000"/>
          <w:sz w:val="24"/>
        </w:rPr>
        <w:t xml:space="preserve">, 2022d) </w:t>
      </w:r>
      <w:r w:rsidRPr="00191E3D">
        <w:rPr>
          <w:rFonts w:ascii="Arial" w:hAnsi="Arial" w:cs="Arial"/>
          <w:color w:val="000000"/>
          <w:sz w:val="24"/>
        </w:rPr>
        <w:t>was consulted on alongside the STPR2</w:t>
      </w:r>
      <w:r>
        <w:rPr>
          <w:rFonts w:ascii="Arial" w:hAnsi="Arial" w:cs="Arial"/>
          <w:color w:val="000000"/>
          <w:sz w:val="24"/>
        </w:rPr>
        <w:t xml:space="preserve"> </w:t>
      </w:r>
      <w:r w:rsidR="0099658C">
        <w:rPr>
          <w:rFonts w:ascii="Arial" w:hAnsi="Arial" w:cs="Arial"/>
          <w:color w:val="000000"/>
          <w:sz w:val="24"/>
        </w:rPr>
        <w:t xml:space="preserve">Draft </w:t>
      </w:r>
      <w:r>
        <w:rPr>
          <w:rFonts w:ascii="Arial" w:hAnsi="Arial" w:cs="Arial"/>
          <w:color w:val="000000"/>
          <w:sz w:val="24"/>
        </w:rPr>
        <w:t>Technical</w:t>
      </w:r>
      <w:r w:rsidRPr="00191E3D">
        <w:rPr>
          <w:rFonts w:ascii="Arial" w:hAnsi="Arial" w:cs="Arial"/>
          <w:color w:val="000000"/>
          <w:sz w:val="24"/>
        </w:rPr>
        <w:t xml:space="preserve"> Report</w:t>
      </w:r>
      <w:r w:rsidRPr="00191E3D">
        <w:t xml:space="preserve"> </w:t>
      </w:r>
      <w:r w:rsidR="000027F8">
        <w:t>(</w:t>
      </w:r>
      <w:r w:rsidRPr="00191E3D">
        <w:rPr>
          <w:rFonts w:ascii="Arial" w:hAnsi="Arial" w:cs="Arial"/>
          <w:color w:val="000000"/>
          <w:sz w:val="24"/>
        </w:rPr>
        <w:t xml:space="preserve">Jacobs </w:t>
      </w:r>
      <w:r w:rsidR="007F59CB">
        <w:rPr>
          <w:rFonts w:ascii="Arial" w:hAnsi="Arial" w:cs="Arial"/>
          <w:color w:val="000000"/>
          <w:sz w:val="24"/>
        </w:rPr>
        <w:t>AECOM</w:t>
      </w:r>
      <w:r w:rsidR="000027F8">
        <w:rPr>
          <w:rFonts w:ascii="Arial" w:hAnsi="Arial" w:cs="Arial"/>
          <w:color w:val="000000"/>
          <w:sz w:val="24"/>
        </w:rPr>
        <w:t xml:space="preserve">, </w:t>
      </w:r>
      <w:r w:rsidRPr="00191E3D">
        <w:rPr>
          <w:rFonts w:ascii="Arial" w:hAnsi="Arial" w:cs="Arial"/>
          <w:color w:val="000000"/>
          <w:sz w:val="24"/>
        </w:rPr>
        <w:t>2022b</w:t>
      </w:r>
      <w:r>
        <w:rPr>
          <w:rFonts w:ascii="Arial" w:hAnsi="Arial" w:cs="Arial"/>
          <w:color w:val="000000"/>
          <w:sz w:val="24"/>
        </w:rPr>
        <w:t>)</w:t>
      </w:r>
      <w:r w:rsidRPr="00191E3D">
        <w:rPr>
          <w:rFonts w:ascii="Arial" w:hAnsi="Arial" w:cs="Arial"/>
          <w:color w:val="000000"/>
          <w:sz w:val="24"/>
        </w:rPr>
        <w:t xml:space="preserve"> for 12 weeks.</w:t>
      </w:r>
      <w:r w:rsidR="00127240">
        <w:rPr>
          <w:rFonts w:ascii="Arial" w:hAnsi="Arial" w:cs="Arial"/>
          <w:color w:val="000000"/>
          <w:sz w:val="24"/>
        </w:rPr>
        <w:t xml:space="preserve"> T</w:t>
      </w:r>
      <w:r w:rsidRPr="00191E3D">
        <w:rPr>
          <w:rFonts w:ascii="Arial" w:hAnsi="Arial" w:cs="Arial"/>
          <w:color w:val="000000"/>
          <w:sz w:val="24"/>
        </w:rPr>
        <w:t>he feedback received was used to inform and finalise this final version of the Environmental Report and the SEA Post Adoption Statement.</w:t>
      </w:r>
      <w:r w:rsidR="007711CC">
        <w:rPr>
          <w:rFonts w:ascii="Arial" w:hAnsi="Arial" w:cs="Arial"/>
          <w:color w:val="000000"/>
          <w:sz w:val="24"/>
        </w:rPr>
        <w:t xml:space="preserve"> </w:t>
      </w:r>
    </w:p>
    <w:p w14:paraId="6CC665B0" w14:textId="70239A09" w:rsidR="00137485" w:rsidRDefault="00E61356" w:rsidP="00137485">
      <w:pPr>
        <w:rPr>
          <w:rFonts w:ascii="Arial" w:hAnsi="Arial" w:cs="Arial"/>
          <w:color w:val="000000"/>
          <w:sz w:val="24"/>
        </w:rPr>
      </w:pPr>
      <w:r>
        <w:rPr>
          <w:rFonts w:ascii="Arial" w:hAnsi="Arial" w:cs="Arial"/>
          <w:color w:val="000000"/>
          <w:sz w:val="24"/>
        </w:rPr>
        <w:t xml:space="preserve">HES provided comments on the </w:t>
      </w:r>
      <w:r w:rsidR="00755A24" w:rsidRPr="00755A24">
        <w:rPr>
          <w:rFonts w:ascii="Arial" w:hAnsi="Arial" w:cs="Arial"/>
          <w:color w:val="000000"/>
          <w:sz w:val="24"/>
        </w:rPr>
        <w:t>Draft Environmental Report</w:t>
      </w:r>
      <w:r w:rsidR="00755A24">
        <w:rPr>
          <w:rFonts w:ascii="Arial" w:hAnsi="Arial" w:cs="Arial"/>
          <w:color w:val="000000"/>
          <w:sz w:val="24"/>
        </w:rPr>
        <w:t xml:space="preserve"> </w:t>
      </w:r>
      <w:r w:rsidR="00070DA3" w:rsidRPr="00070DA3">
        <w:rPr>
          <w:rFonts w:ascii="Arial" w:hAnsi="Arial" w:cs="Arial"/>
          <w:color w:val="000000"/>
          <w:sz w:val="24"/>
        </w:rPr>
        <w:t xml:space="preserve">(Jacobs </w:t>
      </w:r>
      <w:r w:rsidR="007F59CB">
        <w:rPr>
          <w:rFonts w:ascii="Arial" w:hAnsi="Arial" w:cs="Arial"/>
          <w:color w:val="000000"/>
          <w:sz w:val="24"/>
        </w:rPr>
        <w:t>AECOM</w:t>
      </w:r>
      <w:r w:rsidR="00070DA3" w:rsidRPr="00070DA3">
        <w:rPr>
          <w:rFonts w:ascii="Arial" w:hAnsi="Arial" w:cs="Arial"/>
          <w:color w:val="000000"/>
          <w:sz w:val="24"/>
        </w:rPr>
        <w:t xml:space="preserve">, 2022d) </w:t>
      </w:r>
      <w:r w:rsidR="00755A24">
        <w:rPr>
          <w:rFonts w:ascii="Arial" w:hAnsi="Arial" w:cs="Arial"/>
          <w:color w:val="000000"/>
          <w:sz w:val="24"/>
        </w:rPr>
        <w:t xml:space="preserve">and </w:t>
      </w:r>
      <w:r w:rsidR="00B05D08">
        <w:rPr>
          <w:rFonts w:ascii="Arial" w:hAnsi="Arial" w:cs="Arial"/>
          <w:color w:val="000000"/>
          <w:sz w:val="24"/>
        </w:rPr>
        <w:t>had no comments on the baseline data</w:t>
      </w:r>
      <w:r w:rsidR="006406FB">
        <w:rPr>
          <w:rFonts w:ascii="Arial" w:hAnsi="Arial" w:cs="Arial"/>
          <w:color w:val="000000"/>
          <w:sz w:val="24"/>
        </w:rPr>
        <w:t>, mapping</w:t>
      </w:r>
      <w:r w:rsidR="00B05D08">
        <w:rPr>
          <w:rFonts w:ascii="Arial" w:hAnsi="Arial" w:cs="Arial"/>
          <w:color w:val="000000"/>
          <w:sz w:val="24"/>
        </w:rPr>
        <w:t xml:space="preserve"> or PPS</w:t>
      </w:r>
      <w:r w:rsidR="001B336D">
        <w:rPr>
          <w:rFonts w:ascii="Arial" w:hAnsi="Arial" w:cs="Arial"/>
          <w:color w:val="000000"/>
          <w:sz w:val="24"/>
        </w:rPr>
        <w:t xml:space="preserve"> Review.</w:t>
      </w:r>
      <w:r w:rsidR="00870FB2">
        <w:rPr>
          <w:rFonts w:ascii="Arial" w:hAnsi="Arial" w:cs="Arial"/>
          <w:color w:val="000000"/>
          <w:sz w:val="24"/>
        </w:rPr>
        <w:t xml:space="preserve"> </w:t>
      </w:r>
      <w:r w:rsidR="006406FB">
        <w:rPr>
          <w:rFonts w:ascii="Arial" w:hAnsi="Arial" w:cs="Arial"/>
          <w:color w:val="000000"/>
          <w:sz w:val="24"/>
        </w:rPr>
        <w:t>HES</w:t>
      </w:r>
      <w:r w:rsidR="00167A7C">
        <w:rPr>
          <w:rFonts w:ascii="Arial" w:hAnsi="Arial" w:cs="Arial"/>
          <w:color w:val="000000"/>
          <w:sz w:val="24"/>
        </w:rPr>
        <w:t xml:space="preserve"> noted that most recommendations included a very high level of detail and therefore </w:t>
      </w:r>
      <w:r w:rsidR="001A5A17">
        <w:rPr>
          <w:rFonts w:ascii="Arial" w:hAnsi="Arial" w:cs="Arial"/>
          <w:color w:val="000000"/>
          <w:sz w:val="24"/>
        </w:rPr>
        <w:t>the environmental assessment reflected this level of detail. However, HES</w:t>
      </w:r>
      <w:r w:rsidR="006406FB">
        <w:rPr>
          <w:rFonts w:ascii="Arial" w:hAnsi="Arial" w:cs="Arial"/>
          <w:color w:val="000000"/>
          <w:sz w:val="24"/>
        </w:rPr>
        <w:t xml:space="preserve"> requested that</w:t>
      </w:r>
      <w:r w:rsidR="001A5A17">
        <w:rPr>
          <w:rFonts w:ascii="Arial" w:hAnsi="Arial" w:cs="Arial"/>
          <w:color w:val="000000"/>
          <w:sz w:val="24"/>
        </w:rPr>
        <w:t>, where</w:t>
      </w:r>
      <w:r w:rsidR="006406FB">
        <w:rPr>
          <w:rFonts w:ascii="Arial" w:hAnsi="Arial" w:cs="Arial"/>
          <w:color w:val="000000"/>
          <w:sz w:val="24"/>
        </w:rPr>
        <w:t xml:space="preserve"> </w:t>
      </w:r>
      <w:r w:rsidR="00AF4400" w:rsidRPr="00AF4400">
        <w:rPr>
          <w:rFonts w:ascii="Arial" w:hAnsi="Arial" w:cs="Arial"/>
          <w:color w:val="000000"/>
          <w:sz w:val="24"/>
        </w:rPr>
        <w:t>recommendations were put forward for specific assets such as railway stations,</w:t>
      </w:r>
      <w:r w:rsidR="001A5A17">
        <w:rPr>
          <w:rFonts w:ascii="Arial" w:hAnsi="Arial" w:cs="Arial"/>
          <w:color w:val="000000"/>
          <w:sz w:val="24"/>
        </w:rPr>
        <w:t xml:space="preserve"> the SEA should refer to </w:t>
      </w:r>
      <w:r w:rsidR="003B5ADD">
        <w:rPr>
          <w:rFonts w:ascii="Arial" w:hAnsi="Arial" w:cs="Arial"/>
          <w:color w:val="000000"/>
          <w:sz w:val="24"/>
        </w:rPr>
        <w:t xml:space="preserve">environmental receptors in the vicinity of these assets to help inform the assessment. </w:t>
      </w:r>
      <w:r w:rsidR="00004C37">
        <w:rPr>
          <w:rFonts w:ascii="Arial" w:hAnsi="Arial" w:cs="Arial"/>
          <w:color w:val="000000"/>
          <w:sz w:val="24"/>
        </w:rPr>
        <w:t>In response to this feedback, t</w:t>
      </w:r>
      <w:r w:rsidR="00004C37" w:rsidRPr="00004C37">
        <w:rPr>
          <w:rFonts w:ascii="Arial" w:hAnsi="Arial" w:cs="Arial"/>
          <w:color w:val="000000"/>
          <w:sz w:val="24"/>
        </w:rPr>
        <w:t xml:space="preserve">he narrative that accompanies the assessment of the 45 recommendations in </w:t>
      </w:r>
      <w:r w:rsidR="00004C37">
        <w:rPr>
          <w:rFonts w:ascii="Arial" w:hAnsi="Arial" w:cs="Arial"/>
          <w:color w:val="000000"/>
          <w:sz w:val="24"/>
        </w:rPr>
        <w:t>the</w:t>
      </w:r>
      <w:r w:rsidR="007C503E">
        <w:rPr>
          <w:rFonts w:ascii="Arial" w:hAnsi="Arial" w:cs="Arial"/>
          <w:color w:val="000000"/>
          <w:sz w:val="24"/>
        </w:rPr>
        <w:t xml:space="preserve"> Detailed</w:t>
      </w:r>
      <w:r w:rsidR="00004C37">
        <w:rPr>
          <w:rFonts w:ascii="Arial" w:hAnsi="Arial" w:cs="Arial"/>
          <w:color w:val="000000"/>
          <w:sz w:val="24"/>
        </w:rPr>
        <w:t xml:space="preserve"> AST</w:t>
      </w:r>
      <w:r w:rsidR="007C503E">
        <w:rPr>
          <w:rFonts w:ascii="Arial" w:hAnsi="Arial" w:cs="Arial"/>
          <w:color w:val="000000"/>
          <w:sz w:val="24"/>
        </w:rPr>
        <w:t xml:space="preserve">s and </w:t>
      </w:r>
      <w:r w:rsidR="00680A65">
        <w:rPr>
          <w:rFonts w:ascii="Arial" w:hAnsi="Arial" w:cs="Arial"/>
          <w:color w:val="000000"/>
          <w:sz w:val="24"/>
        </w:rPr>
        <w:t xml:space="preserve">Environmental Report </w:t>
      </w:r>
      <w:r w:rsidR="00004C37" w:rsidRPr="00070DA3">
        <w:rPr>
          <w:rFonts w:ascii="Arial" w:hAnsi="Arial" w:cs="Arial"/>
          <w:b/>
          <w:bCs/>
          <w:color w:val="000000"/>
          <w:sz w:val="24"/>
        </w:rPr>
        <w:t>Appendix F</w:t>
      </w:r>
      <w:r w:rsidR="00070DA3" w:rsidRPr="00070DA3">
        <w:rPr>
          <w:rFonts w:ascii="Arial" w:hAnsi="Arial" w:cs="Arial"/>
          <w:b/>
          <w:bCs/>
          <w:color w:val="000000"/>
          <w:sz w:val="24"/>
        </w:rPr>
        <w:t>: Assessment Matrices</w:t>
      </w:r>
      <w:r w:rsidR="00004C37" w:rsidRPr="00004C37">
        <w:rPr>
          <w:rFonts w:ascii="Arial" w:hAnsi="Arial" w:cs="Arial"/>
          <w:color w:val="000000"/>
          <w:sz w:val="24"/>
        </w:rPr>
        <w:t xml:space="preserve"> has been updated to refer to specific environmental and cultural heritage receptors where relevant.</w:t>
      </w:r>
      <w:r w:rsidR="00800438">
        <w:rPr>
          <w:rFonts w:ascii="Arial" w:hAnsi="Arial" w:cs="Arial"/>
          <w:color w:val="000000"/>
          <w:sz w:val="24"/>
        </w:rPr>
        <w:t xml:space="preserve"> HES also </w:t>
      </w:r>
      <w:r w:rsidR="00491D51">
        <w:rPr>
          <w:rFonts w:ascii="Arial" w:hAnsi="Arial" w:cs="Arial"/>
          <w:color w:val="000000"/>
          <w:sz w:val="24"/>
        </w:rPr>
        <w:t xml:space="preserve">recommended that </w:t>
      </w:r>
      <w:r w:rsidR="009E409F">
        <w:rPr>
          <w:rFonts w:ascii="Arial" w:hAnsi="Arial" w:cs="Arial"/>
          <w:color w:val="000000"/>
          <w:sz w:val="24"/>
        </w:rPr>
        <w:t xml:space="preserve">instead of the </w:t>
      </w:r>
      <w:r w:rsidR="00491D51">
        <w:rPr>
          <w:rFonts w:ascii="Arial" w:hAnsi="Arial" w:cs="Arial"/>
          <w:color w:val="000000"/>
          <w:sz w:val="24"/>
        </w:rPr>
        <w:t>uncerta</w:t>
      </w:r>
      <w:r w:rsidR="004C2CE2">
        <w:rPr>
          <w:rFonts w:ascii="Arial" w:hAnsi="Arial" w:cs="Arial"/>
          <w:color w:val="000000"/>
          <w:sz w:val="24"/>
        </w:rPr>
        <w:t xml:space="preserve">in scores in the SEA </w:t>
      </w:r>
      <w:r w:rsidR="009E409F">
        <w:rPr>
          <w:rFonts w:ascii="Arial" w:hAnsi="Arial" w:cs="Arial"/>
          <w:color w:val="000000"/>
          <w:sz w:val="24"/>
        </w:rPr>
        <w:t>assessment</w:t>
      </w:r>
      <w:r w:rsidR="009E409F">
        <w:t xml:space="preserve">, </w:t>
      </w:r>
      <w:r w:rsidR="009E409F" w:rsidRPr="009E409F">
        <w:rPr>
          <w:rFonts w:ascii="Arial" w:hAnsi="Arial" w:cs="Arial"/>
          <w:color w:val="000000"/>
          <w:sz w:val="24"/>
        </w:rPr>
        <w:t xml:space="preserve">there would </w:t>
      </w:r>
      <w:r w:rsidR="00D047BE">
        <w:rPr>
          <w:rFonts w:ascii="Arial" w:hAnsi="Arial" w:cs="Arial"/>
          <w:color w:val="000000"/>
          <w:sz w:val="24"/>
        </w:rPr>
        <w:t>be</w:t>
      </w:r>
      <w:r w:rsidR="00AC462F">
        <w:rPr>
          <w:rFonts w:ascii="Arial" w:hAnsi="Arial" w:cs="Arial"/>
          <w:color w:val="000000"/>
          <w:sz w:val="24"/>
        </w:rPr>
        <w:t xml:space="preserve"> a</w:t>
      </w:r>
      <w:r w:rsidR="009E409F" w:rsidRPr="009E409F">
        <w:rPr>
          <w:rFonts w:ascii="Arial" w:hAnsi="Arial" w:cs="Arial"/>
          <w:color w:val="000000"/>
          <w:sz w:val="24"/>
        </w:rPr>
        <w:t xml:space="preserve"> benefit in recording many of these as </w:t>
      </w:r>
      <w:r w:rsidR="009E409F">
        <w:rPr>
          <w:rFonts w:ascii="Arial" w:hAnsi="Arial" w:cs="Arial"/>
          <w:color w:val="000000"/>
          <w:sz w:val="24"/>
        </w:rPr>
        <w:t xml:space="preserve">positive or negative scores </w:t>
      </w:r>
      <w:r w:rsidR="00926828">
        <w:rPr>
          <w:rFonts w:ascii="Arial" w:hAnsi="Arial" w:cs="Arial"/>
          <w:color w:val="000000"/>
          <w:sz w:val="24"/>
        </w:rPr>
        <w:t xml:space="preserve">and </w:t>
      </w:r>
      <w:r w:rsidR="00AC462F">
        <w:rPr>
          <w:rFonts w:ascii="Arial" w:hAnsi="Arial" w:cs="Arial"/>
          <w:color w:val="000000"/>
          <w:sz w:val="24"/>
        </w:rPr>
        <w:t xml:space="preserve">HES </w:t>
      </w:r>
      <w:r w:rsidR="00926828">
        <w:rPr>
          <w:rFonts w:ascii="Arial" w:hAnsi="Arial" w:cs="Arial"/>
          <w:color w:val="000000"/>
          <w:sz w:val="24"/>
        </w:rPr>
        <w:t>listed the benefits that this approach would have</w:t>
      </w:r>
      <w:r w:rsidR="00024427">
        <w:rPr>
          <w:rFonts w:ascii="Arial" w:hAnsi="Arial" w:cs="Arial"/>
          <w:color w:val="000000"/>
          <w:sz w:val="24"/>
        </w:rPr>
        <w:t>. The SEA scoring of the 4</w:t>
      </w:r>
      <w:r w:rsidR="00AC462F">
        <w:rPr>
          <w:rFonts w:ascii="Arial" w:hAnsi="Arial" w:cs="Arial"/>
          <w:color w:val="000000"/>
          <w:sz w:val="24"/>
        </w:rPr>
        <w:t>5</w:t>
      </w:r>
      <w:r w:rsidR="00024427">
        <w:rPr>
          <w:rFonts w:ascii="Arial" w:hAnsi="Arial" w:cs="Arial"/>
          <w:color w:val="000000"/>
          <w:sz w:val="24"/>
        </w:rPr>
        <w:t xml:space="preserve"> recommendations has subsequently been updated to either positive or negative scores</w:t>
      </w:r>
      <w:r w:rsidR="00EB7BB4">
        <w:rPr>
          <w:rFonts w:ascii="Arial" w:hAnsi="Arial" w:cs="Arial"/>
          <w:color w:val="000000"/>
          <w:sz w:val="24"/>
        </w:rPr>
        <w:t xml:space="preserve"> and the accompanying narrative has also been updated accordingly. Finally, HES commented on </w:t>
      </w:r>
      <w:r w:rsidR="00E1420C">
        <w:rPr>
          <w:rFonts w:ascii="Arial" w:hAnsi="Arial" w:cs="Arial"/>
          <w:color w:val="000000"/>
          <w:sz w:val="24"/>
        </w:rPr>
        <w:t>a</w:t>
      </w:r>
      <w:r w:rsidR="00796479">
        <w:rPr>
          <w:rFonts w:ascii="Arial" w:hAnsi="Arial" w:cs="Arial"/>
          <w:color w:val="000000"/>
          <w:sz w:val="24"/>
        </w:rPr>
        <w:t xml:space="preserve"> specific </w:t>
      </w:r>
      <w:r w:rsidR="00E1420C">
        <w:rPr>
          <w:rFonts w:ascii="Arial" w:hAnsi="Arial" w:cs="Arial"/>
          <w:color w:val="000000"/>
          <w:sz w:val="24"/>
        </w:rPr>
        <w:t xml:space="preserve">heritage </w:t>
      </w:r>
      <w:r w:rsidR="00796479">
        <w:rPr>
          <w:rFonts w:ascii="Arial" w:hAnsi="Arial" w:cs="Arial"/>
          <w:color w:val="000000"/>
          <w:sz w:val="24"/>
        </w:rPr>
        <w:t xml:space="preserve">monitoring </w:t>
      </w:r>
      <w:r w:rsidR="00E1420C">
        <w:rPr>
          <w:rFonts w:ascii="Arial" w:hAnsi="Arial" w:cs="Arial"/>
          <w:color w:val="000000"/>
          <w:sz w:val="24"/>
        </w:rPr>
        <w:t>regime</w:t>
      </w:r>
      <w:r w:rsidR="00796479">
        <w:rPr>
          <w:rFonts w:ascii="Arial" w:hAnsi="Arial" w:cs="Arial"/>
          <w:color w:val="000000"/>
          <w:sz w:val="24"/>
        </w:rPr>
        <w:t xml:space="preserve"> </w:t>
      </w:r>
      <w:r w:rsidR="001E4107">
        <w:rPr>
          <w:rFonts w:ascii="Arial" w:hAnsi="Arial" w:cs="Arial"/>
          <w:color w:val="000000"/>
          <w:sz w:val="24"/>
        </w:rPr>
        <w:t xml:space="preserve">that may not be useful to include in the SEA. </w:t>
      </w:r>
      <w:r w:rsidR="00E1420C">
        <w:rPr>
          <w:rFonts w:ascii="Arial" w:hAnsi="Arial" w:cs="Arial"/>
          <w:color w:val="000000"/>
          <w:sz w:val="24"/>
        </w:rPr>
        <w:t>R</w:t>
      </w:r>
      <w:r w:rsidR="008B1ACC">
        <w:rPr>
          <w:rFonts w:ascii="Arial" w:hAnsi="Arial" w:cs="Arial"/>
          <w:color w:val="000000"/>
          <w:sz w:val="24"/>
        </w:rPr>
        <w:t>e</w:t>
      </w:r>
      <w:r w:rsidR="00E1420C">
        <w:rPr>
          <w:rFonts w:ascii="Arial" w:hAnsi="Arial" w:cs="Arial"/>
          <w:color w:val="000000"/>
          <w:sz w:val="24"/>
        </w:rPr>
        <w:t>fer</w:t>
      </w:r>
      <w:r w:rsidR="008B1ACC">
        <w:rPr>
          <w:rFonts w:ascii="Arial" w:hAnsi="Arial" w:cs="Arial"/>
          <w:color w:val="000000"/>
          <w:sz w:val="24"/>
        </w:rPr>
        <w:t>e</w:t>
      </w:r>
      <w:r w:rsidR="00E1420C">
        <w:rPr>
          <w:rFonts w:ascii="Arial" w:hAnsi="Arial" w:cs="Arial"/>
          <w:color w:val="000000"/>
          <w:sz w:val="24"/>
        </w:rPr>
        <w:t>nces to this monitoring regime have been removed.</w:t>
      </w:r>
      <w:r w:rsidR="00EB7BB4">
        <w:rPr>
          <w:rFonts w:ascii="Arial" w:hAnsi="Arial" w:cs="Arial"/>
          <w:color w:val="000000"/>
          <w:sz w:val="24"/>
        </w:rPr>
        <w:t xml:space="preserve"> </w:t>
      </w:r>
    </w:p>
    <w:p w14:paraId="0FAB1CF0" w14:textId="2B0D8CA3" w:rsidR="00AA7775" w:rsidRDefault="00AA7775" w:rsidP="00137485">
      <w:pPr>
        <w:rPr>
          <w:rFonts w:ascii="Arial" w:hAnsi="Arial" w:cs="Arial"/>
          <w:b/>
          <w:bCs/>
          <w:color w:val="000000"/>
          <w:sz w:val="24"/>
        </w:rPr>
      </w:pPr>
      <w:r>
        <w:rPr>
          <w:rFonts w:ascii="Arial" w:hAnsi="Arial" w:cs="Arial"/>
          <w:color w:val="000000"/>
          <w:sz w:val="24"/>
        </w:rPr>
        <w:t>Nat</w:t>
      </w:r>
      <w:r w:rsidR="002B7E15">
        <w:rPr>
          <w:rFonts w:ascii="Arial" w:hAnsi="Arial" w:cs="Arial"/>
          <w:color w:val="000000"/>
          <w:sz w:val="24"/>
        </w:rPr>
        <w:t xml:space="preserve">ureScot also </w:t>
      </w:r>
      <w:r w:rsidR="002B7E15" w:rsidRPr="002B7E15">
        <w:rPr>
          <w:rFonts w:ascii="Arial" w:hAnsi="Arial" w:cs="Arial"/>
          <w:color w:val="000000"/>
          <w:sz w:val="24"/>
        </w:rPr>
        <w:t>provided comments on the Draft Environmental Report</w:t>
      </w:r>
      <w:r w:rsidR="00C77E8E">
        <w:rPr>
          <w:rFonts w:ascii="Arial" w:hAnsi="Arial" w:cs="Arial"/>
          <w:color w:val="000000"/>
          <w:sz w:val="24"/>
        </w:rPr>
        <w:t xml:space="preserve"> </w:t>
      </w:r>
      <w:r w:rsidR="00C77E8E" w:rsidRPr="00C77E8E">
        <w:rPr>
          <w:rFonts w:ascii="Arial" w:hAnsi="Arial" w:cs="Arial"/>
          <w:color w:val="000000"/>
          <w:sz w:val="24"/>
        </w:rPr>
        <w:t xml:space="preserve">(Jacobs </w:t>
      </w:r>
      <w:r w:rsidR="007F59CB">
        <w:rPr>
          <w:rFonts w:ascii="Arial" w:hAnsi="Arial" w:cs="Arial"/>
          <w:color w:val="000000"/>
          <w:sz w:val="24"/>
        </w:rPr>
        <w:t>AECOM</w:t>
      </w:r>
      <w:r w:rsidR="00C77E8E" w:rsidRPr="00C77E8E">
        <w:rPr>
          <w:rFonts w:ascii="Arial" w:hAnsi="Arial" w:cs="Arial"/>
          <w:color w:val="000000"/>
          <w:sz w:val="24"/>
        </w:rPr>
        <w:t>, 2022d)</w:t>
      </w:r>
      <w:r w:rsidR="002B7E15">
        <w:rPr>
          <w:rFonts w:ascii="Arial" w:hAnsi="Arial" w:cs="Arial"/>
          <w:color w:val="000000"/>
          <w:sz w:val="24"/>
        </w:rPr>
        <w:t xml:space="preserve">. Their consultation response </w:t>
      </w:r>
      <w:r w:rsidR="00C412FB">
        <w:rPr>
          <w:rFonts w:ascii="Arial" w:hAnsi="Arial" w:cs="Arial"/>
          <w:color w:val="000000"/>
          <w:sz w:val="24"/>
        </w:rPr>
        <w:t xml:space="preserve">requested </w:t>
      </w:r>
      <w:r w:rsidR="009553C9">
        <w:rPr>
          <w:rFonts w:ascii="Arial" w:hAnsi="Arial" w:cs="Arial"/>
          <w:color w:val="000000"/>
          <w:sz w:val="24"/>
        </w:rPr>
        <w:t>the inclusion of additional informa</w:t>
      </w:r>
      <w:r w:rsidR="00F056B8">
        <w:rPr>
          <w:rFonts w:ascii="Arial" w:hAnsi="Arial" w:cs="Arial"/>
          <w:color w:val="000000"/>
          <w:sz w:val="24"/>
        </w:rPr>
        <w:t xml:space="preserve">tion about the links between biodiversity and </w:t>
      </w:r>
      <w:r w:rsidR="00AB14E6">
        <w:rPr>
          <w:rFonts w:ascii="Arial" w:hAnsi="Arial" w:cs="Arial"/>
          <w:color w:val="000000"/>
          <w:sz w:val="24"/>
        </w:rPr>
        <w:t>other SEA t</w:t>
      </w:r>
      <w:r w:rsidR="00060B66">
        <w:rPr>
          <w:rFonts w:ascii="Arial" w:hAnsi="Arial" w:cs="Arial"/>
          <w:color w:val="000000"/>
          <w:sz w:val="24"/>
        </w:rPr>
        <w:t>opics</w:t>
      </w:r>
      <w:r w:rsidR="00472C6F">
        <w:rPr>
          <w:rFonts w:ascii="Arial" w:hAnsi="Arial" w:cs="Arial"/>
          <w:color w:val="000000"/>
          <w:sz w:val="24"/>
        </w:rPr>
        <w:t xml:space="preserve">. In response, </w:t>
      </w:r>
      <w:r w:rsidR="009B5650" w:rsidRPr="007272FC">
        <w:rPr>
          <w:rFonts w:ascii="Arial" w:hAnsi="Arial" w:cs="Arial"/>
          <w:b/>
          <w:bCs/>
          <w:color w:val="000000"/>
          <w:sz w:val="24"/>
        </w:rPr>
        <w:t>Appendix C: National Baseline</w:t>
      </w:r>
      <w:r w:rsidR="009B5650">
        <w:rPr>
          <w:rFonts w:ascii="Arial" w:hAnsi="Arial" w:cs="Arial"/>
          <w:color w:val="000000"/>
          <w:sz w:val="24"/>
        </w:rPr>
        <w:t xml:space="preserve"> of th</w:t>
      </w:r>
      <w:r w:rsidR="00C77E8E">
        <w:rPr>
          <w:rFonts w:ascii="Arial" w:hAnsi="Arial" w:cs="Arial"/>
          <w:color w:val="000000"/>
          <w:sz w:val="24"/>
        </w:rPr>
        <w:t>is</w:t>
      </w:r>
      <w:r w:rsidR="009B5650">
        <w:rPr>
          <w:rFonts w:ascii="Arial" w:hAnsi="Arial" w:cs="Arial"/>
          <w:color w:val="000000"/>
          <w:sz w:val="24"/>
        </w:rPr>
        <w:t xml:space="preserve"> Final </w:t>
      </w:r>
      <w:r w:rsidR="009B5650" w:rsidRPr="009B5650">
        <w:rPr>
          <w:rFonts w:ascii="Arial" w:hAnsi="Arial" w:cs="Arial"/>
          <w:color w:val="000000"/>
          <w:sz w:val="24"/>
        </w:rPr>
        <w:t>Environmental Report</w:t>
      </w:r>
      <w:r w:rsidR="00472C6F">
        <w:rPr>
          <w:rFonts w:ascii="Arial" w:hAnsi="Arial" w:cs="Arial"/>
          <w:color w:val="000000"/>
          <w:sz w:val="24"/>
        </w:rPr>
        <w:t xml:space="preserve"> now includes</w:t>
      </w:r>
      <w:r w:rsidR="00472C6F" w:rsidRPr="00472C6F">
        <w:rPr>
          <w:rFonts w:ascii="Arial" w:hAnsi="Arial" w:cs="Arial"/>
          <w:color w:val="000000"/>
          <w:sz w:val="24"/>
        </w:rPr>
        <w:t xml:space="preserve"> additional text regarding the importance of </w:t>
      </w:r>
      <w:r w:rsidR="007272FC">
        <w:rPr>
          <w:rFonts w:ascii="Arial" w:hAnsi="Arial" w:cs="Arial"/>
          <w:color w:val="000000"/>
          <w:sz w:val="24"/>
        </w:rPr>
        <w:t>the</w:t>
      </w:r>
      <w:r w:rsidR="00060B66">
        <w:rPr>
          <w:rFonts w:ascii="Arial" w:hAnsi="Arial" w:cs="Arial"/>
          <w:color w:val="000000"/>
          <w:sz w:val="24"/>
        </w:rPr>
        <w:t xml:space="preserve"> relationships betwe</w:t>
      </w:r>
      <w:r w:rsidR="009B5650">
        <w:rPr>
          <w:rFonts w:ascii="Arial" w:hAnsi="Arial" w:cs="Arial"/>
          <w:color w:val="000000"/>
          <w:sz w:val="24"/>
        </w:rPr>
        <w:t>e</w:t>
      </w:r>
      <w:r w:rsidR="00060B66">
        <w:rPr>
          <w:rFonts w:ascii="Arial" w:hAnsi="Arial" w:cs="Arial"/>
          <w:color w:val="000000"/>
          <w:sz w:val="24"/>
        </w:rPr>
        <w:t>n</w:t>
      </w:r>
      <w:r w:rsidR="007272FC">
        <w:rPr>
          <w:rFonts w:ascii="Arial" w:hAnsi="Arial" w:cs="Arial"/>
          <w:color w:val="000000"/>
          <w:sz w:val="24"/>
        </w:rPr>
        <w:t xml:space="preserve"> </w:t>
      </w:r>
      <w:r w:rsidR="00472C6F" w:rsidRPr="00472C6F">
        <w:rPr>
          <w:rFonts w:ascii="Arial" w:hAnsi="Arial" w:cs="Arial"/>
          <w:color w:val="000000"/>
          <w:sz w:val="24"/>
        </w:rPr>
        <w:t>Climate, Biodiversity</w:t>
      </w:r>
      <w:r w:rsidR="007272FC">
        <w:rPr>
          <w:rFonts w:ascii="Arial" w:hAnsi="Arial" w:cs="Arial"/>
          <w:color w:val="000000"/>
          <w:sz w:val="24"/>
        </w:rPr>
        <w:t xml:space="preserve">, </w:t>
      </w:r>
      <w:r w:rsidR="00472C6F" w:rsidRPr="00472C6F">
        <w:rPr>
          <w:rFonts w:ascii="Arial" w:hAnsi="Arial" w:cs="Arial"/>
          <w:color w:val="000000"/>
          <w:sz w:val="24"/>
        </w:rPr>
        <w:t>Soils</w:t>
      </w:r>
      <w:r w:rsidR="007272FC">
        <w:rPr>
          <w:rFonts w:ascii="Arial" w:hAnsi="Arial" w:cs="Arial"/>
          <w:color w:val="000000"/>
          <w:sz w:val="24"/>
        </w:rPr>
        <w:t xml:space="preserve"> and</w:t>
      </w:r>
      <w:r w:rsidR="00060B66">
        <w:rPr>
          <w:rFonts w:ascii="Arial" w:hAnsi="Arial" w:cs="Arial"/>
          <w:color w:val="000000"/>
          <w:sz w:val="24"/>
        </w:rPr>
        <w:t xml:space="preserve"> Lands</w:t>
      </w:r>
      <w:r w:rsidR="009B5650">
        <w:rPr>
          <w:rFonts w:ascii="Arial" w:hAnsi="Arial" w:cs="Arial"/>
          <w:color w:val="000000"/>
          <w:sz w:val="24"/>
        </w:rPr>
        <w:t>cape in the respective topic sections of the appendix and the</w:t>
      </w:r>
      <w:r w:rsidR="007272FC">
        <w:rPr>
          <w:rFonts w:ascii="Arial" w:hAnsi="Arial" w:cs="Arial"/>
          <w:color w:val="000000"/>
          <w:sz w:val="24"/>
        </w:rPr>
        <w:t xml:space="preserve"> </w:t>
      </w:r>
      <w:r w:rsidR="00472C6F" w:rsidRPr="00472C6F">
        <w:rPr>
          <w:rFonts w:ascii="Arial" w:hAnsi="Arial" w:cs="Arial"/>
          <w:color w:val="000000"/>
          <w:sz w:val="24"/>
        </w:rPr>
        <w:t>Interrelationships sections.</w:t>
      </w:r>
      <w:r w:rsidR="009F56FB">
        <w:rPr>
          <w:rFonts w:ascii="Arial" w:hAnsi="Arial" w:cs="Arial"/>
          <w:color w:val="000000"/>
          <w:sz w:val="24"/>
        </w:rPr>
        <w:t xml:space="preserve"> </w:t>
      </w:r>
      <w:r w:rsidR="009F56FB" w:rsidRPr="009F56FB">
        <w:rPr>
          <w:rFonts w:ascii="Arial" w:hAnsi="Arial" w:cs="Arial"/>
          <w:color w:val="000000"/>
          <w:sz w:val="24"/>
        </w:rPr>
        <w:t xml:space="preserve">NatureScot </w:t>
      </w:r>
      <w:r w:rsidR="009F56FB">
        <w:rPr>
          <w:rFonts w:ascii="Arial" w:hAnsi="Arial" w:cs="Arial"/>
          <w:color w:val="000000"/>
          <w:sz w:val="24"/>
        </w:rPr>
        <w:t>req</w:t>
      </w:r>
      <w:r w:rsidR="009A146E">
        <w:rPr>
          <w:rFonts w:ascii="Arial" w:hAnsi="Arial" w:cs="Arial"/>
          <w:color w:val="000000"/>
          <w:sz w:val="24"/>
        </w:rPr>
        <w:t xml:space="preserve">uested that additional detail should be added to the Environmental Report </w:t>
      </w:r>
      <w:r w:rsidR="003A19B1" w:rsidRPr="003A19B1">
        <w:rPr>
          <w:rFonts w:ascii="Arial" w:hAnsi="Arial" w:cs="Arial"/>
          <w:color w:val="000000"/>
          <w:sz w:val="24"/>
        </w:rPr>
        <w:t xml:space="preserve">(Jacobs </w:t>
      </w:r>
      <w:r w:rsidR="007F59CB">
        <w:rPr>
          <w:rFonts w:ascii="Arial" w:hAnsi="Arial" w:cs="Arial"/>
          <w:color w:val="000000"/>
          <w:sz w:val="24"/>
        </w:rPr>
        <w:t>AECOM</w:t>
      </w:r>
      <w:r w:rsidR="003A19B1" w:rsidRPr="003A19B1">
        <w:rPr>
          <w:rFonts w:ascii="Arial" w:hAnsi="Arial" w:cs="Arial"/>
          <w:color w:val="000000"/>
          <w:sz w:val="24"/>
        </w:rPr>
        <w:t xml:space="preserve">, 2022d) </w:t>
      </w:r>
      <w:r w:rsidR="009A146E">
        <w:rPr>
          <w:rFonts w:ascii="Arial" w:hAnsi="Arial" w:cs="Arial"/>
          <w:color w:val="000000"/>
          <w:sz w:val="24"/>
        </w:rPr>
        <w:t>relating to mitigation</w:t>
      </w:r>
      <w:r w:rsidR="00CD47D9">
        <w:rPr>
          <w:rFonts w:ascii="Arial" w:hAnsi="Arial" w:cs="Arial"/>
          <w:color w:val="000000"/>
          <w:sz w:val="24"/>
        </w:rPr>
        <w:t xml:space="preserve"> and enhancement</w:t>
      </w:r>
      <w:r w:rsidR="009A146E">
        <w:rPr>
          <w:rFonts w:ascii="Arial" w:hAnsi="Arial" w:cs="Arial"/>
          <w:color w:val="000000"/>
          <w:sz w:val="24"/>
        </w:rPr>
        <w:t xml:space="preserve"> measures for biodiversity, soil and landscape character</w:t>
      </w:r>
      <w:r w:rsidR="00A24140">
        <w:rPr>
          <w:rFonts w:ascii="Arial" w:hAnsi="Arial" w:cs="Arial"/>
          <w:color w:val="000000"/>
          <w:sz w:val="24"/>
        </w:rPr>
        <w:t xml:space="preserve"> and </w:t>
      </w:r>
      <w:r w:rsidR="006E2B8C">
        <w:rPr>
          <w:rFonts w:ascii="Arial" w:hAnsi="Arial" w:cs="Arial"/>
          <w:color w:val="000000"/>
          <w:sz w:val="24"/>
        </w:rPr>
        <w:t>monitoring measures for climatic facto</w:t>
      </w:r>
      <w:r w:rsidR="00F10C66">
        <w:rPr>
          <w:rFonts w:ascii="Arial" w:hAnsi="Arial" w:cs="Arial"/>
          <w:color w:val="000000"/>
          <w:sz w:val="24"/>
        </w:rPr>
        <w:t>rs, air quality, population and human health, material assets, biodiversity and landscape. The suggested changes were added</w:t>
      </w:r>
      <w:r w:rsidR="0086428C">
        <w:rPr>
          <w:rFonts w:ascii="Arial" w:hAnsi="Arial" w:cs="Arial"/>
          <w:color w:val="000000"/>
          <w:sz w:val="24"/>
        </w:rPr>
        <w:t xml:space="preserve"> to</w:t>
      </w:r>
      <w:r w:rsidR="00F10C66">
        <w:rPr>
          <w:rFonts w:ascii="Arial" w:hAnsi="Arial" w:cs="Arial"/>
          <w:color w:val="000000"/>
          <w:sz w:val="24"/>
        </w:rPr>
        <w:t xml:space="preserve"> the mitigation </w:t>
      </w:r>
      <w:r w:rsidR="0086428C">
        <w:rPr>
          <w:rFonts w:ascii="Arial" w:hAnsi="Arial" w:cs="Arial"/>
          <w:color w:val="000000"/>
          <w:sz w:val="24"/>
        </w:rPr>
        <w:t>(</w:t>
      </w:r>
      <w:r w:rsidR="0086428C" w:rsidRPr="0086428C">
        <w:rPr>
          <w:rFonts w:ascii="Arial" w:hAnsi="Arial" w:cs="Arial"/>
          <w:b/>
          <w:bCs/>
          <w:color w:val="000000"/>
          <w:sz w:val="24"/>
        </w:rPr>
        <w:t>Chapter 9</w:t>
      </w:r>
      <w:r w:rsidR="0086428C">
        <w:rPr>
          <w:rFonts w:ascii="Arial" w:hAnsi="Arial" w:cs="Arial"/>
          <w:color w:val="000000"/>
          <w:sz w:val="24"/>
        </w:rPr>
        <w:t xml:space="preserve">) of this version of the Environmental Report and all </w:t>
      </w:r>
      <w:r w:rsidR="00BB6EB0">
        <w:rPr>
          <w:rFonts w:ascii="Arial" w:hAnsi="Arial" w:cs="Arial"/>
          <w:color w:val="000000"/>
          <w:sz w:val="24"/>
        </w:rPr>
        <w:t xml:space="preserve">feedback relating to monitoring will be considered in the monitoring framework </w:t>
      </w:r>
      <w:r w:rsidR="0012504D">
        <w:rPr>
          <w:rFonts w:ascii="Arial" w:hAnsi="Arial" w:cs="Arial"/>
          <w:color w:val="000000"/>
          <w:sz w:val="24"/>
        </w:rPr>
        <w:t>to be included in the SEA Post Adoption Statement</w:t>
      </w:r>
      <w:r w:rsidR="0086428C">
        <w:rPr>
          <w:rFonts w:ascii="Arial" w:hAnsi="Arial" w:cs="Arial"/>
          <w:color w:val="000000"/>
          <w:sz w:val="24"/>
        </w:rPr>
        <w:t>.</w:t>
      </w:r>
      <w:r w:rsidR="00CD47D9">
        <w:rPr>
          <w:rFonts w:ascii="Arial" w:hAnsi="Arial" w:cs="Arial"/>
          <w:color w:val="000000"/>
          <w:sz w:val="24"/>
        </w:rPr>
        <w:t xml:space="preserve"> </w:t>
      </w:r>
      <w:r w:rsidR="00AA424E">
        <w:rPr>
          <w:rFonts w:ascii="Arial" w:hAnsi="Arial" w:cs="Arial"/>
          <w:color w:val="000000"/>
          <w:sz w:val="24"/>
        </w:rPr>
        <w:t>As requested by NatureScot, r</w:t>
      </w:r>
      <w:r w:rsidR="0065708D">
        <w:rPr>
          <w:rFonts w:ascii="Arial" w:hAnsi="Arial" w:cs="Arial"/>
          <w:color w:val="000000"/>
          <w:sz w:val="24"/>
        </w:rPr>
        <w:t>eference to the Scottish Biodiversity Strategy has also been added to</w:t>
      </w:r>
      <w:r w:rsidR="0065708D" w:rsidRPr="0065708D">
        <w:t xml:space="preserve"> </w:t>
      </w:r>
      <w:r w:rsidR="0065708D" w:rsidRPr="0065708D">
        <w:rPr>
          <w:rFonts w:ascii="Arial" w:hAnsi="Arial" w:cs="Arial"/>
          <w:b/>
          <w:bCs/>
          <w:color w:val="000000"/>
          <w:sz w:val="24"/>
        </w:rPr>
        <w:t>Appendix B (Plans, Programmes and Strategies).</w:t>
      </w:r>
    </w:p>
    <w:p w14:paraId="12A6D4EC" w14:textId="3DCA33CF" w:rsidR="006F28ED" w:rsidRPr="00191E3D" w:rsidRDefault="006F28ED" w:rsidP="00137485">
      <w:pPr>
        <w:rPr>
          <w:rFonts w:ascii="Arial" w:hAnsi="Arial" w:cs="Arial"/>
          <w:color w:val="000000"/>
          <w:sz w:val="24"/>
        </w:rPr>
      </w:pPr>
      <w:r w:rsidRPr="006F28ED">
        <w:rPr>
          <w:rFonts w:ascii="Arial" w:hAnsi="Arial" w:cs="Arial"/>
          <w:color w:val="000000"/>
          <w:sz w:val="24"/>
        </w:rPr>
        <w:lastRenderedPageBreak/>
        <w:t xml:space="preserve">Additional </w:t>
      </w:r>
      <w:r>
        <w:rPr>
          <w:rFonts w:ascii="Arial" w:hAnsi="Arial" w:cs="Arial"/>
          <w:color w:val="000000"/>
          <w:sz w:val="24"/>
        </w:rPr>
        <w:t xml:space="preserve">consultation feedback relating to the SEA was also </w:t>
      </w:r>
      <w:r w:rsidR="004A1FF4">
        <w:rPr>
          <w:rFonts w:ascii="Arial" w:hAnsi="Arial" w:cs="Arial"/>
          <w:color w:val="000000"/>
          <w:sz w:val="24"/>
        </w:rPr>
        <w:t>received via the STPR2 consultation questionnaire</w:t>
      </w:r>
      <w:r w:rsidR="009D5F22">
        <w:rPr>
          <w:rFonts w:ascii="Arial" w:hAnsi="Arial" w:cs="Arial"/>
          <w:color w:val="000000"/>
          <w:sz w:val="24"/>
        </w:rPr>
        <w:t xml:space="preserve"> responses. Th</w:t>
      </w:r>
      <w:r w:rsidR="00664D86">
        <w:rPr>
          <w:rFonts w:ascii="Arial" w:hAnsi="Arial" w:cs="Arial"/>
          <w:color w:val="000000"/>
          <w:sz w:val="24"/>
        </w:rPr>
        <w:t xml:space="preserve">is consultation feedback did not require significant changes to the </w:t>
      </w:r>
      <w:r w:rsidR="003A19B1">
        <w:rPr>
          <w:rFonts w:ascii="Arial" w:hAnsi="Arial" w:cs="Arial"/>
          <w:color w:val="000000"/>
          <w:sz w:val="24"/>
        </w:rPr>
        <w:t xml:space="preserve">Draft </w:t>
      </w:r>
      <w:r w:rsidR="00664D86">
        <w:rPr>
          <w:rFonts w:ascii="Arial" w:hAnsi="Arial" w:cs="Arial"/>
          <w:color w:val="000000"/>
          <w:sz w:val="24"/>
        </w:rPr>
        <w:t>Environmental Report</w:t>
      </w:r>
      <w:r w:rsidR="003A19B1">
        <w:rPr>
          <w:rFonts w:ascii="Arial" w:hAnsi="Arial" w:cs="Arial"/>
          <w:color w:val="000000"/>
          <w:sz w:val="24"/>
        </w:rPr>
        <w:t xml:space="preserve"> </w:t>
      </w:r>
      <w:r w:rsidR="003A19B1" w:rsidRPr="003A19B1">
        <w:rPr>
          <w:rFonts w:ascii="Arial" w:hAnsi="Arial" w:cs="Arial"/>
          <w:color w:val="000000"/>
          <w:sz w:val="24"/>
        </w:rPr>
        <w:t xml:space="preserve">(Jacobs </w:t>
      </w:r>
      <w:r w:rsidR="007F59CB">
        <w:rPr>
          <w:rFonts w:ascii="Arial" w:hAnsi="Arial" w:cs="Arial"/>
          <w:color w:val="000000"/>
          <w:sz w:val="24"/>
        </w:rPr>
        <w:t>AECOM</w:t>
      </w:r>
      <w:r w:rsidR="003A19B1" w:rsidRPr="003A19B1">
        <w:rPr>
          <w:rFonts w:ascii="Arial" w:hAnsi="Arial" w:cs="Arial"/>
          <w:color w:val="000000"/>
          <w:sz w:val="24"/>
        </w:rPr>
        <w:t>, 2022d)</w:t>
      </w:r>
      <w:r w:rsidR="00664D86">
        <w:rPr>
          <w:rFonts w:ascii="Arial" w:hAnsi="Arial" w:cs="Arial"/>
          <w:color w:val="000000"/>
          <w:sz w:val="24"/>
        </w:rPr>
        <w:t>. However, various clarifications re</w:t>
      </w:r>
      <w:r w:rsidR="002A0807">
        <w:rPr>
          <w:rFonts w:ascii="Arial" w:hAnsi="Arial" w:cs="Arial"/>
          <w:color w:val="000000"/>
          <w:sz w:val="24"/>
        </w:rPr>
        <w:t xml:space="preserve">lating to each of these responses have been added to </w:t>
      </w:r>
      <w:r w:rsidR="002A0807" w:rsidRPr="00CA7CE7">
        <w:rPr>
          <w:rFonts w:ascii="Arial" w:hAnsi="Arial" w:cs="Arial"/>
          <w:b/>
          <w:bCs/>
          <w:color w:val="000000"/>
          <w:sz w:val="24"/>
        </w:rPr>
        <w:t>Appendix E (Consultation Feedback).</w:t>
      </w:r>
      <w:r w:rsidR="002A0807">
        <w:rPr>
          <w:rFonts w:ascii="Arial" w:hAnsi="Arial" w:cs="Arial"/>
          <w:color w:val="000000"/>
          <w:sz w:val="24"/>
        </w:rPr>
        <w:t xml:space="preserve"> In particu</w:t>
      </w:r>
      <w:r w:rsidR="00337ADC">
        <w:rPr>
          <w:rFonts w:ascii="Arial" w:hAnsi="Arial" w:cs="Arial"/>
          <w:color w:val="000000"/>
          <w:sz w:val="24"/>
        </w:rPr>
        <w:t xml:space="preserve">lar, various cross-references have been added to signpost where information can be found in either the STPR2 </w:t>
      </w:r>
      <w:r w:rsidR="009F070F">
        <w:rPr>
          <w:rFonts w:ascii="Arial" w:hAnsi="Arial" w:cs="Arial"/>
          <w:color w:val="000000"/>
          <w:sz w:val="24"/>
        </w:rPr>
        <w:t xml:space="preserve">technical reports </w:t>
      </w:r>
      <w:r w:rsidR="00337ADC">
        <w:rPr>
          <w:rFonts w:ascii="Arial" w:hAnsi="Arial" w:cs="Arial"/>
          <w:color w:val="000000"/>
          <w:sz w:val="24"/>
        </w:rPr>
        <w:t>or</w:t>
      </w:r>
      <w:r w:rsidR="009F070F">
        <w:rPr>
          <w:rFonts w:ascii="Arial" w:hAnsi="Arial" w:cs="Arial"/>
          <w:color w:val="000000"/>
          <w:sz w:val="24"/>
        </w:rPr>
        <w:t xml:space="preserve"> the</w:t>
      </w:r>
      <w:r w:rsidR="00337ADC">
        <w:rPr>
          <w:rFonts w:ascii="Arial" w:hAnsi="Arial" w:cs="Arial"/>
          <w:color w:val="000000"/>
          <w:sz w:val="24"/>
        </w:rPr>
        <w:t xml:space="preserve"> SEA</w:t>
      </w:r>
      <w:r w:rsidR="009F070F">
        <w:rPr>
          <w:rFonts w:ascii="Arial" w:hAnsi="Arial" w:cs="Arial"/>
          <w:color w:val="000000"/>
          <w:sz w:val="24"/>
        </w:rPr>
        <w:t xml:space="preserve"> and Impact Assessment </w:t>
      </w:r>
      <w:r w:rsidR="00EB44FB">
        <w:rPr>
          <w:rFonts w:ascii="Arial" w:hAnsi="Arial" w:cs="Arial"/>
          <w:color w:val="000000"/>
          <w:sz w:val="24"/>
        </w:rPr>
        <w:t>reports and appendices</w:t>
      </w:r>
      <w:r w:rsidR="009F070F">
        <w:rPr>
          <w:rFonts w:ascii="Arial" w:hAnsi="Arial" w:cs="Arial"/>
          <w:color w:val="000000"/>
          <w:sz w:val="24"/>
        </w:rPr>
        <w:t>.</w:t>
      </w:r>
    </w:p>
    <w:p w14:paraId="1C0A8EA7" w14:textId="47965AF7" w:rsidR="000C6958" w:rsidRDefault="00BF40DD" w:rsidP="0059201D">
      <w:pPr>
        <w:pStyle w:val="Heading2"/>
      </w:pPr>
      <w:bookmarkStart w:id="1043" w:name="_Toc121339128"/>
      <w:r>
        <w:t>SEA Workshops</w:t>
      </w:r>
      <w:bookmarkEnd w:id="1042"/>
      <w:bookmarkEnd w:id="1043"/>
    </w:p>
    <w:p w14:paraId="5C0F6A4B" w14:textId="26CBDA54" w:rsidR="000C6958" w:rsidRPr="009B3C78" w:rsidRDefault="00331312" w:rsidP="00D93256">
      <w:pPr>
        <w:pStyle w:val="STPR2BodyText"/>
      </w:pPr>
      <w:r>
        <w:t>T</w:t>
      </w:r>
      <w:r w:rsidR="000C6958" w:rsidRPr="009B3C78">
        <w:t>en national workshops were held throughout August and September 2019, with an Environment-Specific Workshop held on</w:t>
      </w:r>
      <w:r w:rsidR="004A3E92">
        <w:t xml:space="preserve"> </w:t>
      </w:r>
      <w:r w:rsidR="000C6958" w:rsidRPr="009B3C78">
        <w:t>22 August</w:t>
      </w:r>
      <w:r w:rsidR="004A3E92">
        <w:t xml:space="preserve"> 2019</w:t>
      </w:r>
      <w:r w:rsidR="008A4B52">
        <w:t>.</w:t>
      </w:r>
      <w:r w:rsidR="000C6958" w:rsidRPr="009B3C78">
        <w:t xml:space="preserve"> These workshops buil</w:t>
      </w:r>
      <w:r w:rsidR="00806CA8">
        <w:t>t</w:t>
      </w:r>
      <w:r w:rsidR="000C6958" w:rsidRPr="009B3C78">
        <w:t xml:space="preserve"> on existing relationships established for the NTS2 Review but were tailored to ensure that attendees were the best fit for the purposes of </w:t>
      </w:r>
      <w:r w:rsidR="00DF69B7" w:rsidRPr="00DF69B7">
        <w:t xml:space="preserve">the </w:t>
      </w:r>
      <w:r w:rsidR="000C6958" w:rsidRPr="009B3C78">
        <w:t>STPR2. The workshops provided an opportunity to identify any data gaps and understand work being undertaken by a wide range of organisations. The National Environment Workshop was attended by various national bodies in Scotland whose remit includes environmental issues, including:</w:t>
      </w:r>
    </w:p>
    <w:p w14:paraId="566D9FFA" w14:textId="77777777" w:rsidR="000C6958" w:rsidRPr="00806A31" w:rsidRDefault="000C6958" w:rsidP="00D93256">
      <w:pPr>
        <w:pStyle w:val="STPR2BulletsLevel1"/>
      </w:pPr>
      <w:r w:rsidRPr="00806A31">
        <w:t>The SEA Consultation Authorities (SEPA, NatureScot, HES);</w:t>
      </w:r>
    </w:p>
    <w:p w14:paraId="469F26C4" w14:textId="77777777" w:rsidR="000C6958" w:rsidRPr="00806A31" w:rsidRDefault="000C6958" w:rsidP="00D93256">
      <w:pPr>
        <w:pStyle w:val="STPR2BulletsLevel1"/>
      </w:pPr>
      <w:r w:rsidRPr="00806A31">
        <w:t>NTS2 team;</w:t>
      </w:r>
    </w:p>
    <w:p w14:paraId="629F0B16" w14:textId="77777777" w:rsidR="000C6958" w:rsidRPr="00806A31" w:rsidRDefault="000C6958" w:rsidP="00D93256">
      <w:pPr>
        <w:pStyle w:val="STPR2BulletsLevel1"/>
      </w:pPr>
      <w:r w:rsidRPr="00806A31">
        <w:t>Crown Estate;</w:t>
      </w:r>
    </w:p>
    <w:p w14:paraId="0A793BB0" w14:textId="77777777" w:rsidR="000C6958" w:rsidRPr="00806A31" w:rsidRDefault="000C6958" w:rsidP="00D93256">
      <w:pPr>
        <w:pStyle w:val="STPR2BulletsLevel1"/>
      </w:pPr>
      <w:r w:rsidRPr="00806A31">
        <w:t>Marine Scotland;</w:t>
      </w:r>
    </w:p>
    <w:p w14:paraId="67F3899B" w14:textId="69A60C37" w:rsidR="000C6958" w:rsidRPr="00806A31" w:rsidRDefault="000C6958" w:rsidP="00D93256">
      <w:pPr>
        <w:pStyle w:val="STPR2BulletsLevel1"/>
      </w:pPr>
      <w:r w:rsidRPr="00806A31">
        <w:t xml:space="preserve">Architecture and Design Scotland; </w:t>
      </w:r>
    </w:p>
    <w:p w14:paraId="04F2E1C5" w14:textId="77777777" w:rsidR="000C6958" w:rsidRPr="00806A31" w:rsidRDefault="000C6958" w:rsidP="00D93256">
      <w:pPr>
        <w:pStyle w:val="STPR2BulletsLevel1"/>
      </w:pPr>
      <w:r w:rsidRPr="00806A31">
        <w:t>Crofters Commission.</w:t>
      </w:r>
    </w:p>
    <w:p w14:paraId="74CBE99A" w14:textId="473FB5D7" w:rsidR="000C6958" w:rsidRPr="009B3C78" w:rsidRDefault="000C6958" w:rsidP="00D93256">
      <w:pPr>
        <w:pStyle w:val="STPR2BodyText"/>
      </w:pPr>
      <w:r w:rsidRPr="009B3C78">
        <w:t xml:space="preserve">Feedback received from these bodies has been incorporated into the SEA methodology (see </w:t>
      </w:r>
      <w:r w:rsidRPr="009B3C78">
        <w:rPr>
          <w:b/>
        </w:rPr>
        <w:t xml:space="preserve">Chapter </w:t>
      </w:r>
      <w:r w:rsidR="00DA4FCA">
        <w:rPr>
          <w:b/>
        </w:rPr>
        <w:fldChar w:fldCharType="begin"/>
      </w:r>
      <w:r w:rsidR="00DA4FCA">
        <w:rPr>
          <w:b/>
        </w:rPr>
        <w:instrText xml:space="preserve"> REF _Ref90565066 \r \h </w:instrText>
      </w:r>
      <w:r w:rsidR="00DA4FCA">
        <w:rPr>
          <w:b/>
        </w:rPr>
      </w:r>
      <w:r w:rsidR="00DA4FCA">
        <w:rPr>
          <w:b/>
        </w:rPr>
        <w:fldChar w:fldCharType="separate"/>
      </w:r>
      <w:r w:rsidR="00C22A9E">
        <w:rPr>
          <w:b/>
        </w:rPr>
        <w:t>7</w:t>
      </w:r>
      <w:r w:rsidR="00DA4FCA">
        <w:rPr>
          <w:b/>
        </w:rPr>
        <w:fldChar w:fldCharType="end"/>
      </w:r>
      <w:r w:rsidR="00BA361F">
        <w:rPr>
          <w:b/>
        </w:rPr>
        <w:t xml:space="preserve">: </w:t>
      </w:r>
      <w:r w:rsidR="006C1083" w:rsidRPr="006C1083">
        <w:rPr>
          <w:b/>
        </w:rPr>
        <w:t>The Approach to the Assessment)</w:t>
      </w:r>
      <w:r w:rsidRPr="009B3C78">
        <w:t xml:space="preserve"> through an expanded discussion of ‘problems’ in the SEA baseline (see </w:t>
      </w:r>
      <w:r w:rsidRPr="009B3C78">
        <w:rPr>
          <w:b/>
        </w:rPr>
        <w:t xml:space="preserve">Chapter </w:t>
      </w:r>
      <w:r w:rsidR="00DA4FCA">
        <w:rPr>
          <w:b/>
        </w:rPr>
        <w:fldChar w:fldCharType="begin"/>
      </w:r>
      <w:r w:rsidR="00DA4FCA">
        <w:rPr>
          <w:b/>
        </w:rPr>
        <w:instrText xml:space="preserve"> REF _Ref90565084 \r \h </w:instrText>
      </w:r>
      <w:r w:rsidR="00DA4FCA">
        <w:rPr>
          <w:b/>
        </w:rPr>
      </w:r>
      <w:r w:rsidR="00DA4FCA">
        <w:rPr>
          <w:b/>
        </w:rPr>
        <w:fldChar w:fldCharType="separate"/>
      </w:r>
      <w:r w:rsidR="00C22A9E">
        <w:rPr>
          <w:b/>
        </w:rPr>
        <w:t>4</w:t>
      </w:r>
      <w:r w:rsidR="00DA4FCA">
        <w:rPr>
          <w:b/>
        </w:rPr>
        <w:fldChar w:fldCharType="end"/>
      </w:r>
      <w:r w:rsidRPr="009B3C78">
        <w:t xml:space="preserve"> </w:t>
      </w:r>
      <w:r w:rsidR="006C1083" w:rsidRPr="006C1083">
        <w:rPr>
          <w:b/>
          <w:bCs/>
        </w:rPr>
        <w:t>(Baseline Summary)</w:t>
      </w:r>
      <w:r w:rsidR="006C1083">
        <w:t xml:space="preserve"> </w:t>
      </w:r>
      <w:r w:rsidRPr="009B3C78">
        <w:t xml:space="preserve">of this report) and improved description of ‘opportunities’, which are provided in the mitigation and enhancement included in </w:t>
      </w:r>
      <w:r w:rsidRPr="00746570">
        <w:rPr>
          <w:b/>
          <w:bCs/>
        </w:rPr>
        <w:t xml:space="preserve">Chapter </w:t>
      </w:r>
      <w:r w:rsidR="00DA4FCA">
        <w:rPr>
          <w:b/>
          <w:bCs/>
        </w:rPr>
        <w:fldChar w:fldCharType="begin"/>
      </w:r>
      <w:r w:rsidR="00DA4FCA">
        <w:rPr>
          <w:b/>
          <w:bCs/>
        </w:rPr>
        <w:instrText xml:space="preserve"> REF _Ref90565095 \r \h </w:instrText>
      </w:r>
      <w:r w:rsidR="00DA4FCA">
        <w:rPr>
          <w:b/>
          <w:bCs/>
        </w:rPr>
      </w:r>
      <w:r w:rsidR="00DA4FCA">
        <w:rPr>
          <w:b/>
          <w:bCs/>
        </w:rPr>
        <w:fldChar w:fldCharType="separate"/>
      </w:r>
      <w:r w:rsidR="00C22A9E">
        <w:rPr>
          <w:b/>
          <w:bCs/>
        </w:rPr>
        <w:t>9</w:t>
      </w:r>
      <w:r w:rsidR="00DA4FCA">
        <w:rPr>
          <w:b/>
          <w:bCs/>
        </w:rPr>
        <w:fldChar w:fldCharType="end"/>
      </w:r>
      <w:r w:rsidRPr="009B3C78">
        <w:t xml:space="preserve"> </w:t>
      </w:r>
      <w:r w:rsidR="00670F92" w:rsidRPr="00CD0E7F">
        <w:rPr>
          <w:b/>
          <w:bCs/>
        </w:rPr>
        <w:t>(Strategic Mitigation and Enhancement</w:t>
      </w:r>
      <w:r w:rsidR="00CD0E7F" w:rsidRPr="00CD0E7F">
        <w:rPr>
          <w:b/>
          <w:bCs/>
        </w:rPr>
        <w:t>)</w:t>
      </w:r>
      <w:r w:rsidR="00CD0E7F">
        <w:t xml:space="preserve"> </w:t>
      </w:r>
      <w:r w:rsidRPr="009B3C78">
        <w:t>of this</w:t>
      </w:r>
      <w:r w:rsidR="007171A6">
        <w:t> </w:t>
      </w:r>
      <w:r w:rsidRPr="009B3C78">
        <w:t xml:space="preserve">report. </w:t>
      </w:r>
    </w:p>
    <w:p w14:paraId="4DCDAB23" w14:textId="77777777" w:rsidR="000C6958" w:rsidRPr="009B3C78" w:rsidRDefault="000C6958" w:rsidP="00D93256">
      <w:pPr>
        <w:pStyle w:val="STPR2BodyText"/>
      </w:pPr>
      <w:r w:rsidRPr="009B3C78">
        <w:t>Other national-level workshops also produced useful environment-related information to inform the SEA. The most relevant workshops with useful outputs for the SEA were those dedicated to active travel and EqIA. The active travel workshop identified:</w:t>
      </w:r>
    </w:p>
    <w:p w14:paraId="662B30A9" w14:textId="43166181" w:rsidR="000C6958" w:rsidRPr="00806A31" w:rsidRDefault="000C6958" w:rsidP="00D93256">
      <w:pPr>
        <w:pStyle w:val="STPR2BulletsLevel1"/>
      </w:pPr>
      <w:r w:rsidRPr="00806A31">
        <w:t xml:space="preserve">Data on modal share statistics, physical activity, health inequalities and safety to consider in the SEA baseline data under the ‘Population and Human Health’ topic; </w:t>
      </w:r>
    </w:p>
    <w:p w14:paraId="21F6A028" w14:textId="713B8270" w:rsidR="000C6958" w:rsidRPr="00806A31" w:rsidRDefault="000C6958" w:rsidP="00D93256">
      <w:pPr>
        <w:pStyle w:val="STPR2BulletsLevel1"/>
      </w:pPr>
      <w:r w:rsidRPr="00806A31">
        <w:t xml:space="preserve">Funding mechanisms that could be considered in </w:t>
      </w:r>
      <w:r w:rsidR="00DF69B7" w:rsidRPr="00DF69B7">
        <w:t xml:space="preserve">the </w:t>
      </w:r>
      <w:r w:rsidRPr="00806A31">
        <w:t>STPR2 enhancement recommendations at th</w:t>
      </w:r>
      <w:r w:rsidR="00244462">
        <w:t>is Final</w:t>
      </w:r>
      <w:r w:rsidRPr="00806A31">
        <w:t xml:space="preserve"> Environmental Report stage.</w:t>
      </w:r>
    </w:p>
    <w:p w14:paraId="0D6AF36E" w14:textId="77777777" w:rsidR="000C6958" w:rsidRPr="009B3C78" w:rsidRDefault="000C6958" w:rsidP="00D93256">
      <w:pPr>
        <w:pStyle w:val="STPR2BodyText"/>
      </w:pPr>
      <w:r w:rsidRPr="009B3C78">
        <w:t>The EqIA workshop identified:</w:t>
      </w:r>
    </w:p>
    <w:p w14:paraId="5B096EB8" w14:textId="77777777" w:rsidR="000C6958" w:rsidRPr="00806A31" w:rsidRDefault="000C6958" w:rsidP="00D93256">
      <w:pPr>
        <w:pStyle w:val="STPR2BulletsLevel1"/>
      </w:pPr>
      <w:r w:rsidRPr="00806A31">
        <w:t>Data on socio-economic inequalities in relation to CO</w:t>
      </w:r>
      <w:r w:rsidRPr="00806A31">
        <w:rPr>
          <w:vertAlign w:val="subscript"/>
        </w:rPr>
        <w:t xml:space="preserve">2 </w:t>
      </w:r>
      <w:r w:rsidRPr="00806A31">
        <w:t>emissions;</w:t>
      </w:r>
    </w:p>
    <w:p w14:paraId="13E965AF" w14:textId="222F9C48" w:rsidR="000C6958" w:rsidRPr="00806A31" w:rsidRDefault="000C6958" w:rsidP="00D93256">
      <w:pPr>
        <w:pStyle w:val="STPR2BulletsLevel1"/>
      </w:pPr>
      <w:r w:rsidRPr="00806A31">
        <w:t xml:space="preserve">Socio-economic inequalities in relation to active travel; </w:t>
      </w:r>
    </w:p>
    <w:p w14:paraId="7BEEA012" w14:textId="7583947D" w:rsidR="000C6958" w:rsidRPr="00806A31" w:rsidRDefault="000C6958" w:rsidP="00D93256">
      <w:pPr>
        <w:pStyle w:val="STPR2BulletsLevel1"/>
      </w:pPr>
      <w:r w:rsidRPr="00806A31">
        <w:t xml:space="preserve">Opportunities that have been considered in the STPR2 enhancement recommendations </w:t>
      </w:r>
      <w:r w:rsidR="00F46E88" w:rsidRPr="00806A31">
        <w:t xml:space="preserve">are provided </w:t>
      </w:r>
      <w:r w:rsidR="0043161B" w:rsidRPr="00806A31">
        <w:t xml:space="preserve">in </w:t>
      </w:r>
      <w:r w:rsidRPr="00806A31">
        <w:t xml:space="preserve">the </w:t>
      </w:r>
      <w:r w:rsidR="00D52B7A" w:rsidRPr="00806A31">
        <w:t xml:space="preserve">EqIA </w:t>
      </w:r>
      <w:r w:rsidR="0043161B" w:rsidRPr="00806A31">
        <w:t>report</w:t>
      </w:r>
      <w:r w:rsidR="00A83F79" w:rsidRPr="00806A31">
        <w:t xml:space="preserve"> (Jacobs </w:t>
      </w:r>
      <w:r w:rsidR="007F59CB">
        <w:t>AECOM</w:t>
      </w:r>
      <w:r w:rsidR="00A83F79" w:rsidRPr="00806A31">
        <w:t xml:space="preserve"> 2022a)</w:t>
      </w:r>
      <w:r w:rsidR="0043161B" w:rsidRPr="00806A31">
        <w:t>.</w:t>
      </w:r>
      <w:r w:rsidR="00DF6ACA">
        <w:t xml:space="preserve"> </w:t>
      </w:r>
    </w:p>
    <w:p w14:paraId="0C7FC6E8" w14:textId="44D26B78" w:rsidR="002B1341" w:rsidRPr="009B3C78" w:rsidRDefault="000C6958" w:rsidP="00D93256">
      <w:pPr>
        <w:pStyle w:val="STPR2BodyText"/>
      </w:pPr>
      <w:r w:rsidRPr="009B3C78">
        <w:t xml:space="preserve">A second workshop with the Consultation Authorities was held in September 2019 to refine the SEA methodology (see </w:t>
      </w:r>
      <w:r w:rsidRPr="009B3C78">
        <w:rPr>
          <w:b/>
        </w:rPr>
        <w:t xml:space="preserve">Chapter </w:t>
      </w:r>
      <w:r w:rsidR="00DA4FCA">
        <w:rPr>
          <w:b/>
        </w:rPr>
        <w:fldChar w:fldCharType="begin"/>
      </w:r>
      <w:r w:rsidR="00DA4FCA">
        <w:rPr>
          <w:b/>
        </w:rPr>
        <w:instrText xml:space="preserve"> REF _Ref90565117 \r \h </w:instrText>
      </w:r>
      <w:r w:rsidR="00DA4FCA">
        <w:rPr>
          <w:b/>
        </w:rPr>
      </w:r>
      <w:r w:rsidR="00DA4FCA">
        <w:rPr>
          <w:b/>
        </w:rPr>
        <w:fldChar w:fldCharType="separate"/>
      </w:r>
      <w:r w:rsidR="00C22A9E">
        <w:rPr>
          <w:b/>
        </w:rPr>
        <w:t>7</w:t>
      </w:r>
      <w:r w:rsidR="00DA4FCA">
        <w:rPr>
          <w:b/>
        </w:rPr>
        <w:fldChar w:fldCharType="end"/>
      </w:r>
      <w:r w:rsidR="00FE48B4">
        <w:rPr>
          <w:b/>
        </w:rPr>
        <w:t xml:space="preserve">: </w:t>
      </w:r>
      <w:r w:rsidR="00FE48B4" w:rsidRPr="00FE48B4">
        <w:rPr>
          <w:b/>
        </w:rPr>
        <w:t>The Approach to the Assessment)</w:t>
      </w:r>
      <w:r w:rsidRPr="009B3C78">
        <w:t xml:space="preserve">. Feedback from the Consultation Authorities on these </w:t>
      </w:r>
      <w:r w:rsidR="001731D7">
        <w:t>was</w:t>
      </w:r>
      <w:r w:rsidRPr="009B3C78">
        <w:t xml:space="preserve"> incorporated into the SEA objectives presented in </w:t>
      </w:r>
      <w:r w:rsidR="00D47884" w:rsidRPr="00D47884">
        <w:rPr>
          <w:b/>
          <w:bCs/>
        </w:rPr>
        <w:t xml:space="preserve">Section </w:t>
      </w:r>
      <w:r w:rsidR="00EE2C7F" w:rsidRPr="00D47884">
        <w:rPr>
          <w:b/>
          <w:bCs/>
        </w:rPr>
        <w:fldChar w:fldCharType="begin"/>
      </w:r>
      <w:r w:rsidR="00EE2C7F" w:rsidRPr="00D47884">
        <w:rPr>
          <w:b/>
          <w:bCs/>
        </w:rPr>
        <w:instrText xml:space="preserve"> REF _Ref90046782 \n \h </w:instrText>
      </w:r>
      <w:r w:rsidR="00D47884">
        <w:rPr>
          <w:b/>
          <w:bCs/>
        </w:rPr>
        <w:instrText xml:space="preserve"> \* MERGEFORMAT </w:instrText>
      </w:r>
      <w:r w:rsidR="00EE2C7F" w:rsidRPr="00D47884">
        <w:rPr>
          <w:b/>
          <w:bCs/>
        </w:rPr>
      </w:r>
      <w:r w:rsidR="00EE2C7F" w:rsidRPr="00D47884">
        <w:rPr>
          <w:b/>
          <w:bCs/>
        </w:rPr>
        <w:fldChar w:fldCharType="separate"/>
      </w:r>
      <w:r w:rsidR="00C22A9E" w:rsidRPr="00C22A9E">
        <w:rPr>
          <w:b/>
        </w:rPr>
        <w:t>0</w:t>
      </w:r>
      <w:r w:rsidR="00EE2C7F" w:rsidRPr="00D47884">
        <w:rPr>
          <w:b/>
          <w:bCs/>
        </w:rPr>
        <w:fldChar w:fldCharType="end"/>
      </w:r>
      <w:r w:rsidR="00D47884">
        <w:rPr>
          <w:b/>
        </w:rPr>
        <w:t xml:space="preserve"> </w:t>
      </w:r>
      <w:r w:rsidRPr="009B3C78">
        <w:t>of this report.</w:t>
      </w:r>
    </w:p>
    <w:p w14:paraId="4A8DED1D" w14:textId="6CF4601A" w:rsidR="00CD0936" w:rsidRPr="009B3C78" w:rsidRDefault="00CD0936" w:rsidP="00D93256">
      <w:pPr>
        <w:pStyle w:val="STPR2BodyText"/>
      </w:pPr>
      <w:r w:rsidRPr="009B3C78">
        <w:t xml:space="preserve">During the course of </w:t>
      </w:r>
      <w:r w:rsidR="00DF69B7" w:rsidRPr="00DF69B7">
        <w:t xml:space="preserve">the </w:t>
      </w:r>
      <w:r w:rsidRPr="009B3C78">
        <w:t xml:space="preserve">STPR2, there has been extensive stakeholder and public </w:t>
      </w:r>
      <w:r w:rsidRPr="009B3C78">
        <w:lastRenderedPageBreak/>
        <w:t xml:space="preserve">engagement to identify problems and opportunities around the country. Feedback from all of the regional and national workshops was reviewed to identify environmental issues and opportunities which would be pertinent to the SEA. </w:t>
      </w:r>
    </w:p>
    <w:p w14:paraId="41CE3EF0" w14:textId="3F36FC9C" w:rsidR="00CD0936" w:rsidRPr="009B3C78" w:rsidRDefault="00CD0936" w:rsidP="00D93256">
      <w:pPr>
        <w:pStyle w:val="STPR2BodyText"/>
      </w:pPr>
      <w:r w:rsidRPr="009B3C78">
        <w:t>These workshops were followed up with a similar number of regional sessions in late 2019/early 2020 to explore potential options. A comprehensive school engagement programme with over 600 pupils from across Scotland also resulted in a range of options being identified. In parallel with these general sessions, a number of more targeted national workshops were held in August 2019, focusing on particular modes or sectors of the community. An online national public survey also took place in summer 2019 to identify problems and opportunities, for which in excess of 3</w:t>
      </w:r>
      <w:r w:rsidR="000226F5">
        <w:t>,</w:t>
      </w:r>
      <w:r w:rsidRPr="009B3C78">
        <w:t xml:space="preserve">000 responses were received. </w:t>
      </w:r>
    </w:p>
    <w:p w14:paraId="43B1D9AA" w14:textId="39D305AD" w:rsidR="00001AD8" w:rsidRDefault="00001AD8" w:rsidP="00D93256">
      <w:pPr>
        <w:pStyle w:val="STPR2BodyText"/>
      </w:pPr>
      <w:r>
        <w:t xml:space="preserve">An </w:t>
      </w:r>
      <w:r w:rsidR="00204D0E">
        <w:t>HRA-focused workshop was held with NatureScot in November 2020, to discuss the proposed approach to the HRA.</w:t>
      </w:r>
      <w:r>
        <w:t xml:space="preserve"> </w:t>
      </w:r>
    </w:p>
    <w:p w14:paraId="206EF09F" w14:textId="1E3ADFCB" w:rsidR="00ED6013" w:rsidRPr="002E6142" w:rsidRDefault="00ED6013" w:rsidP="00D93256">
      <w:pPr>
        <w:pStyle w:val="STPR2BodyText"/>
      </w:pPr>
      <w:r w:rsidRPr="002E6142">
        <w:t xml:space="preserve">An SEA and EqIA </w:t>
      </w:r>
      <w:r w:rsidR="00D31CE8" w:rsidRPr="002E6142">
        <w:t>webinar</w:t>
      </w:r>
      <w:r w:rsidRPr="002E6142">
        <w:t xml:space="preserve"> was also held for the Regional Transport Working Groups on 12</w:t>
      </w:r>
      <w:r w:rsidRPr="002E6142">
        <w:rPr>
          <w:vertAlign w:val="superscript"/>
        </w:rPr>
        <w:t>th</w:t>
      </w:r>
      <w:r w:rsidRPr="002E6142">
        <w:t xml:space="preserve"> May 2021</w:t>
      </w:r>
      <w:r w:rsidR="000F3B29">
        <w:t xml:space="preserve"> </w:t>
      </w:r>
      <w:r w:rsidR="00D31CE8" w:rsidRPr="002E6142">
        <w:t>to provide an updat</w:t>
      </w:r>
      <w:r w:rsidR="00E953ED" w:rsidRPr="002E6142">
        <w:t>e on Impact Assessment progress and approach to the preliminary and detailed appraisals.</w:t>
      </w:r>
    </w:p>
    <w:p w14:paraId="5B11BCA2" w14:textId="095E064F" w:rsidR="00ED6013" w:rsidRPr="008C51F5" w:rsidRDefault="00ED6013" w:rsidP="00D93256">
      <w:pPr>
        <w:pStyle w:val="STPR2BodyText"/>
      </w:pPr>
      <w:r w:rsidRPr="002E6142">
        <w:t>Further workshops were held with the SEA Consultation Authorities in November and December 2021</w:t>
      </w:r>
      <w:r w:rsidR="006527AE" w:rsidRPr="002E6142">
        <w:t xml:space="preserve"> to provide an update on </w:t>
      </w:r>
      <w:r w:rsidR="00DF69B7" w:rsidRPr="00DF69B7">
        <w:t xml:space="preserve">the </w:t>
      </w:r>
      <w:r w:rsidR="006527AE" w:rsidRPr="002E6142">
        <w:t>STPR2 and SEA progress</w:t>
      </w:r>
      <w:r w:rsidR="00207AEE" w:rsidRPr="002E6142">
        <w:t>.</w:t>
      </w:r>
    </w:p>
    <w:p w14:paraId="79F3B24A" w14:textId="6875A392" w:rsidR="004A4435" w:rsidRDefault="00E009CA" w:rsidP="00D93256">
      <w:pPr>
        <w:pStyle w:val="STPR2BodyText"/>
      </w:pPr>
      <w:r>
        <w:t>The final engagement activities relating to the SEA</w:t>
      </w:r>
      <w:r w:rsidR="004A4435">
        <w:t xml:space="preserve"> </w:t>
      </w:r>
      <w:r w:rsidR="00050A15">
        <w:t xml:space="preserve">were </w:t>
      </w:r>
      <w:r w:rsidR="008D657C">
        <w:t xml:space="preserve">aimed at </w:t>
      </w:r>
      <w:r w:rsidR="00050A15">
        <w:t>summarising the SEA process</w:t>
      </w:r>
      <w:r w:rsidR="00576EE9">
        <w:t xml:space="preserve">, </w:t>
      </w:r>
      <w:r w:rsidR="00050A15">
        <w:t>describing the key findings</w:t>
      </w:r>
      <w:r w:rsidR="00576EE9">
        <w:t xml:space="preserve"> and directing consultees to the consultation on the Draft Environmental Report</w:t>
      </w:r>
      <w:r w:rsidR="00244462">
        <w:t xml:space="preserve"> </w:t>
      </w:r>
      <w:r w:rsidR="00244462" w:rsidRPr="00244462">
        <w:t xml:space="preserve">(Jacobs </w:t>
      </w:r>
      <w:r w:rsidR="007F59CB">
        <w:t>AECOM</w:t>
      </w:r>
      <w:r w:rsidR="00244462" w:rsidRPr="00244462">
        <w:t>, 2022d)</w:t>
      </w:r>
      <w:r w:rsidR="00576EE9">
        <w:t xml:space="preserve">, </w:t>
      </w:r>
      <w:r w:rsidR="00E5739D">
        <w:t>which</w:t>
      </w:r>
      <w:r w:rsidR="00576EE9">
        <w:t xml:space="preserve"> finish</w:t>
      </w:r>
      <w:r w:rsidR="00E5739D">
        <w:t>ed</w:t>
      </w:r>
      <w:r w:rsidR="00576EE9">
        <w:t xml:space="preserve"> on 15 April 2022. These</w:t>
      </w:r>
      <w:r w:rsidR="00050A15">
        <w:t xml:space="preserve"> </w:t>
      </w:r>
      <w:r w:rsidR="00116D51">
        <w:t xml:space="preserve">engagement activities </w:t>
      </w:r>
      <w:r w:rsidR="00576EE9">
        <w:t>comprised</w:t>
      </w:r>
      <w:r w:rsidR="004A4435">
        <w:t>:</w:t>
      </w:r>
    </w:p>
    <w:p w14:paraId="4A937852" w14:textId="178B4B21" w:rsidR="004A4435" w:rsidRDefault="006C5C7F" w:rsidP="00D93256">
      <w:pPr>
        <w:pStyle w:val="STPR2BulletsLevel1"/>
      </w:pPr>
      <w:r>
        <w:t>A</w:t>
      </w:r>
      <w:r w:rsidR="005D3609">
        <w:t xml:space="preserve"> </w:t>
      </w:r>
      <w:r w:rsidR="00E009CA">
        <w:t>focused workshop</w:t>
      </w:r>
      <w:r w:rsidR="001E0127">
        <w:t xml:space="preserve"> </w:t>
      </w:r>
      <w:r w:rsidR="004A4435">
        <w:t xml:space="preserve">with the SEA Consultation Authorities </w:t>
      </w:r>
      <w:r w:rsidR="00576EE9">
        <w:t xml:space="preserve">held </w:t>
      </w:r>
      <w:r w:rsidR="004A4435">
        <w:t xml:space="preserve">on </w:t>
      </w:r>
      <w:r w:rsidR="000B3C35">
        <w:t>10 March</w:t>
      </w:r>
      <w:r>
        <w:t xml:space="preserve"> 2022; </w:t>
      </w:r>
    </w:p>
    <w:p w14:paraId="2546F0BD" w14:textId="75D26371" w:rsidR="004A4435" w:rsidRDefault="0096191D" w:rsidP="00D93256">
      <w:pPr>
        <w:pStyle w:val="STPR2BulletsLevel1"/>
      </w:pPr>
      <w:r>
        <w:t>A combined SEA and E</w:t>
      </w:r>
      <w:r w:rsidR="00A71B73">
        <w:t>qIA stakeholder information live webinar, held on 28 March 2022.</w:t>
      </w:r>
    </w:p>
    <w:p w14:paraId="7782D0B5" w14:textId="1C830F3A" w:rsidR="000A3EB5" w:rsidRDefault="005D3609" w:rsidP="00D93256">
      <w:pPr>
        <w:pStyle w:val="STPR2BulletsLevel1"/>
      </w:pPr>
      <w:r>
        <w:t xml:space="preserve">The full consultation feedback </w:t>
      </w:r>
      <w:r w:rsidR="00116D51">
        <w:t xml:space="preserve">from these </w:t>
      </w:r>
      <w:r w:rsidR="009630C6">
        <w:t xml:space="preserve">engagement activities and </w:t>
      </w:r>
      <w:r>
        <w:t xml:space="preserve">on the </w:t>
      </w:r>
      <w:r w:rsidR="004A4435">
        <w:t>Draft Environmental Report</w:t>
      </w:r>
      <w:r>
        <w:t xml:space="preserve"> </w:t>
      </w:r>
      <w:r w:rsidR="00244462" w:rsidRPr="00244462">
        <w:t xml:space="preserve">(Jacobs </w:t>
      </w:r>
      <w:r w:rsidR="007F59CB">
        <w:t>AECOM</w:t>
      </w:r>
      <w:r w:rsidR="00244462" w:rsidRPr="00244462">
        <w:t xml:space="preserve">, 2022d) </w:t>
      </w:r>
      <w:r>
        <w:t xml:space="preserve">and the SEA response to this feedback is provided in </w:t>
      </w:r>
      <w:r w:rsidRPr="004A4435">
        <w:rPr>
          <w:b/>
          <w:bCs/>
        </w:rPr>
        <w:t>Appendix E (Consultation Feedback).</w:t>
      </w:r>
    </w:p>
    <w:p w14:paraId="18A3AA36" w14:textId="2829D10A" w:rsidR="00FB27D8" w:rsidRDefault="00CD0936" w:rsidP="00D93256">
      <w:pPr>
        <w:pStyle w:val="STPR2BodyText"/>
      </w:pPr>
      <w:r w:rsidRPr="002E6142">
        <w:t>Relevant feedback received from all these engagement activities has been incorporated into the SEA</w:t>
      </w:r>
      <w:r w:rsidR="001E0127">
        <w:t xml:space="preserve">, primarily </w:t>
      </w:r>
      <w:r w:rsidRPr="002E6142">
        <w:t xml:space="preserve">through an expanded discussion of constraints and opportunities in the SEA </w:t>
      </w:r>
      <w:r w:rsidR="00695894" w:rsidRPr="002E6142">
        <w:t>policy review and baseline</w:t>
      </w:r>
      <w:r w:rsidRPr="002E6142">
        <w:t xml:space="preserve">, provided in </w:t>
      </w:r>
      <w:r w:rsidRPr="00331C82">
        <w:rPr>
          <w:b/>
          <w:bCs/>
        </w:rPr>
        <w:t xml:space="preserve">Appendix </w:t>
      </w:r>
      <w:r w:rsidR="00695894" w:rsidRPr="00331C82">
        <w:rPr>
          <w:b/>
          <w:bCs/>
        </w:rPr>
        <w:t>B</w:t>
      </w:r>
      <w:r w:rsidR="003C53AC" w:rsidRPr="00331C82">
        <w:rPr>
          <w:b/>
          <w:bCs/>
        </w:rPr>
        <w:t xml:space="preserve"> (P</w:t>
      </w:r>
      <w:r w:rsidR="00331C82" w:rsidRPr="00331C82">
        <w:rPr>
          <w:b/>
          <w:bCs/>
        </w:rPr>
        <w:t xml:space="preserve">lans, Programmes and Strategies), Appendix </w:t>
      </w:r>
      <w:r w:rsidRPr="00331C82">
        <w:rPr>
          <w:b/>
          <w:bCs/>
        </w:rPr>
        <w:t>C</w:t>
      </w:r>
      <w:r w:rsidR="00331C82" w:rsidRPr="00331C82">
        <w:rPr>
          <w:b/>
          <w:bCs/>
        </w:rPr>
        <w:t xml:space="preserve"> (National Baseline)</w:t>
      </w:r>
      <w:r w:rsidRPr="00331C82">
        <w:rPr>
          <w:b/>
          <w:bCs/>
        </w:rPr>
        <w:t xml:space="preserve"> </w:t>
      </w:r>
      <w:r w:rsidR="00331C82" w:rsidRPr="00331C82">
        <w:rPr>
          <w:b/>
          <w:bCs/>
        </w:rPr>
        <w:t xml:space="preserve">and Appendix D Regional Environmental Summaries) </w:t>
      </w:r>
      <w:r w:rsidRPr="002E6142">
        <w:t>of this</w:t>
      </w:r>
      <w:r w:rsidR="00817976">
        <w:t xml:space="preserve"> Final</w:t>
      </w:r>
      <w:r w:rsidRPr="002E6142">
        <w:t xml:space="preserve"> Environmental Repor</w:t>
      </w:r>
      <w:r w:rsidR="00695894" w:rsidRPr="002E6142">
        <w:t>t</w:t>
      </w:r>
      <w:r w:rsidRPr="002E6142">
        <w:t>.</w:t>
      </w:r>
      <w:bookmarkStart w:id="1044" w:name="_Toc20487791"/>
      <w:bookmarkStart w:id="1045" w:name="_Toc20487985"/>
      <w:bookmarkStart w:id="1046" w:name="_Toc20744600"/>
      <w:bookmarkStart w:id="1047" w:name="_Toc20754083"/>
      <w:bookmarkStart w:id="1048" w:name="_Toc20487792"/>
      <w:bookmarkStart w:id="1049" w:name="_Toc20487986"/>
      <w:bookmarkStart w:id="1050" w:name="_Toc20744601"/>
      <w:bookmarkStart w:id="1051" w:name="_Toc20754084"/>
      <w:bookmarkStart w:id="1052" w:name="_Toc20487793"/>
      <w:bookmarkStart w:id="1053" w:name="_Toc20487987"/>
      <w:bookmarkStart w:id="1054" w:name="_Toc20744602"/>
      <w:bookmarkStart w:id="1055" w:name="_Toc20754085"/>
      <w:bookmarkStart w:id="1056" w:name="_Toc20487794"/>
      <w:bookmarkStart w:id="1057" w:name="_Toc20487988"/>
      <w:bookmarkStart w:id="1058" w:name="_Toc20744603"/>
      <w:bookmarkStart w:id="1059" w:name="_Toc20754086"/>
      <w:bookmarkStart w:id="1060" w:name="_Toc20487795"/>
      <w:bookmarkStart w:id="1061" w:name="_Toc20487989"/>
      <w:bookmarkStart w:id="1062" w:name="_Toc20744604"/>
      <w:bookmarkStart w:id="1063" w:name="_Toc20754087"/>
      <w:bookmarkStart w:id="1064" w:name="_Toc20487796"/>
      <w:bookmarkStart w:id="1065" w:name="_Toc20487990"/>
      <w:bookmarkStart w:id="1066" w:name="_Toc20744605"/>
      <w:bookmarkStart w:id="1067" w:name="_Toc20754088"/>
      <w:bookmarkStart w:id="1068" w:name="_Toc20487797"/>
      <w:bookmarkStart w:id="1069" w:name="_Toc20487991"/>
      <w:bookmarkStart w:id="1070" w:name="_Toc20744606"/>
      <w:bookmarkStart w:id="1071" w:name="_Toc20754089"/>
      <w:bookmarkStart w:id="1072" w:name="_Toc20487799"/>
      <w:bookmarkStart w:id="1073" w:name="_Toc20487993"/>
      <w:bookmarkStart w:id="1074" w:name="_Toc20744608"/>
      <w:bookmarkStart w:id="1075" w:name="_Toc20754091"/>
      <w:bookmarkStart w:id="1076" w:name="_Toc20487800"/>
      <w:bookmarkStart w:id="1077" w:name="_Toc20487994"/>
      <w:bookmarkStart w:id="1078" w:name="_Toc20744609"/>
      <w:bookmarkStart w:id="1079" w:name="_Toc20754092"/>
      <w:bookmarkStart w:id="1080" w:name="_Toc20487801"/>
      <w:bookmarkStart w:id="1081" w:name="_Toc20487995"/>
      <w:bookmarkStart w:id="1082" w:name="_Toc20744610"/>
      <w:bookmarkStart w:id="1083" w:name="_Toc20754093"/>
      <w:bookmarkStart w:id="1084" w:name="_Toc20487802"/>
      <w:bookmarkStart w:id="1085" w:name="_Toc20487996"/>
      <w:bookmarkStart w:id="1086" w:name="_Toc20744611"/>
      <w:bookmarkStart w:id="1087" w:name="_Toc20754094"/>
      <w:bookmarkStart w:id="1088" w:name="_Toc20487803"/>
      <w:bookmarkStart w:id="1089" w:name="_Toc20487997"/>
      <w:bookmarkStart w:id="1090" w:name="_Toc20744612"/>
      <w:bookmarkStart w:id="1091" w:name="_Toc20754095"/>
      <w:bookmarkStart w:id="1092" w:name="_Toc20487804"/>
      <w:bookmarkStart w:id="1093" w:name="_Toc20487998"/>
      <w:bookmarkStart w:id="1094" w:name="_Toc20744613"/>
      <w:bookmarkStart w:id="1095" w:name="_Toc20754096"/>
      <w:bookmarkStart w:id="1096" w:name="_Toc20487805"/>
      <w:bookmarkStart w:id="1097" w:name="_Toc20487999"/>
      <w:bookmarkStart w:id="1098" w:name="_Toc20744614"/>
      <w:bookmarkStart w:id="1099" w:name="_Toc20754097"/>
      <w:bookmarkStart w:id="1100" w:name="_Toc20487806"/>
      <w:bookmarkStart w:id="1101" w:name="_Toc20488000"/>
      <w:bookmarkStart w:id="1102" w:name="_Toc20744615"/>
      <w:bookmarkStart w:id="1103" w:name="_Toc20754098"/>
      <w:bookmarkStart w:id="1104" w:name="_Toc20487807"/>
      <w:bookmarkStart w:id="1105" w:name="_Toc20488001"/>
      <w:bookmarkStart w:id="1106" w:name="_Toc20744616"/>
      <w:bookmarkStart w:id="1107" w:name="_Toc20754099"/>
      <w:bookmarkStart w:id="1108" w:name="_Toc20487808"/>
      <w:bookmarkStart w:id="1109" w:name="_Toc20488002"/>
      <w:bookmarkStart w:id="1110" w:name="_Toc20744617"/>
      <w:bookmarkStart w:id="1111" w:name="_Toc20754100"/>
      <w:bookmarkStart w:id="1112" w:name="_Toc20487809"/>
      <w:bookmarkStart w:id="1113" w:name="_Toc20488003"/>
      <w:bookmarkStart w:id="1114" w:name="_Toc20744618"/>
      <w:bookmarkStart w:id="1115" w:name="_Toc20754101"/>
      <w:bookmarkStart w:id="1116" w:name="_Toc20487810"/>
      <w:bookmarkStart w:id="1117" w:name="_Toc20488004"/>
      <w:bookmarkStart w:id="1118" w:name="_Toc20744619"/>
      <w:bookmarkStart w:id="1119" w:name="_Toc20754102"/>
      <w:bookmarkStart w:id="1120" w:name="_Toc20487811"/>
      <w:bookmarkStart w:id="1121" w:name="_Toc20488005"/>
      <w:bookmarkStart w:id="1122" w:name="_Toc20744620"/>
      <w:bookmarkStart w:id="1123" w:name="_Toc20754103"/>
      <w:bookmarkStart w:id="1124" w:name="_Toc20487812"/>
      <w:bookmarkStart w:id="1125" w:name="_Toc20488006"/>
      <w:bookmarkStart w:id="1126" w:name="_Toc20744621"/>
      <w:bookmarkStart w:id="1127" w:name="_Toc20754104"/>
      <w:bookmarkStart w:id="1128" w:name="_Toc20487813"/>
      <w:bookmarkStart w:id="1129" w:name="_Toc20488007"/>
      <w:bookmarkStart w:id="1130" w:name="_Toc20744622"/>
      <w:bookmarkStart w:id="1131" w:name="_Toc20754105"/>
      <w:bookmarkStart w:id="1132" w:name="_Toc20487814"/>
      <w:bookmarkStart w:id="1133" w:name="_Toc20488008"/>
      <w:bookmarkStart w:id="1134" w:name="_Toc20744623"/>
      <w:bookmarkStart w:id="1135" w:name="_Toc20754106"/>
      <w:bookmarkStart w:id="1136" w:name="_Toc20487815"/>
      <w:bookmarkStart w:id="1137" w:name="_Toc20488009"/>
      <w:bookmarkStart w:id="1138" w:name="_Toc20744624"/>
      <w:bookmarkStart w:id="1139" w:name="_Toc20754107"/>
      <w:bookmarkStart w:id="1140" w:name="_Toc20487816"/>
      <w:bookmarkStart w:id="1141" w:name="_Toc20488010"/>
      <w:bookmarkStart w:id="1142" w:name="_Toc20744625"/>
      <w:bookmarkStart w:id="1143" w:name="_Toc20754108"/>
      <w:bookmarkStart w:id="1144" w:name="_Toc20487817"/>
      <w:bookmarkStart w:id="1145" w:name="_Toc20488011"/>
      <w:bookmarkStart w:id="1146" w:name="_Toc20744626"/>
      <w:bookmarkStart w:id="1147" w:name="_Toc20754109"/>
      <w:bookmarkStart w:id="1148" w:name="_Toc20487818"/>
      <w:bookmarkStart w:id="1149" w:name="_Toc20488012"/>
      <w:bookmarkStart w:id="1150" w:name="_Toc20744627"/>
      <w:bookmarkStart w:id="1151" w:name="_Toc20754110"/>
      <w:bookmarkStart w:id="1152" w:name="_Toc20487819"/>
      <w:bookmarkStart w:id="1153" w:name="_Toc20488013"/>
      <w:bookmarkStart w:id="1154" w:name="_Toc20744628"/>
      <w:bookmarkStart w:id="1155" w:name="_Toc20754111"/>
      <w:bookmarkStart w:id="1156" w:name="_Toc20487820"/>
      <w:bookmarkStart w:id="1157" w:name="_Toc20488014"/>
      <w:bookmarkStart w:id="1158" w:name="_Toc20744629"/>
      <w:bookmarkStart w:id="1159" w:name="_Toc20754112"/>
      <w:bookmarkStart w:id="1160" w:name="_Toc20487821"/>
      <w:bookmarkStart w:id="1161" w:name="_Toc20488015"/>
      <w:bookmarkStart w:id="1162" w:name="_Toc20744630"/>
      <w:bookmarkStart w:id="1163" w:name="_Toc20754113"/>
      <w:bookmarkStart w:id="1164" w:name="_Toc20487822"/>
      <w:bookmarkStart w:id="1165" w:name="_Toc20488016"/>
      <w:bookmarkStart w:id="1166" w:name="_Toc20744631"/>
      <w:bookmarkStart w:id="1167" w:name="_Toc20754114"/>
      <w:bookmarkStart w:id="1168" w:name="_Toc20487823"/>
      <w:bookmarkStart w:id="1169" w:name="_Toc20488017"/>
      <w:bookmarkStart w:id="1170" w:name="_Toc20744632"/>
      <w:bookmarkStart w:id="1171" w:name="_Toc20754115"/>
      <w:bookmarkStart w:id="1172" w:name="_Toc20487824"/>
      <w:bookmarkStart w:id="1173" w:name="_Toc20488018"/>
      <w:bookmarkStart w:id="1174" w:name="_Toc20744633"/>
      <w:bookmarkStart w:id="1175" w:name="_Toc20754116"/>
      <w:bookmarkStart w:id="1176" w:name="_Toc20487825"/>
      <w:bookmarkStart w:id="1177" w:name="_Toc20488019"/>
      <w:bookmarkStart w:id="1178" w:name="_Toc20744634"/>
      <w:bookmarkStart w:id="1179" w:name="_Toc20754117"/>
      <w:bookmarkStart w:id="1180" w:name="_Toc20487826"/>
      <w:bookmarkStart w:id="1181" w:name="_Toc20488020"/>
      <w:bookmarkStart w:id="1182" w:name="_Toc20744635"/>
      <w:bookmarkStart w:id="1183" w:name="_Toc20754118"/>
      <w:bookmarkStart w:id="1184" w:name="_Toc20487827"/>
      <w:bookmarkStart w:id="1185" w:name="_Toc20488021"/>
      <w:bookmarkStart w:id="1186" w:name="_Toc20744636"/>
      <w:bookmarkStart w:id="1187" w:name="_Toc20754119"/>
      <w:bookmarkStart w:id="1188" w:name="_Toc20487828"/>
      <w:bookmarkStart w:id="1189" w:name="_Toc20488022"/>
      <w:bookmarkStart w:id="1190" w:name="_Toc20744637"/>
      <w:bookmarkStart w:id="1191" w:name="_Toc20754120"/>
      <w:bookmarkStart w:id="1192" w:name="_Toc20487829"/>
      <w:bookmarkStart w:id="1193" w:name="_Toc20488023"/>
      <w:bookmarkStart w:id="1194" w:name="_Toc20744638"/>
      <w:bookmarkStart w:id="1195" w:name="_Toc20754121"/>
      <w:bookmarkStart w:id="1196" w:name="_Toc20487830"/>
      <w:bookmarkStart w:id="1197" w:name="_Toc20488024"/>
      <w:bookmarkStart w:id="1198" w:name="_Toc20744639"/>
      <w:bookmarkStart w:id="1199" w:name="_Toc20754122"/>
      <w:bookmarkStart w:id="1200" w:name="_Toc20487831"/>
      <w:bookmarkStart w:id="1201" w:name="_Toc20488025"/>
      <w:bookmarkStart w:id="1202" w:name="_Toc20744640"/>
      <w:bookmarkStart w:id="1203" w:name="_Toc20754123"/>
      <w:bookmarkStart w:id="1204" w:name="_Toc20487842"/>
      <w:bookmarkStart w:id="1205" w:name="_Toc20488036"/>
      <w:bookmarkStart w:id="1206" w:name="_Toc20744651"/>
      <w:bookmarkStart w:id="1207" w:name="_Toc20754134"/>
      <w:bookmarkStart w:id="1208" w:name="_Toc20487843"/>
      <w:bookmarkStart w:id="1209" w:name="_Toc20488037"/>
      <w:bookmarkStart w:id="1210" w:name="_Toc20744652"/>
      <w:bookmarkStart w:id="1211" w:name="_Toc20754135"/>
      <w:bookmarkStart w:id="1212" w:name="_Toc20487844"/>
      <w:bookmarkStart w:id="1213" w:name="_Toc20488038"/>
      <w:bookmarkStart w:id="1214" w:name="_Toc20744653"/>
      <w:bookmarkStart w:id="1215" w:name="_Toc20754136"/>
      <w:bookmarkStart w:id="1216" w:name="_Toc20487845"/>
      <w:bookmarkStart w:id="1217" w:name="_Toc20488039"/>
      <w:bookmarkStart w:id="1218" w:name="_Toc20744654"/>
      <w:bookmarkStart w:id="1219" w:name="_Toc20754137"/>
      <w:bookmarkStart w:id="1220" w:name="_Toc20487846"/>
      <w:bookmarkStart w:id="1221" w:name="_Toc20488040"/>
      <w:bookmarkStart w:id="1222" w:name="_Toc20744655"/>
      <w:bookmarkStart w:id="1223" w:name="_Toc20754138"/>
      <w:bookmarkStart w:id="1224" w:name="_Toc20487847"/>
      <w:bookmarkStart w:id="1225" w:name="_Toc20488041"/>
      <w:bookmarkStart w:id="1226" w:name="_Toc20744656"/>
      <w:bookmarkStart w:id="1227" w:name="_Toc20754139"/>
      <w:bookmarkStart w:id="1228" w:name="_Toc20487848"/>
      <w:bookmarkStart w:id="1229" w:name="_Toc20488042"/>
      <w:bookmarkStart w:id="1230" w:name="_Toc20744657"/>
      <w:bookmarkStart w:id="1231" w:name="_Toc20754140"/>
      <w:bookmarkStart w:id="1232" w:name="_Toc20487849"/>
      <w:bookmarkStart w:id="1233" w:name="_Toc20488043"/>
      <w:bookmarkStart w:id="1234" w:name="_Toc20744658"/>
      <w:bookmarkStart w:id="1235" w:name="_Toc20754141"/>
      <w:bookmarkStart w:id="1236" w:name="_Toc20487850"/>
      <w:bookmarkStart w:id="1237" w:name="_Toc20488044"/>
      <w:bookmarkStart w:id="1238" w:name="_Toc20744659"/>
      <w:bookmarkStart w:id="1239" w:name="_Toc20754142"/>
      <w:bookmarkStart w:id="1240" w:name="_Toc20487851"/>
      <w:bookmarkStart w:id="1241" w:name="_Toc20488045"/>
      <w:bookmarkStart w:id="1242" w:name="_Toc20744660"/>
      <w:bookmarkStart w:id="1243" w:name="_Toc20754143"/>
      <w:bookmarkStart w:id="1244" w:name="_Toc20487852"/>
      <w:bookmarkStart w:id="1245" w:name="_Toc20488046"/>
      <w:bookmarkStart w:id="1246" w:name="_Toc20744661"/>
      <w:bookmarkStart w:id="1247" w:name="_Toc20754144"/>
      <w:bookmarkStart w:id="1248" w:name="_Toc20487853"/>
      <w:bookmarkStart w:id="1249" w:name="_Toc20488047"/>
      <w:bookmarkStart w:id="1250" w:name="_Toc20744662"/>
      <w:bookmarkStart w:id="1251" w:name="_Toc20754145"/>
      <w:bookmarkStart w:id="1252" w:name="_Toc20487854"/>
      <w:bookmarkStart w:id="1253" w:name="_Toc20488048"/>
      <w:bookmarkStart w:id="1254" w:name="_Toc20744663"/>
      <w:bookmarkStart w:id="1255" w:name="_Toc20754146"/>
      <w:bookmarkStart w:id="1256" w:name="_Toc20487855"/>
      <w:bookmarkStart w:id="1257" w:name="_Toc20488049"/>
      <w:bookmarkStart w:id="1258" w:name="_Toc20744664"/>
      <w:bookmarkStart w:id="1259" w:name="_Toc20754147"/>
      <w:bookmarkStart w:id="1260" w:name="_Toc20487856"/>
      <w:bookmarkStart w:id="1261" w:name="_Toc20488050"/>
      <w:bookmarkStart w:id="1262" w:name="_Toc20744665"/>
      <w:bookmarkStart w:id="1263" w:name="_Toc20754148"/>
      <w:bookmarkStart w:id="1264" w:name="_Toc20487857"/>
      <w:bookmarkStart w:id="1265" w:name="_Toc20488051"/>
      <w:bookmarkStart w:id="1266" w:name="_Toc20744666"/>
      <w:bookmarkStart w:id="1267" w:name="_Toc20754149"/>
      <w:bookmarkStart w:id="1268" w:name="_Toc20487858"/>
      <w:bookmarkStart w:id="1269" w:name="_Toc20488052"/>
      <w:bookmarkStart w:id="1270" w:name="_Toc20744667"/>
      <w:bookmarkStart w:id="1271" w:name="_Toc20754150"/>
      <w:bookmarkStart w:id="1272" w:name="_Toc20487859"/>
      <w:bookmarkStart w:id="1273" w:name="_Toc20488053"/>
      <w:bookmarkStart w:id="1274" w:name="_Toc20744668"/>
      <w:bookmarkStart w:id="1275" w:name="_Toc20754151"/>
      <w:bookmarkStart w:id="1276" w:name="_Toc20487860"/>
      <w:bookmarkStart w:id="1277" w:name="_Toc20488054"/>
      <w:bookmarkStart w:id="1278" w:name="_Toc20744669"/>
      <w:bookmarkStart w:id="1279" w:name="_Toc20754152"/>
      <w:bookmarkStart w:id="1280" w:name="_Toc20380994"/>
      <w:bookmarkStart w:id="1281" w:name="_Toc20484740"/>
      <w:bookmarkStart w:id="1282" w:name="_Toc20484985"/>
      <w:bookmarkStart w:id="1283" w:name="_Toc20487861"/>
      <w:bookmarkStart w:id="1284" w:name="_Toc20488055"/>
      <w:bookmarkStart w:id="1285" w:name="_Toc20744670"/>
      <w:bookmarkStart w:id="1286" w:name="_Toc20754153"/>
      <w:bookmarkStart w:id="1287" w:name="_Toc20380995"/>
      <w:bookmarkStart w:id="1288" w:name="_Toc20484741"/>
      <w:bookmarkStart w:id="1289" w:name="_Toc20484986"/>
      <w:bookmarkStart w:id="1290" w:name="_Toc20487862"/>
      <w:bookmarkStart w:id="1291" w:name="_Toc20488056"/>
      <w:bookmarkStart w:id="1292" w:name="_Toc20744671"/>
      <w:bookmarkStart w:id="1293" w:name="_Toc20754154"/>
      <w:bookmarkStart w:id="1294" w:name="_Toc20380996"/>
      <w:bookmarkStart w:id="1295" w:name="_Toc20484742"/>
      <w:bookmarkStart w:id="1296" w:name="_Toc20484987"/>
      <w:bookmarkStart w:id="1297" w:name="_Toc20487863"/>
      <w:bookmarkStart w:id="1298" w:name="_Toc20488057"/>
      <w:bookmarkStart w:id="1299" w:name="_Toc20744672"/>
      <w:bookmarkStart w:id="1300" w:name="_Toc20754155"/>
      <w:bookmarkStart w:id="1301" w:name="_Toc20487864"/>
      <w:bookmarkStart w:id="1302" w:name="_Toc20488058"/>
      <w:bookmarkStart w:id="1303" w:name="_Toc20744673"/>
      <w:bookmarkStart w:id="1304" w:name="_Toc20754156"/>
      <w:bookmarkStart w:id="1305" w:name="_Toc20487865"/>
      <w:bookmarkStart w:id="1306" w:name="_Toc20488059"/>
      <w:bookmarkStart w:id="1307" w:name="_Toc20744674"/>
      <w:bookmarkStart w:id="1308" w:name="_Toc20754157"/>
      <w:bookmarkStart w:id="1309" w:name="_Toc20487866"/>
      <w:bookmarkStart w:id="1310" w:name="_Toc20488060"/>
      <w:bookmarkStart w:id="1311" w:name="_Toc20744675"/>
      <w:bookmarkStart w:id="1312" w:name="_Toc20754158"/>
      <w:bookmarkStart w:id="1313" w:name="_Toc20487867"/>
      <w:bookmarkStart w:id="1314" w:name="_Toc20488061"/>
      <w:bookmarkStart w:id="1315" w:name="_Toc20744676"/>
      <w:bookmarkStart w:id="1316" w:name="_Toc20754159"/>
      <w:bookmarkStart w:id="1317" w:name="_Toc20487868"/>
      <w:bookmarkStart w:id="1318" w:name="_Toc20488062"/>
      <w:bookmarkStart w:id="1319" w:name="_Toc20744677"/>
      <w:bookmarkStart w:id="1320" w:name="_Toc20754160"/>
      <w:bookmarkStart w:id="1321" w:name="_Toc20487869"/>
      <w:bookmarkStart w:id="1322" w:name="_Toc20488063"/>
      <w:bookmarkStart w:id="1323" w:name="_Toc20744678"/>
      <w:bookmarkStart w:id="1324" w:name="_Toc20754161"/>
      <w:bookmarkStart w:id="1325" w:name="_Toc20487870"/>
      <w:bookmarkStart w:id="1326" w:name="_Toc20488064"/>
      <w:bookmarkStart w:id="1327" w:name="_Toc20744679"/>
      <w:bookmarkStart w:id="1328" w:name="_Toc20754162"/>
      <w:bookmarkStart w:id="1329" w:name="_Toc20487871"/>
      <w:bookmarkStart w:id="1330" w:name="_Toc20488065"/>
      <w:bookmarkStart w:id="1331" w:name="_Toc20744680"/>
      <w:bookmarkStart w:id="1332" w:name="_Toc20754163"/>
      <w:bookmarkStart w:id="1333" w:name="_Toc20487872"/>
      <w:bookmarkStart w:id="1334" w:name="_Toc20488066"/>
      <w:bookmarkStart w:id="1335" w:name="_Toc20744681"/>
      <w:bookmarkStart w:id="1336" w:name="_Toc20754164"/>
      <w:bookmarkStart w:id="1337" w:name="_Toc20487873"/>
      <w:bookmarkStart w:id="1338" w:name="_Toc20488067"/>
      <w:bookmarkStart w:id="1339" w:name="_Toc20744682"/>
      <w:bookmarkStart w:id="1340" w:name="_Toc20754165"/>
      <w:bookmarkStart w:id="1341" w:name="_Toc20487874"/>
      <w:bookmarkStart w:id="1342" w:name="_Toc20488068"/>
      <w:bookmarkStart w:id="1343" w:name="_Toc20744683"/>
      <w:bookmarkStart w:id="1344" w:name="_Toc20754166"/>
      <w:bookmarkStart w:id="1345" w:name="_Toc20487875"/>
      <w:bookmarkStart w:id="1346" w:name="_Toc20488069"/>
      <w:bookmarkStart w:id="1347" w:name="_Toc20744684"/>
      <w:bookmarkStart w:id="1348" w:name="_Toc20754167"/>
      <w:bookmarkStart w:id="1349" w:name="_Toc20487876"/>
      <w:bookmarkStart w:id="1350" w:name="_Toc20488070"/>
      <w:bookmarkStart w:id="1351" w:name="_Toc20744685"/>
      <w:bookmarkStart w:id="1352" w:name="_Toc20754168"/>
      <w:bookmarkStart w:id="1353" w:name="_Toc20484744"/>
      <w:bookmarkStart w:id="1354" w:name="_Toc20484989"/>
      <w:bookmarkStart w:id="1355" w:name="_Toc20487877"/>
      <w:bookmarkStart w:id="1356" w:name="_Toc20488071"/>
      <w:bookmarkStart w:id="1357" w:name="_Toc20744686"/>
      <w:bookmarkStart w:id="1358" w:name="_Toc20754169"/>
      <w:bookmarkStart w:id="1359" w:name="_Toc20487878"/>
      <w:bookmarkStart w:id="1360" w:name="_Toc20488072"/>
      <w:bookmarkStart w:id="1361" w:name="_Toc20744687"/>
      <w:bookmarkStart w:id="1362" w:name="_Toc20754170"/>
      <w:bookmarkStart w:id="1363" w:name="_Toc20487879"/>
      <w:bookmarkStart w:id="1364" w:name="_Toc20488073"/>
      <w:bookmarkStart w:id="1365" w:name="_Toc20744688"/>
      <w:bookmarkStart w:id="1366" w:name="_Toc20754171"/>
      <w:bookmarkStart w:id="1367" w:name="_Toc20487880"/>
      <w:bookmarkStart w:id="1368" w:name="_Toc20488074"/>
      <w:bookmarkStart w:id="1369" w:name="_Toc20744689"/>
      <w:bookmarkStart w:id="1370" w:name="_Toc20754172"/>
      <w:bookmarkStart w:id="1371" w:name="_Toc20487881"/>
      <w:bookmarkStart w:id="1372" w:name="_Toc20488075"/>
      <w:bookmarkStart w:id="1373" w:name="_Toc20744690"/>
      <w:bookmarkStart w:id="1374" w:name="_Toc20754173"/>
      <w:bookmarkStart w:id="1375" w:name="_Toc20487882"/>
      <w:bookmarkStart w:id="1376" w:name="_Toc20488076"/>
      <w:bookmarkStart w:id="1377" w:name="_Toc20744691"/>
      <w:bookmarkStart w:id="1378" w:name="_Toc20754174"/>
      <w:bookmarkStart w:id="1379" w:name="_Toc20487883"/>
      <w:bookmarkStart w:id="1380" w:name="_Toc20488077"/>
      <w:bookmarkStart w:id="1381" w:name="_Toc20744692"/>
      <w:bookmarkStart w:id="1382" w:name="_Toc20754175"/>
      <w:bookmarkStart w:id="1383" w:name="_Toc20487884"/>
      <w:bookmarkStart w:id="1384" w:name="_Toc20488078"/>
      <w:bookmarkStart w:id="1385" w:name="_Toc20744693"/>
      <w:bookmarkStart w:id="1386" w:name="_Toc20754176"/>
      <w:bookmarkStart w:id="1387" w:name="_Toc20487885"/>
      <w:bookmarkStart w:id="1388" w:name="_Toc20488079"/>
      <w:bookmarkStart w:id="1389" w:name="_Toc20744694"/>
      <w:bookmarkStart w:id="1390" w:name="_Toc20754177"/>
      <w:bookmarkStart w:id="1391" w:name="_Toc20487886"/>
      <w:bookmarkStart w:id="1392" w:name="_Toc20488080"/>
      <w:bookmarkStart w:id="1393" w:name="_Toc20744695"/>
      <w:bookmarkStart w:id="1394" w:name="_Toc20754178"/>
      <w:bookmarkStart w:id="1395" w:name="_Toc20487887"/>
      <w:bookmarkStart w:id="1396" w:name="_Toc20488081"/>
      <w:bookmarkStart w:id="1397" w:name="_Toc20744696"/>
      <w:bookmarkStart w:id="1398" w:name="_Toc20754179"/>
      <w:bookmarkStart w:id="1399" w:name="_Toc20487888"/>
      <w:bookmarkStart w:id="1400" w:name="_Toc20488082"/>
      <w:bookmarkStart w:id="1401" w:name="_Toc20744697"/>
      <w:bookmarkStart w:id="1402" w:name="_Toc20754180"/>
      <w:bookmarkStart w:id="1403" w:name="_Toc20487889"/>
      <w:bookmarkStart w:id="1404" w:name="_Toc20488083"/>
      <w:bookmarkStart w:id="1405" w:name="_Toc20744698"/>
      <w:bookmarkStart w:id="1406" w:name="_Toc20754181"/>
      <w:bookmarkStart w:id="1407" w:name="_Toc20487890"/>
      <w:bookmarkStart w:id="1408" w:name="_Toc20488084"/>
      <w:bookmarkStart w:id="1409" w:name="_Toc20744699"/>
      <w:bookmarkStart w:id="1410" w:name="_Toc20754182"/>
      <w:bookmarkStart w:id="1411" w:name="_Toc20487891"/>
      <w:bookmarkStart w:id="1412" w:name="_Toc20488085"/>
      <w:bookmarkStart w:id="1413" w:name="_Toc20744700"/>
      <w:bookmarkStart w:id="1414" w:name="_Toc20754183"/>
      <w:bookmarkStart w:id="1415" w:name="_Toc20487892"/>
      <w:bookmarkStart w:id="1416" w:name="_Toc20488086"/>
      <w:bookmarkStart w:id="1417" w:name="_Toc20744701"/>
      <w:bookmarkStart w:id="1418" w:name="_Toc20754184"/>
      <w:bookmarkStart w:id="1419" w:name="_Toc20487893"/>
      <w:bookmarkStart w:id="1420" w:name="_Toc20488087"/>
      <w:bookmarkStart w:id="1421" w:name="_Toc20744702"/>
      <w:bookmarkStart w:id="1422" w:name="_Toc20754185"/>
      <w:bookmarkStart w:id="1423" w:name="_Toc20487894"/>
      <w:bookmarkStart w:id="1424" w:name="_Toc20488088"/>
      <w:bookmarkStart w:id="1425" w:name="_Toc20744703"/>
      <w:bookmarkStart w:id="1426" w:name="_Toc20754186"/>
      <w:bookmarkStart w:id="1427" w:name="_Toc20487895"/>
      <w:bookmarkStart w:id="1428" w:name="_Toc20488089"/>
      <w:bookmarkStart w:id="1429" w:name="_Toc20744704"/>
      <w:bookmarkStart w:id="1430" w:name="_Toc20754187"/>
      <w:bookmarkStart w:id="1431" w:name="_Toc20487896"/>
      <w:bookmarkStart w:id="1432" w:name="_Toc20488090"/>
      <w:bookmarkStart w:id="1433" w:name="_Toc20744705"/>
      <w:bookmarkStart w:id="1434" w:name="_Toc20754188"/>
      <w:bookmarkStart w:id="1435" w:name="_Toc20487897"/>
      <w:bookmarkStart w:id="1436" w:name="_Toc20488091"/>
      <w:bookmarkStart w:id="1437" w:name="_Toc20744706"/>
      <w:bookmarkStart w:id="1438" w:name="_Toc20754189"/>
      <w:bookmarkStart w:id="1439" w:name="_Toc20487898"/>
      <w:bookmarkStart w:id="1440" w:name="_Toc20488092"/>
      <w:bookmarkStart w:id="1441" w:name="_Toc20744707"/>
      <w:bookmarkStart w:id="1442" w:name="_Toc20754190"/>
      <w:bookmarkStart w:id="1443" w:name="_Toc20380999"/>
      <w:bookmarkStart w:id="1444" w:name="_Toc20484746"/>
      <w:bookmarkStart w:id="1445" w:name="_Toc20484991"/>
      <w:bookmarkStart w:id="1446" w:name="_Toc20487899"/>
      <w:bookmarkStart w:id="1447" w:name="_Toc20488093"/>
      <w:bookmarkStart w:id="1448" w:name="_Toc20744708"/>
      <w:bookmarkStart w:id="1449" w:name="_Toc20754191"/>
      <w:bookmarkStart w:id="1450" w:name="_Toc20381000"/>
      <w:bookmarkStart w:id="1451" w:name="_Toc20484747"/>
      <w:bookmarkStart w:id="1452" w:name="_Toc20484992"/>
      <w:bookmarkStart w:id="1453" w:name="_Toc20487900"/>
      <w:bookmarkStart w:id="1454" w:name="_Toc20488094"/>
      <w:bookmarkStart w:id="1455" w:name="_Toc20744709"/>
      <w:bookmarkStart w:id="1456" w:name="_Toc20754192"/>
      <w:bookmarkStart w:id="1457" w:name="_Toc20487901"/>
      <w:bookmarkStart w:id="1458" w:name="_Toc20488095"/>
      <w:bookmarkStart w:id="1459" w:name="_Toc20744710"/>
      <w:bookmarkStart w:id="1460" w:name="_Toc20754193"/>
      <w:bookmarkStart w:id="1461" w:name="_Toc20487902"/>
      <w:bookmarkStart w:id="1462" w:name="_Toc20488096"/>
      <w:bookmarkStart w:id="1463" w:name="_Toc20744711"/>
      <w:bookmarkStart w:id="1464" w:name="_Toc20754194"/>
      <w:bookmarkStart w:id="1465" w:name="_Toc20487903"/>
      <w:bookmarkStart w:id="1466" w:name="_Toc20488097"/>
      <w:bookmarkStart w:id="1467" w:name="_Toc20744712"/>
      <w:bookmarkStart w:id="1468" w:name="_Toc20754195"/>
      <w:bookmarkStart w:id="1469" w:name="_Toc20487904"/>
      <w:bookmarkStart w:id="1470" w:name="_Toc20488098"/>
      <w:bookmarkStart w:id="1471" w:name="_Toc20744713"/>
      <w:bookmarkStart w:id="1472" w:name="_Toc20754196"/>
      <w:bookmarkStart w:id="1473" w:name="_Toc20487905"/>
      <w:bookmarkStart w:id="1474" w:name="_Toc20488099"/>
      <w:bookmarkStart w:id="1475" w:name="_Toc20744714"/>
      <w:bookmarkStart w:id="1476" w:name="_Toc20754197"/>
      <w:bookmarkStart w:id="1477" w:name="_Toc20487906"/>
      <w:bookmarkStart w:id="1478" w:name="_Toc20488100"/>
      <w:bookmarkStart w:id="1479" w:name="_Toc20744715"/>
      <w:bookmarkStart w:id="1480" w:name="_Toc20754198"/>
      <w:bookmarkStart w:id="1481" w:name="_Toc20487907"/>
      <w:bookmarkStart w:id="1482" w:name="_Toc20488101"/>
      <w:bookmarkStart w:id="1483" w:name="_Toc20744716"/>
      <w:bookmarkStart w:id="1484" w:name="_Toc20754199"/>
      <w:bookmarkStart w:id="1485" w:name="_Toc20487908"/>
      <w:bookmarkStart w:id="1486" w:name="_Toc20488102"/>
      <w:bookmarkStart w:id="1487" w:name="_Toc20744717"/>
      <w:bookmarkStart w:id="1488" w:name="_Toc20754200"/>
      <w:bookmarkStart w:id="1489" w:name="_Toc20487909"/>
      <w:bookmarkStart w:id="1490" w:name="_Toc20488103"/>
      <w:bookmarkStart w:id="1491" w:name="_Toc20744718"/>
      <w:bookmarkStart w:id="1492" w:name="_Toc20754201"/>
      <w:bookmarkStart w:id="1493" w:name="_Toc20487910"/>
      <w:bookmarkStart w:id="1494" w:name="_Toc20488104"/>
      <w:bookmarkStart w:id="1495" w:name="_Toc20744719"/>
      <w:bookmarkStart w:id="1496" w:name="_Toc20754202"/>
      <w:bookmarkStart w:id="1497" w:name="_Toc20487911"/>
      <w:bookmarkStart w:id="1498" w:name="_Toc20488105"/>
      <w:bookmarkStart w:id="1499" w:name="_Toc20744720"/>
      <w:bookmarkStart w:id="1500" w:name="_Toc20754203"/>
      <w:bookmarkStart w:id="1501" w:name="_Toc20487912"/>
      <w:bookmarkStart w:id="1502" w:name="_Toc20488106"/>
      <w:bookmarkStart w:id="1503" w:name="_Toc20744721"/>
      <w:bookmarkStart w:id="1504" w:name="_Toc20754204"/>
      <w:bookmarkStart w:id="1505" w:name="_Toc20487913"/>
      <w:bookmarkStart w:id="1506" w:name="_Toc20488107"/>
      <w:bookmarkStart w:id="1507" w:name="_Toc20744722"/>
      <w:bookmarkStart w:id="1508" w:name="_Toc20754205"/>
      <w:bookmarkStart w:id="1509" w:name="_Toc20487914"/>
      <w:bookmarkStart w:id="1510" w:name="_Toc20488108"/>
      <w:bookmarkStart w:id="1511" w:name="_Toc20744723"/>
      <w:bookmarkStart w:id="1512" w:name="_Toc20754206"/>
      <w:bookmarkStart w:id="1513" w:name="_Toc20487915"/>
      <w:bookmarkStart w:id="1514" w:name="_Toc20488109"/>
      <w:bookmarkStart w:id="1515" w:name="_Toc20744724"/>
      <w:bookmarkStart w:id="1516" w:name="_Toc20754207"/>
      <w:bookmarkStart w:id="1517" w:name="_Toc20487916"/>
      <w:bookmarkStart w:id="1518" w:name="_Toc20488110"/>
      <w:bookmarkStart w:id="1519" w:name="_Toc20744725"/>
      <w:bookmarkStart w:id="1520" w:name="_Toc20754208"/>
      <w:bookmarkStart w:id="1521" w:name="_Toc20487917"/>
      <w:bookmarkStart w:id="1522" w:name="_Toc20488111"/>
      <w:bookmarkStart w:id="1523" w:name="_Toc20744726"/>
      <w:bookmarkStart w:id="1524" w:name="_Toc20754209"/>
      <w:bookmarkStart w:id="1525" w:name="_Toc20487918"/>
      <w:bookmarkStart w:id="1526" w:name="_Toc20488112"/>
      <w:bookmarkStart w:id="1527" w:name="_Toc20744727"/>
      <w:bookmarkStart w:id="1528" w:name="_Toc20754210"/>
      <w:bookmarkStart w:id="1529" w:name="_Toc20487919"/>
      <w:bookmarkStart w:id="1530" w:name="_Toc20488113"/>
      <w:bookmarkStart w:id="1531" w:name="_Toc20744728"/>
      <w:bookmarkStart w:id="1532" w:name="_Toc20754211"/>
      <w:bookmarkStart w:id="1533" w:name="_Toc20487920"/>
      <w:bookmarkStart w:id="1534" w:name="_Toc20488114"/>
      <w:bookmarkStart w:id="1535" w:name="_Toc20744729"/>
      <w:bookmarkStart w:id="1536" w:name="_Toc20754212"/>
      <w:bookmarkStart w:id="1537" w:name="_Toc20487921"/>
      <w:bookmarkStart w:id="1538" w:name="_Toc20488115"/>
      <w:bookmarkStart w:id="1539" w:name="_Toc20744730"/>
      <w:bookmarkStart w:id="1540" w:name="_Toc20754213"/>
      <w:bookmarkStart w:id="1541" w:name="_Toc20487922"/>
      <w:bookmarkStart w:id="1542" w:name="_Toc20488116"/>
      <w:bookmarkStart w:id="1543" w:name="_Toc20744731"/>
      <w:bookmarkStart w:id="1544" w:name="_Toc20754214"/>
      <w:bookmarkStart w:id="1545" w:name="_Toc20487923"/>
      <w:bookmarkStart w:id="1546" w:name="_Toc20488117"/>
      <w:bookmarkStart w:id="1547" w:name="_Toc20744732"/>
      <w:bookmarkStart w:id="1548" w:name="_Toc20754215"/>
      <w:bookmarkStart w:id="1549" w:name="_Toc20487924"/>
      <w:bookmarkStart w:id="1550" w:name="_Toc20488118"/>
      <w:bookmarkStart w:id="1551" w:name="_Toc20744733"/>
      <w:bookmarkStart w:id="1552" w:name="_Toc20754216"/>
      <w:bookmarkStart w:id="1553" w:name="_Toc20487925"/>
      <w:bookmarkStart w:id="1554" w:name="_Toc20488119"/>
      <w:bookmarkStart w:id="1555" w:name="_Toc20744734"/>
      <w:bookmarkStart w:id="1556" w:name="_Toc20754217"/>
      <w:bookmarkStart w:id="1557" w:name="_Toc20381003"/>
      <w:bookmarkStart w:id="1558" w:name="_Toc20484750"/>
      <w:bookmarkStart w:id="1559" w:name="_Toc20484995"/>
      <w:bookmarkStart w:id="1560" w:name="_Toc20487926"/>
      <w:bookmarkStart w:id="1561" w:name="_Toc20488120"/>
      <w:bookmarkStart w:id="1562" w:name="_Toc20744735"/>
      <w:bookmarkStart w:id="1563" w:name="_Toc20754218"/>
      <w:bookmarkStart w:id="1564" w:name="_Toc20124193"/>
      <w:bookmarkStart w:id="1565" w:name="_Toc20124982"/>
      <w:bookmarkStart w:id="1566" w:name="_Toc20127036"/>
      <w:bookmarkStart w:id="1567" w:name="_Toc20381004"/>
      <w:bookmarkStart w:id="1568" w:name="_Toc20484751"/>
      <w:bookmarkStart w:id="1569" w:name="_Toc20484996"/>
      <w:bookmarkStart w:id="1570" w:name="_Toc20487927"/>
      <w:bookmarkStart w:id="1571" w:name="_Toc20488121"/>
      <w:bookmarkStart w:id="1572" w:name="_Toc20744736"/>
      <w:bookmarkStart w:id="1573" w:name="_Toc20754219"/>
      <w:bookmarkStart w:id="1574" w:name="_Toc20487928"/>
      <w:bookmarkStart w:id="1575" w:name="_Toc20488122"/>
      <w:bookmarkStart w:id="1576" w:name="_Toc20744737"/>
      <w:bookmarkStart w:id="1577" w:name="_Toc20754220"/>
      <w:bookmarkStart w:id="1578" w:name="_Toc20487929"/>
      <w:bookmarkStart w:id="1579" w:name="_Toc20488123"/>
      <w:bookmarkStart w:id="1580" w:name="_Toc20744738"/>
      <w:bookmarkStart w:id="1581" w:name="_Toc20754221"/>
      <w:bookmarkStart w:id="1582" w:name="_Toc20487930"/>
      <w:bookmarkStart w:id="1583" w:name="_Toc20488124"/>
      <w:bookmarkStart w:id="1584" w:name="_Toc20744739"/>
      <w:bookmarkStart w:id="1585" w:name="_Toc20754222"/>
      <w:bookmarkStart w:id="1586" w:name="_Toc20487931"/>
      <w:bookmarkStart w:id="1587" w:name="_Toc20488125"/>
      <w:bookmarkStart w:id="1588" w:name="_Toc20744740"/>
      <w:bookmarkStart w:id="1589" w:name="_Toc20754223"/>
      <w:bookmarkStart w:id="1590" w:name="_Toc20487932"/>
      <w:bookmarkStart w:id="1591" w:name="_Toc20488126"/>
      <w:bookmarkStart w:id="1592" w:name="_Toc20744741"/>
      <w:bookmarkStart w:id="1593" w:name="_Toc20754224"/>
      <w:bookmarkStart w:id="1594" w:name="_Toc20487933"/>
      <w:bookmarkStart w:id="1595" w:name="_Toc20488127"/>
      <w:bookmarkStart w:id="1596" w:name="_Toc20744742"/>
      <w:bookmarkStart w:id="1597" w:name="_Toc20754225"/>
      <w:bookmarkStart w:id="1598" w:name="_Toc20487934"/>
      <w:bookmarkStart w:id="1599" w:name="_Toc20488128"/>
      <w:bookmarkStart w:id="1600" w:name="_Toc20744743"/>
      <w:bookmarkStart w:id="1601" w:name="_Toc20754226"/>
      <w:bookmarkStart w:id="1602" w:name="_Toc20487935"/>
      <w:bookmarkStart w:id="1603" w:name="_Toc20488129"/>
      <w:bookmarkStart w:id="1604" w:name="_Toc20744744"/>
      <w:bookmarkStart w:id="1605" w:name="_Toc20754227"/>
      <w:bookmarkStart w:id="1606" w:name="_Toc20487936"/>
      <w:bookmarkStart w:id="1607" w:name="_Toc20488130"/>
      <w:bookmarkStart w:id="1608" w:name="_Toc20744745"/>
      <w:bookmarkStart w:id="1609" w:name="_Toc20754228"/>
      <w:bookmarkStart w:id="1610" w:name="_Toc20487937"/>
      <w:bookmarkStart w:id="1611" w:name="_Toc20488131"/>
      <w:bookmarkStart w:id="1612" w:name="_Toc20744746"/>
      <w:bookmarkStart w:id="1613" w:name="_Toc20754229"/>
      <w:bookmarkStart w:id="1614" w:name="_Toc20487938"/>
      <w:bookmarkStart w:id="1615" w:name="_Toc20488132"/>
      <w:bookmarkStart w:id="1616" w:name="_Toc20744747"/>
      <w:bookmarkStart w:id="1617" w:name="_Toc20754230"/>
      <w:bookmarkStart w:id="1618" w:name="_Toc20487939"/>
      <w:bookmarkStart w:id="1619" w:name="_Toc20488133"/>
      <w:bookmarkStart w:id="1620" w:name="_Toc20744748"/>
      <w:bookmarkStart w:id="1621" w:name="_Toc20754231"/>
      <w:bookmarkStart w:id="1622" w:name="_Toc20487940"/>
      <w:bookmarkStart w:id="1623" w:name="_Toc20488134"/>
      <w:bookmarkStart w:id="1624" w:name="_Toc20744749"/>
      <w:bookmarkStart w:id="1625" w:name="_Toc20754232"/>
      <w:bookmarkStart w:id="1626" w:name="_Toc20487941"/>
      <w:bookmarkStart w:id="1627" w:name="_Toc20488135"/>
      <w:bookmarkStart w:id="1628" w:name="_Toc20744750"/>
      <w:bookmarkStart w:id="1629" w:name="_Toc20754233"/>
      <w:bookmarkStart w:id="1630" w:name="_Toc20487942"/>
      <w:bookmarkStart w:id="1631" w:name="_Toc20488136"/>
      <w:bookmarkStart w:id="1632" w:name="_Toc20744751"/>
      <w:bookmarkStart w:id="1633" w:name="_Toc20754234"/>
      <w:bookmarkStart w:id="1634" w:name="_Toc20487943"/>
      <w:bookmarkStart w:id="1635" w:name="_Toc20488137"/>
      <w:bookmarkStart w:id="1636" w:name="_Toc20744752"/>
      <w:bookmarkStart w:id="1637" w:name="_Toc20754235"/>
      <w:bookmarkStart w:id="1638" w:name="_Toc20487944"/>
      <w:bookmarkStart w:id="1639" w:name="_Toc20488138"/>
      <w:bookmarkStart w:id="1640" w:name="_Toc20744753"/>
      <w:bookmarkStart w:id="1641" w:name="_Toc20754236"/>
      <w:bookmarkStart w:id="1642" w:name="_Toc20487945"/>
      <w:bookmarkStart w:id="1643" w:name="_Toc20488139"/>
      <w:bookmarkStart w:id="1644" w:name="_Toc20744754"/>
      <w:bookmarkStart w:id="1645" w:name="_Toc20754237"/>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E718BD4" w14:textId="6342E6F8" w:rsidR="00FB27D8" w:rsidRDefault="00FB27D8" w:rsidP="00D93256">
      <w:pPr>
        <w:pStyle w:val="STPR2BodyText"/>
        <w:sectPr w:rsidR="00FB27D8" w:rsidSect="00AD1BAC">
          <w:pgSz w:w="11906" w:h="16838" w:code="9"/>
          <w:pgMar w:top="1701" w:right="1134" w:bottom="1134" w:left="1134" w:header="454" w:footer="567" w:gutter="0"/>
          <w:cols w:space="720"/>
          <w:noEndnote/>
          <w:docGrid w:linePitch="299"/>
        </w:sectPr>
      </w:pPr>
    </w:p>
    <w:p w14:paraId="5DE988A8" w14:textId="75BC4CCC" w:rsidR="000C6958" w:rsidRDefault="000C6958" w:rsidP="00FB27D8">
      <w:pPr>
        <w:pStyle w:val="Heading1"/>
      </w:pPr>
      <w:bookmarkStart w:id="1646" w:name="_Toc81993603"/>
      <w:bookmarkStart w:id="1647" w:name="_Ref90564533"/>
      <w:bookmarkStart w:id="1648" w:name="_Ref90564550"/>
      <w:bookmarkStart w:id="1649" w:name="_Ref90564645"/>
      <w:bookmarkStart w:id="1650" w:name="_Ref90565066"/>
      <w:bookmarkStart w:id="1651" w:name="_Ref90565110"/>
      <w:bookmarkStart w:id="1652" w:name="_Ref90565117"/>
      <w:bookmarkStart w:id="1653" w:name="_Ref90642790"/>
      <w:bookmarkStart w:id="1654" w:name="_Toc121339129"/>
      <w:r>
        <w:lastRenderedPageBreak/>
        <w:t xml:space="preserve">The Approach to the </w:t>
      </w:r>
      <w:r w:rsidRPr="00EF172D">
        <w:t>Assessment</w:t>
      </w:r>
      <w:bookmarkEnd w:id="1646"/>
      <w:bookmarkEnd w:id="1647"/>
      <w:bookmarkEnd w:id="1648"/>
      <w:bookmarkEnd w:id="1649"/>
      <w:bookmarkEnd w:id="1650"/>
      <w:bookmarkEnd w:id="1651"/>
      <w:bookmarkEnd w:id="1652"/>
      <w:bookmarkEnd w:id="1653"/>
      <w:bookmarkEnd w:id="1654"/>
      <w:r>
        <w:t xml:space="preserve"> </w:t>
      </w:r>
    </w:p>
    <w:p w14:paraId="632C6FB1" w14:textId="1FDAEF4D" w:rsidR="000C6958" w:rsidRPr="00814AC3" w:rsidRDefault="000C6958" w:rsidP="00FB27D8">
      <w:pPr>
        <w:pStyle w:val="Heading2"/>
      </w:pPr>
      <w:bookmarkStart w:id="1655" w:name="_Toc81993604"/>
      <w:bookmarkStart w:id="1656" w:name="_Toc121339130"/>
      <w:r w:rsidRPr="001F034F">
        <w:t>Assessment</w:t>
      </w:r>
      <w:r w:rsidRPr="00814AC3">
        <w:t xml:space="preserve"> </w:t>
      </w:r>
      <w:r w:rsidRPr="00FB27D8">
        <w:t>Overview</w:t>
      </w:r>
      <w:bookmarkEnd w:id="1655"/>
      <w:bookmarkEnd w:id="1656"/>
    </w:p>
    <w:p w14:paraId="51F9C9C3" w14:textId="2588510C" w:rsidR="000C6958" w:rsidRPr="001F2222" w:rsidRDefault="000C6958" w:rsidP="00D93256">
      <w:pPr>
        <w:pStyle w:val="STPR2BodyText"/>
      </w:pPr>
      <w:r w:rsidRPr="001F2222">
        <w:t xml:space="preserve">The SEA process </w:t>
      </w:r>
      <w:r w:rsidR="005313B9">
        <w:t>provides</w:t>
      </w:r>
      <w:r w:rsidRPr="001F2222">
        <w:t xml:space="preserve"> robust inputs to consider in</w:t>
      </w:r>
      <w:r>
        <w:t xml:space="preserve"> the</w:t>
      </w:r>
      <w:r w:rsidRPr="001F2222">
        <w:t xml:space="preserve"> ‘Environment’ criterion within wider STAG appraisal. It is considered that this</w:t>
      </w:r>
      <w:r>
        <w:t xml:space="preserve"> is the</w:t>
      </w:r>
      <w:r w:rsidRPr="001F2222">
        <w:t xml:space="preserve"> best way to ensure SEA influence throughout the development of </w:t>
      </w:r>
      <w:r w:rsidR="00DF69B7" w:rsidRPr="00DF69B7">
        <w:t xml:space="preserve">the </w:t>
      </w:r>
      <w:r w:rsidRPr="001F2222">
        <w:t xml:space="preserve">STPR2 and </w:t>
      </w:r>
      <w:r>
        <w:t>has also facilitated</w:t>
      </w:r>
      <w:r w:rsidRPr="001F2222">
        <w:t xml:space="preserve"> the identification and assessment of reasonable alternatives </w:t>
      </w:r>
      <w:r w:rsidRPr="006B3A59">
        <w:t>at each stage</w:t>
      </w:r>
      <w:r w:rsidR="003623D5">
        <w:t xml:space="preserve"> of the STAG process</w:t>
      </w:r>
      <w:r w:rsidRPr="001F2222">
        <w:t>.</w:t>
      </w:r>
    </w:p>
    <w:p w14:paraId="76BE102F" w14:textId="4165C983" w:rsidR="000C6958" w:rsidRDefault="000C6958" w:rsidP="00D93256">
      <w:pPr>
        <w:pStyle w:val="STPR2BodyText"/>
      </w:pPr>
      <w:r w:rsidRPr="001F2222">
        <w:t>The SEA process and programme</w:t>
      </w:r>
      <w:r>
        <w:t xml:space="preserve"> aligns</w:t>
      </w:r>
      <w:r w:rsidRPr="001F2222">
        <w:t xml:space="preserve"> with the EQIA </w:t>
      </w:r>
      <w:r>
        <w:t xml:space="preserve">(and related assessments, described in </w:t>
      </w:r>
      <w:r w:rsidRPr="005A0801">
        <w:rPr>
          <w:b/>
        </w:rPr>
        <w:t xml:space="preserve">Section </w:t>
      </w:r>
      <w:r w:rsidR="00A02029">
        <w:rPr>
          <w:b/>
        </w:rPr>
        <w:fldChar w:fldCharType="begin"/>
      </w:r>
      <w:r w:rsidR="00A02029">
        <w:rPr>
          <w:b/>
        </w:rPr>
        <w:instrText xml:space="preserve"> REF _Ref90046937 \n \h </w:instrText>
      </w:r>
      <w:r w:rsidR="00A02029">
        <w:rPr>
          <w:b/>
        </w:rPr>
      </w:r>
      <w:r w:rsidR="00A02029">
        <w:rPr>
          <w:b/>
        </w:rPr>
        <w:fldChar w:fldCharType="separate"/>
      </w:r>
      <w:r w:rsidR="00C22A9E">
        <w:rPr>
          <w:b/>
        </w:rPr>
        <w:t>1.3</w:t>
      </w:r>
      <w:r w:rsidR="00A02029">
        <w:rPr>
          <w:b/>
        </w:rPr>
        <w:fldChar w:fldCharType="end"/>
      </w:r>
      <w:r>
        <w:t xml:space="preserve">) </w:t>
      </w:r>
      <w:r w:rsidRPr="001F2222">
        <w:t xml:space="preserve">and </w:t>
      </w:r>
      <w:r>
        <w:t>in some cases matches</w:t>
      </w:r>
      <w:r w:rsidRPr="001F2222">
        <w:t xml:space="preserve"> the approach used for bo</w:t>
      </w:r>
      <w:r>
        <w:t>th</w:t>
      </w:r>
      <w:r w:rsidRPr="001F2222">
        <w:t xml:space="preserve"> the NTS2 SEA and </w:t>
      </w:r>
      <w:r w:rsidR="00BF178D" w:rsidRPr="00BF178D">
        <w:t xml:space="preserve">the </w:t>
      </w:r>
      <w:r w:rsidRPr="001F2222">
        <w:t>NPF4 SEA to ensure con</w:t>
      </w:r>
      <w:r>
        <w:t>sistency</w:t>
      </w:r>
      <w:r w:rsidR="007F780D">
        <w:t>.</w:t>
      </w:r>
      <w:r w:rsidDel="007F780D">
        <w:t xml:space="preserve"> </w:t>
      </w:r>
      <w:r w:rsidR="007F780D">
        <w:t>F</w:t>
      </w:r>
      <w:r>
        <w:t xml:space="preserve">or example, </w:t>
      </w:r>
      <w:r w:rsidR="00BF178D" w:rsidRPr="00BF178D">
        <w:t xml:space="preserve">the </w:t>
      </w:r>
      <w:r>
        <w:t>NPF4 also produced an Integrated Impact Assessment progress update in November 2020</w:t>
      </w:r>
      <w:r w:rsidRPr="001F2222">
        <w:t xml:space="preserve">. </w:t>
      </w:r>
    </w:p>
    <w:p w14:paraId="416458B9" w14:textId="3D3C907A" w:rsidR="00F452F9" w:rsidRDefault="00F452F9" w:rsidP="00D93256">
      <w:pPr>
        <w:pStyle w:val="STPR2BodyText"/>
      </w:pPr>
      <w:r>
        <w:t xml:space="preserve">Due to the high importance of </w:t>
      </w:r>
      <w:r w:rsidR="00990AB8">
        <w:t>the climate change topic, the importance of greenhouse gas emissions in the transport sector and the need to achieve net</w:t>
      </w:r>
      <w:r w:rsidR="00E71185">
        <w:t xml:space="preserve"> zero targets (as set out in </w:t>
      </w:r>
      <w:r w:rsidR="00A02029" w:rsidRPr="00A02029">
        <w:rPr>
          <w:b/>
          <w:bCs/>
        </w:rPr>
        <w:t>S</w:t>
      </w:r>
      <w:r w:rsidR="00E71185" w:rsidRPr="00A02029">
        <w:rPr>
          <w:b/>
          <w:bCs/>
        </w:rPr>
        <w:t xml:space="preserve">ection </w:t>
      </w:r>
      <w:r w:rsidR="00A02029" w:rsidRPr="00A02029">
        <w:rPr>
          <w:b/>
          <w:bCs/>
        </w:rPr>
        <w:fldChar w:fldCharType="begin"/>
      </w:r>
      <w:r w:rsidR="00A02029" w:rsidRPr="00A02029">
        <w:rPr>
          <w:b/>
          <w:bCs/>
        </w:rPr>
        <w:instrText xml:space="preserve"> REF _Ref90046970 \n \h </w:instrText>
      </w:r>
      <w:r w:rsidR="00A02029">
        <w:rPr>
          <w:b/>
          <w:bCs/>
        </w:rPr>
        <w:instrText xml:space="preserve"> \* MERGEFORMAT </w:instrText>
      </w:r>
      <w:r w:rsidR="00A02029" w:rsidRPr="00A02029">
        <w:rPr>
          <w:b/>
          <w:bCs/>
        </w:rPr>
      </w:r>
      <w:r w:rsidR="00A02029" w:rsidRPr="00A02029">
        <w:rPr>
          <w:b/>
          <w:bCs/>
        </w:rPr>
        <w:fldChar w:fldCharType="separate"/>
      </w:r>
      <w:r w:rsidR="00C22A9E" w:rsidRPr="00C22A9E">
        <w:rPr>
          <w:b/>
        </w:rPr>
        <w:t>3.3</w:t>
      </w:r>
      <w:r w:rsidR="00A02029" w:rsidRPr="00A02029">
        <w:rPr>
          <w:b/>
          <w:bCs/>
        </w:rPr>
        <w:fldChar w:fldCharType="end"/>
      </w:r>
      <w:r w:rsidR="00E71185">
        <w:t xml:space="preserve">), the </w:t>
      </w:r>
      <w:r w:rsidR="00AC55AE">
        <w:t>specific SEA approach for carbon is also discussed in this chapter.</w:t>
      </w:r>
    </w:p>
    <w:p w14:paraId="747FCCD0" w14:textId="25D7513F" w:rsidR="000C6958" w:rsidRPr="00814AC3" w:rsidRDefault="000C6958" w:rsidP="00FB27D8">
      <w:pPr>
        <w:pStyle w:val="Heading2"/>
      </w:pPr>
      <w:bookmarkStart w:id="1657" w:name="_Toc81993605"/>
      <w:bookmarkStart w:id="1658" w:name="_Ref90047050"/>
      <w:bookmarkStart w:id="1659" w:name="_Ref90047323"/>
      <w:bookmarkStart w:id="1660" w:name="_Toc121339131"/>
      <w:r w:rsidRPr="00814AC3">
        <w:t xml:space="preserve">Scope </w:t>
      </w:r>
      <w:r w:rsidRPr="00FB27D8">
        <w:t>of</w:t>
      </w:r>
      <w:r w:rsidRPr="00814AC3">
        <w:t xml:space="preserve"> </w:t>
      </w:r>
      <w:r w:rsidRPr="001F034F">
        <w:t>Assessment</w:t>
      </w:r>
      <w:bookmarkEnd w:id="1657"/>
      <w:bookmarkEnd w:id="1658"/>
      <w:bookmarkEnd w:id="1659"/>
      <w:bookmarkEnd w:id="1660"/>
    </w:p>
    <w:p w14:paraId="25C716A7" w14:textId="77D107A3" w:rsidR="003141DC" w:rsidRPr="003141DC" w:rsidRDefault="000C6958" w:rsidP="00D93256">
      <w:pPr>
        <w:pStyle w:val="STPR2BodyText"/>
      </w:pPr>
      <w:r w:rsidRPr="00737715">
        <w:t xml:space="preserve">Following the baseline and </w:t>
      </w:r>
      <w:r>
        <w:t>PPS</w:t>
      </w:r>
      <w:r w:rsidRPr="00737715">
        <w:t xml:space="preserve"> review</w:t>
      </w:r>
      <w:r>
        <w:t>,</w:t>
      </w:r>
      <w:r w:rsidRPr="00737715">
        <w:t xml:space="preserve"> it was determined that </w:t>
      </w:r>
      <w:r>
        <w:t>there could be</w:t>
      </w:r>
      <w:r w:rsidRPr="00EA00ED">
        <w:t xml:space="preserve"> positive and/ or negative </w:t>
      </w:r>
      <w:r w:rsidR="00E47DB4">
        <w:t>effe</w:t>
      </w:r>
      <w:r w:rsidR="00E47DB4" w:rsidRPr="004F5EEB">
        <w:t>cts</w:t>
      </w:r>
      <w:r>
        <w:t xml:space="preserve"> on</w:t>
      </w:r>
      <w:r w:rsidRPr="00EA00ED">
        <w:t xml:space="preserve"> </w:t>
      </w:r>
      <w:r w:rsidRPr="00737715">
        <w:t>all of the SEA topics</w:t>
      </w:r>
      <w:r>
        <w:t xml:space="preserve">. As a result, they </w:t>
      </w:r>
      <w:r w:rsidR="001D6669">
        <w:t xml:space="preserve">were </w:t>
      </w:r>
      <w:r>
        <w:t>all</w:t>
      </w:r>
      <w:r w:rsidRPr="00EA00ED">
        <w:t xml:space="preserve"> scop</w:t>
      </w:r>
      <w:r>
        <w:t>ed</w:t>
      </w:r>
      <w:r w:rsidRPr="00EA00ED">
        <w:t xml:space="preserve"> into the assessment</w:t>
      </w:r>
      <w:r w:rsidR="009D10C7">
        <w:t>. The SEA topics and their justification for inclusion in the scope of the SEA is</w:t>
      </w:r>
      <w:r>
        <w:t xml:space="preserve"> shown in </w:t>
      </w:r>
      <w:r w:rsidR="007A20DA">
        <w:rPr>
          <w:b/>
        </w:rPr>
        <w:fldChar w:fldCharType="begin"/>
      </w:r>
      <w:r w:rsidR="007A20DA">
        <w:instrText xml:space="preserve"> REF _Ref92969888 \h </w:instrText>
      </w:r>
      <w:r w:rsidR="007A20DA">
        <w:rPr>
          <w:b/>
        </w:rPr>
      </w:r>
      <w:r w:rsidR="007A20DA">
        <w:rPr>
          <w:b/>
        </w:rPr>
        <w:fldChar w:fldCharType="separate"/>
      </w:r>
      <w:r w:rsidR="00C22A9E" w:rsidRPr="008A4B52">
        <w:t xml:space="preserve">Table </w:t>
      </w:r>
      <w:r w:rsidR="00C22A9E">
        <w:rPr>
          <w:noProof/>
        </w:rPr>
        <w:t>2</w:t>
      </w:r>
      <w:r w:rsidR="007A20DA">
        <w:rPr>
          <w:b/>
        </w:rPr>
        <w:fldChar w:fldCharType="end"/>
      </w:r>
      <w:r w:rsidR="009D10C7">
        <w:rPr>
          <w:b/>
        </w:rPr>
        <w:t>.</w:t>
      </w:r>
      <w:r w:rsidR="007A20DA">
        <w:rPr>
          <w:b/>
        </w:rPr>
        <w:t xml:space="preserve"> </w:t>
      </w:r>
      <w:r w:rsidR="005321B5" w:rsidRPr="00C9454B">
        <w:t>This table was presented in the Scoping Report</w:t>
      </w:r>
      <w:r w:rsidR="00FC4627">
        <w:t xml:space="preserve"> </w:t>
      </w:r>
      <w:r w:rsidR="00FC4627" w:rsidRPr="00FC4627">
        <w:t xml:space="preserve">(Jacobs </w:t>
      </w:r>
      <w:r w:rsidR="007F59CB">
        <w:t>AECOM</w:t>
      </w:r>
      <w:r w:rsidR="00FC4627" w:rsidRPr="00FC4627">
        <w:t>, 2019)</w:t>
      </w:r>
      <w:r w:rsidR="005321B5" w:rsidRPr="00C9454B">
        <w:t xml:space="preserve"> and </w:t>
      </w:r>
      <w:r w:rsidR="00297EBA" w:rsidRPr="00C9454B">
        <w:t xml:space="preserve">reflects comments made through the </w:t>
      </w:r>
      <w:r w:rsidR="00C9454B" w:rsidRPr="00C9454B">
        <w:t xml:space="preserve">scoping consultation responses provided in </w:t>
      </w:r>
      <w:r w:rsidR="00C9454B" w:rsidRPr="00082538">
        <w:rPr>
          <w:b/>
          <w:bCs/>
        </w:rPr>
        <w:t>Appendix E</w:t>
      </w:r>
      <w:r w:rsidR="00331C82">
        <w:rPr>
          <w:b/>
          <w:bCs/>
        </w:rPr>
        <w:t xml:space="preserve"> (Consultation </w:t>
      </w:r>
      <w:r w:rsidR="005015F3">
        <w:rPr>
          <w:b/>
          <w:bCs/>
        </w:rPr>
        <w:t>Feedback</w:t>
      </w:r>
      <w:r w:rsidR="00331C82">
        <w:rPr>
          <w:b/>
          <w:bCs/>
        </w:rPr>
        <w:t>)</w:t>
      </w:r>
      <w:r w:rsidR="00C9454B" w:rsidRPr="00082538">
        <w:rPr>
          <w:b/>
          <w:bCs/>
        </w:rPr>
        <w:t>.</w:t>
      </w:r>
    </w:p>
    <w:p w14:paraId="2FF9CFFF" w14:textId="724DE2E5" w:rsidR="003141DC" w:rsidRPr="008A4B52" w:rsidRDefault="000C6958" w:rsidP="00D93256">
      <w:pPr>
        <w:pStyle w:val="STPR2Caption"/>
      </w:pPr>
      <w:bookmarkStart w:id="1661" w:name="_Ref85029217"/>
      <w:bookmarkStart w:id="1662" w:name="_Ref90566240"/>
      <w:bookmarkStart w:id="1663" w:name="_Ref92969888"/>
      <w:bookmarkStart w:id="1664" w:name="_Toc90031393"/>
      <w:bookmarkStart w:id="1665" w:name="_Toc121231973"/>
      <w:r w:rsidRPr="008A4B52">
        <w:t xml:space="preserve">Table </w:t>
      </w:r>
      <w:bookmarkEnd w:id="1661"/>
      <w:bookmarkEnd w:id="1662"/>
      <w:r w:rsidR="00E428D4">
        <w:fldChar w:fldCharType="begin"/>
      </w:r>
      <w:r w:rsidR="00E428D4">
        <w:instrText xml:space="preserve"> SEQ Table \* ARABIC </w:instrText>
      </w:r>
      <w:r w:rsidR="00E428D4">
        <w:fldChar w:fldCharType="separate"/>
      </w:r>
      <w:r w:rsidR="00C22A9E">
        <w:rPr>
          <w:noProof/>
        </w:rPr>
        <w:t>2</w:t>
      </w:r>
      <w:r w:rsidR="00E428D4">
        <w:fldChar w:fldCharType="end"/>
      </w:r>
      <w:bookmarkEnd w:id="1663"/>
      <w:r w:rsidR="003141DC" w:rsidRPr="008A4B52">
        <w:t>: Scoping of SEA Topics</w:t>
      </w:r>
      <w:bookmarkEnd w:id="1664"/>
      <w:bookmarkEnd w:id="1665"/>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74"/>
        <w:gridCol w:w="1351"/>
        <w:gridCol w:w="6503"/>
      </w:tblGrid>
      <w:tr w:rsidR="00FB27D8" w:rsidRPr="00FB27D8" w14:paraId="3B27816C" w14:textId="77777777" w:rsidTr="00FB27D8">
        <w:trPr>
          <w:cantSplit/>
          <w:tblHeader/>
        </w:trPr>
        <w:tc>
          <w:tcPr>
            <w:tcW w:w="0" w:type="auto"/>
            <w:tcBorders>
              <w:bottom w:val="single" w:sz="18" w:space="0" w:color="FFFFFF" w:themeColor="background1"/>
            </w:tcBorders>
            <w:shd w:val="clear" w:color="auto" w:fill="007D55"/>
          </w:tcPr>
          <w:p w14:paraId="6F883881" w14:textId="55F062CC" w:rsidR="000C6958" w:rsidRPr="00FB27D8" w:rsidRDefault="00FB27D8" w:rsidP="00D93256">
            <w:pPr>
              <w:pStyle w:val="STPR2WhiteTableHeading"/>
            </w:pPr>
            <w:r w:rsidRPr="00FB27D8">
              <w:t>TOPIC</w:t>
            </w:r>
          </w:p>
        </w:tc>
        <w:tc>
          <w:tcPr>
            <w:tcW w:w="0" w:type="auto"/>
            <w:tcBorders>
              <w:bottom w:val="single" w:sz="18" w:space="0" w:color="FFFFFF" w:themeColor="background1"/>
            </w:tcBorders>
            <w:shd w:val="clear" w:color="auto" w:fill="007D55"/>
          </w:tcPr>
          <w:p w14:paraId="57EC90BE" w14:textId="19303C5B" w:rsidR="000C6958" w:rsidRPr="00FB27D8" w:rsidRDefault="00FB27D8" w:rsidP="00D93256">
            <w:pPr>
              <w:pStyle w:val="STPR2WhiteTableHeading"/>
            </w:pPr>
            <w:r w:rsidRPr="00FB27D8">
              <w:t>SCOPED IN/OUT</w:t>
            </w:r>
          </w:p>
        </w:tc>
        <w:tc>
          <w:tcPr>
            <w:tcW w:w="0" w:type="auto"/>
            <w:tcBorders>
              <w:bottom w:val="single" w:sz="18" w:space="0" w:color="FFFFFF" w:themeColor="background1"/>
            </w:tcBorders>
            <w:shd w:val="clear" w:color="auto" w:fill="007D55"/>
          </w:tcPr>
          <w:p w14:paraId="2979A7CF" w14:textId="2EC9B1E8" w:rsidR="000C6958" w:rsidRPr="00FB27D8" w:rsidRDefault="00FB27D8" w:rsidP="00D93256">
            <w:pPr>
              <w:pStyle w:val="STPR2WhiteTableHeading"/>
            </w:pPr>
            <w:r w:rsidRPr="00FB27D8">
              <w:t>COMMENT</w:t>
            </w:r>
          </w:p>
        </w:tc>
      </w:tr>
      <w:tr w:rsidR="000C6958" w:rsidRPr="003E6249" w14:paraId="102B072C" w14:textId="77777777" w:rsidTr="00FB27D8">
        <w:trPr>
          <w:cantSplit/>
        </w:trPr>
        <w:tc>
          <w:tcPr>
            <w:tcW w:w="0" w:type="auto"/>
            <w:shd w:val="clear" w:color="auto" w:fill="DCEDC6"/>
          </w:tcPr>
          <w:p w14:paraId="759CE22D" w14:textId="3A68E92F" w:rsidR="000C6958" w:rsidRPr="003E6249" w:rsidRDefault="000C6958" w:rsidP="00D93256">
            <w:pPr>
              <w:pStyle w:val="STPR2TableBody"/>
            </w:pPr>
            <w:r w:rsidRPr="003E6249">
              <w:t>Air Quality</w:t>
            </w:r>
            <w:r w:rsidR="00DF6ACA">
              <w:t xml:space="preserve"> </w:t>
            </w:r>
          </w:p>
        </w:tc>
        <w:tc>
          <w:tcPr>
            <w:tcW w:w="0" w:type="auto"/>
            <w:shd w:val="clear" w:color="auto" w:fill="DCEDC6"/>
          </w:tcPr>
          <w:p w14:paraId="1E9DBF4D" w14:textId="77777777" w:rsidR="000C6958" w:rsidRPr="003E6249" w:rsidRDefault="000C6958" w:rsidP="00D93256">
            <w:pPr>
              <w:pStyle w:val="STPR2TableBody"/>
              <w:rPr>
                <w:lang w:eastAsia="en-US"/>
              </w:rPr>
            </w:pPr>
            <w:r w:rsidRPr="003E6249">
              <w:t>In</w:t>
            </w:r>
          </w:p>
        </w:tc>
        <w:tc>
          <w:tcPr>
            <w:tcW w:w="0" w:type="auto"/>
            <w:shd w:val="clear" w:color="auto" w:fill="DCEDC6"/>
          </w:tcPr>
          <w:p w14:paraId="24C0B6A1" w14:textId="2698B23F" w:rsidR="000C6958" w:rsidRPr="003E6249" w:rsidRDefault="000C6958" w:rsidP="00D93256">
            <w:pPr>
              <w:pStyle w:val="STPR2TableBody"/>
              <w:rPr>
                <w:lang w:eastAsia="en-US"/>
              </w:rPr>
            </w:pPr>
            <w:r w:rsidRPr="003E6249">
              <w:t xml:space="preserve">As </w:t>
            </w:r>
            <w:r w:rsidR="00DF69B7" w:rsidRPr="00DF69B7">
              <w:t xml:space="preserve">the </w:t>
            </w:r>
            <w:r w:rsidRPr="003E6249">
              <w:t>STPR2 is transport-focused</w:t>
            </w:r>
            <w:r w:rsidR="000136CC">
              <w:t>,</w:t>
            </w:r>
            <w:r w:rsidRPr="003E6249">
              <w:t xml:space="preserve"> it has the potential to cause negative </w:t>
            </w:r>
            <w:r w:rsidR="00E47DB4">
              <w:t>effe</w:t>
            </w:r>
            <w:r w:rsidR="00E47DB4" w:rsidRPr="004F5EEB">
              <w:t>cts</w:t>
            </w:r>
            <w:r w:rsidRPr="003E6249">
              <w:t xml:space="preserve"> on air quality through transport emissions. However, it also has the opportunity to deliver significant positive </w:t>
            </w:r>
            <w:r w:rsidR="00E47DB4">
              <w:t>effe</w:t>
            </w:r>
            <w:r w:rsidR="00E47DB4" w:rsidRPr="004F5EEB">
              <w:t>cts</w:t>
            </w:r>
            <w:r w:rsidR="00E47DB4" w:rsidRPr="003E6249" w:rsidDel="00E47DB4">
              <w:t xml:space="preserve"> </w:t>
            </w:r>
            <w:r w:rsidRPr="003E6249">
              <w:t>with reduced emissions through encouraging modal shift to more sustainable, low-carbon modes of</w:t>
            </w:r>
            <w:r w:rsidR="00FF1B87">
              <w:t> </w:t>
            </w:r>
            <w:r w:rsidRPr="003E6249">
              <w:t>transport.</w:t>
            </w:r>
          </w:p>
        </w:tc>
      </w:tr>
      <w:tr w:rsidR="000C6958" w:rsidRPr="003E6249" w14:paraId="50EC4FDA" w14:textId="77777777" w:rsidTr="00FB27D8">
        <w:trPr>
          <w:cantSplit/>
        </w:trPr>
        <w:tc>
          <w:tcPr>
            <w:tcW w:w="0" w:type="auto"/>
            <w:shd w:val="clear" w:color="auto" w:fill="DCEDC6"/>
          </w:tcPr>
          <w:p w14:paraId="5DBEDDCD" w14:textId="77777777" w:rsidR="000C6958" w:rsidRPr="003E6249" w:rsidRDefault="000C6958" w:rsidP="00D93256">
            <w:pPr>
              <w:pStyle w:val="STPR2TableBody"/>
            </w:pPr>
            <w:r w:rsidRPr="003E6249">
              <w:t>Climatic Factors</w:t>
            </w:r>
          </w:p>
        </w:tc>
        <w:tc>
          <w:tcPr>
            <w:tcW w:w="0" w:type="auto"/>
            <w:shd w:val="clear" w:color="auto" w:fill="DCEDC6"/>
          </w:tcPr>
          <w:p w14:paraId="7E4FF1DD" w14:textId="77777777" w:rsidR="000C6958" w:rsidRPr="003E6249" w:rsidRDefault="000C6958" w:rsidP="00D93256">
            <w:pPr>
              <w:pStyle w:val="STPR2TableBody"/>
              <w:rPr>
                <w:lang w:eastAsia="en-US"/>
              </w:rPr>
            </w:pPr>
            <w:r w:rsidRPr="003E6249">
              <w:t>In</w:t>
            </w:r>
          </w:p>
        </w:tc>
        <w:tc>
          <w:tcPr>
            <w:tcW w:w="0" w:type="auto"/>
            <w:shd w:val="clear" w:color="auto" w:fill="DCEDC6"/>
          </w:tcPr>
          <w:p w14:paraId="5BFE96CE" w14:textId="0554A397" w:rsidR="000C6958" w:rsidRPr="003E6249" w:rsidRDefault="000C6958" w:rsidP="00D93256">
            <w:pPr>
              <w:pStyle w:val="STPR2TableBody"/>
              <w:rPr>
                <w:lang w:eastAsia="en-US"/>
              </w:rPr>
            </w:pPr>
            <w:r w:rsidRPr="003E6249">
              <w:t xml:space="preserve">As </w:t>
            </w:r>
            <w:r w:rsidR="00DF69B7" w:rsidRPr="00DF69B7">
              <w:t xml:space="preserve">the </w:t>
            </w:r>
            <w:r w:rsidRPr="003E6249">
              <w:t>STPR2 is transport-focused it has the potential to influence the future levels of greenhouse gas emissions associated with Scotland’s transport network. It also has the potential to improve the resilience of the network to the impacts of climate change.</w:t>
            </w:r>
          </w:p>
        </w:tc>
      </w:tr>
      <w:tr w:rsidR="000C6958" w:rsidRPr="003E6249" w14:paraId="5CFF6FCD" w14:textId="77777777" w:rsidTr="00FB27D8">
        <w:trPr>
          <w:cantSplit/>
        </w:trPr>
        <w:tc>
          <w:tcPr>
            <w:tcW w:w="0" w:type="auto"/>
            <w:shd w:val="clear" w:color="auto" w:fill="DCEDC6"/>
          </w:tcPr>
          <w:p w14:paraId="14C03112" w14:textId="77777777" w:rsidR="000C6958" w:rsidRPr="003E6249" w:rsidRDefault="000C6958" w:rsidP="00D93256">
            <w:pPr>
              <w:pStyle w:val="STPR2TableBody"/>
            </w:pPr>
            <w:r w:rsidRPr="003E6249">
              <w:t>Population and Human Health</w:t>
            </w:r>
          </w:p>
        </w:tc>
        <w:tc>
          <w:tcPr>
            <w:tcW w:w="0" w:type="auto"/>
            <w:shd w:val="clear" w:color="auto" w:fill="DCEDC6"/>
          </w:tcPr>
          <w:p w14:paraId="2C272EF8" w14:textId="77777777" w:rsidR="000C6958" w:rsidRPr="003E6249" w:rsidRDefault="000C6958" w:rsidP="00D93256">
            <w:pPr>
              <w:pStyle w:val="STPR2TableBody"/>
              <w:rPr>
                <w:lang w:eastAsia="en-US"/>
              </w:rPr>
            </w:pPr>
            <w:r w:rsidRPr="003E6249">
              <w:t>In</w:t>
            </w:r>
          </w:p>
        </w:tc>
        <w:tc>
          <w:tcPr>
            <w:tcW w:w="0" w:type="auto"/>
            <w:shd w:val="clear" w:color="auto" w:fill="DCEDC6"/>
          </w:tcPr>
          <w:p w14:paraId="7641B91B" w14:textId="1D4DAACE" w:rsidR="000C6958" w:rsidRPr="003E6249" w:rsidRDefault="00DF69B7" w:rsidP="00D93256">
            <w:pPr>
              <w:pStyle w:val="STPR2TableBody"/>
            </w:pPr>
            <w:r>
              <w:t xml:space="preserve">The </w:t>
            </w:r>
            <w:r w:rsidR="000C6958" w:rsidRPr="003E6249">
              <w:t xml:space="preserve">STPR2 has the opportunity to deliver significant positive </w:t>
            </w:r>
            <w:r w:rsidR="008F4F57">
              <w:t>effe</w:t>
            </w:r>
            <w:r w:rsidR="008F4F57" w:rsidRPr="004F5EEB">
              <w:t>cts</w:t>
            </w:r>
            <w:r w:rsidR="000C6958" w:rsidRPr="003E6249">
              <w:t xml:space="preserve"> on physical health through policies related to active travel and a shift to more sustainable modes of transport</w:t>
            </w:r>
            <w:r w:rsidR="007368EF">
              <w:t>.</w:t>
            </w:r>
            <w:r w:rsidR="000C6958" w:rsidRPr="003E6249">
              <w:t xml:space="preserve"> </w:t>
            </w:r>
          </w:p>
          <w:p w14:paraId="526738EB" w14:textId="50046211" w:rsidR="000C6958" w:rsidRPr="003E6249" w:rsidRDefault="00DF69B7" w:rsidP="00D93256">
            <w:pPr>
              <w:pStyle w:val="STPR2TableBody"/>
              <w:rPr>
                <w:lang w:eastAsia="en-US"/>
              </w:rPr>
            </w:pPr>
            <w:r>
              <w:t xml:space="preserve">The </w:t>
            </w:r>
            <w:r w:rsidR="000C6958" w:rsidRPr="003E6249">
              <w:t>STPR2 also has the opportunity to consider and respond to demographic changes and reduce social inequalities.</w:t>
            </w:r>
          </w:p>
        </w:tc>
      </w:tr>
      <w:tr w:rsidR="000C6958" w:rsidRPr="003E6249" w14:paraId="6937F641" w14:textId="77777777" w:rsidTr="00FB27D8">
        <w:trPr>
          <w:cantSplit/>
        </w:trPr>
        <w:tc>
          <w:tcPr>
            <w:tcW w:w="0" w:type="auto"/>
            <w:shd w:val="clear" w:color="auto" w:fill="DCEDC6"/>
          </w:tcPr>
          <w:p w14:paraId="4E7102E8" w14:textId="77777777" w:rsidR="000C6958" w:rsidRPr="003E6249" w:rsidRDefault="000C6958" w:rsidP="00D93256">
            <w:pPr>
              <w:pStyle w:val="STPR2TableBody"/>
            </w:pPr>
            <w:r w:rsidRPr="003E6249">
              <w:lastRenderedPageBreak/>
              <w:t xml:space="preserve">Cultural </w:t>
            </w:r>
            <w:r>
              <w:t>H</w:t>
            </w:r>
            <w:r w:rsidRPr="003E6249">
              <w:t>eritage</w:t>
            </w:r>
          </w:p>
        </w:tc>
        <w:tc>
          <w:tcPr>
            <w:tcW w:w="0" w:type="auto"/>
            <w:shd w:val="clear" w:color="auto" w:fill="DCEDC6"/>
          </w:tcPr>
          <w:p w14:paraId="60896CA6" w14:textId="77777777" w:rsidR="000C6958" w:rsidRPr="003E6249" w:rsidRDefault="000C6958" w:rsidP="00D93256">
            <w:pPr>
              <w:pStyle w:val="STPR2TableBody"/>
              <w:rPr>
                <w:lang w:eastAsia="en-US"/>
              </w:rPr>
            </w:pPr>
            <w:r w:rsidRPr="003E6249">
              <w:t>In</w:t>
            </w:r>
          </w:p>
        </w:tc>
        <w:tc>
          <w:tcPr>
            <w:tcW w:w="0" w:type="auto"/>
            <w:shd w:val="clear" w:color="auto" w:fill="DCEDC6"/>
          </w:tcPr>
          <w:p w14:paraId="131A0B80" w14:textId="0B604C4A" w:rsidR="000C6958" w:rsidRPr="003E6249" w:rsidRDefault="00DF69B7" w:rsidP="00D93256">
            <w:pPr>
              <w:pStyle w:val="STPR2TableBody"/>
              <w:rPr>
                <w:lang w:eastAsia="en-US"/>
              </w:rPr>
            </w:pPr>
            <w:r>
              <w:t xml:space="preserve">The </w:t>
            </w:r>
            <w:r w:rsidR="000C6958" w:rsidRPr="003E6249">
              <w:t xml:space="preserve">STPR2 has the potential to have both significant positive and negative </w:t>
            </w:r>
            <w:r w:rsidR="008F4F57">
              <w:t>effe</w:t>
            </w:r>
            <w:r w:rsidR="008F4F57" w:rsidRPr="004F5EEB">
              <w:t>cts</w:t>
            </w:r>
            <w:r w:rsidR="008F4F57" w:rsidRPr="003E6249" w:rsidDel="008F4F57">
              <w:t xml:space="preserve"> </w:t>
            </w:r>
            <w:r w:rsidR="000C6958" w:rsidRPr="003E6249">
              <w:t xml:space="preserve">on designated or undesignated heritage assets – for example, through the implementation of physical transport interventions in proximity to them. It also has the potential to have positive </w:t>
            </w:r>
            <w:r w:rsidR="008F4F57">
              <w:t>effe</w:t>
            </w:r>
            <w:r w:rsidR="008F4F57" w:rsidRPr="004F5EEB">
              <w:t>cts</w:t>
            </w:r>
            <w:r w:rsidR="000C6958" w:rsidRPr="003E6249">
              <w:t xml:space="preserve"> on improv</w:t>
            </w:r>
            <w:r w:rsidR="00C61979">
              <w:t>ing</w:t>
            </w:r>
            <w:r w:rsidR="000C6958" w:rsidRPr="003E6249">
              <w:t xml:space="preserve"> access to and understanding of the historic environment. </w:t>
            </w:r>
          </w:p>
        </w:tc>
      </w:tr>
      <w:tr w:rsidR="000C6958" w:rsidRPr="003E6249" w14:paraId="69267D98" w14:textId="77777777" w:rsidTr="00FB27D8">
        <w:trPr>
          <w:cantSplit/>
        </w:trPr>
        <w:tc>
          <w:tcPr>
            <w:tcW w:w="0" w:type="auto"/>
            <w:shd w:val="clear" w:color="auto" w:fill="DCEDC6"/>
          </w:tcPr>
          <w:p w14:paraId="22EF03C4" w14:textId="77777777" w:rsidR="000C6958" w:rsidRPr="003E6249" w:rsidRDefault="000C6958" w:rsidP="00D93256">
            <w:pPr>
              <w:pStyle w:val="STPR2TableBody"/>
            </w:pPr>
            <w:r w:rsidRPr="003E6249">
              <w:t>Material Assets</w:t>
            </w:r>
          </w:p>
        </w:tc>
        <w:tc>
          <w:tcPr>
            <w:tcW w:w="0" w:type="auto"/>
            <w:shd w:val="clear" w:color="auto" w:fill="DCEDC6"/>
          </w:tcPr>
          <w:p w14:paraId="46703C1C" w14:textId="77777777" w:rsidR="000C6958" w:rsidRPr="003E6249" w:rsidRDefault="000C6958" w:rsidP="00D93256">
            <w:pPr>
              <w:pStyle w:val="STPR2TableBody"/>
            </w:pPr>
            <w:r w:rsidRPr="003E6249">
              <w:t>In</w:t>
            </w:r>
          </w:p>
        </w:tc>
        <w:tc>
          <w:tcPr>
            <w:tcW w:w="0" w:type="auto"/>
            <w:shd w:val="clear" w:color="auto" w:fill="DCEDC6"/>
          </w:tcPr>
          <w:p w14:paraId="5ABEEA11" w14:textId="714F7080" w:rsidR="000C6958" w:rsidRPr="003E6249" w:rsidRDefault="00DF69B7" w:rsidP="00D93256">
            <w:pPr>
              <w:pStyle w:val="STPR2TableBody"/>
            </w:pPr>
            <w:r>
              <w:t xml:space="preserve">The </w:t>
            </w:r>
            <w:r w:rsidR="000C6958" w:rsidRPr="003E6249">
              <w:t xml:space="preserve">STPR2 has potential to have significant positive </w:t>
            </w:r>
            <w:r w:rsidR="008F4F57">
              <w:t>effe</w:t>
            </w:r>
            <w:r w:rsidR="008F4F57" w:rsidRPr="004F5EEB">
              <w:t>cts</w:t>
            </w:r>
            <w:r w:rsidR="000C6958" w:rsidRPr="003E6249">
              <w:t xml:space="preserve"> on existing transport infrastructure and green infrastructure through policies that reduce the need to travel, encourage a modal shift to more sustainable modes of transport or otherwise influence the environmental impacts of the transport network. Any physical interventions on the ground will also have implications for mineral, aggregate and fossil fuel resources. </w:t>
            </w:r>
          </w:p>
        </w:tc>
      </w:tr>
      <w:tr w:rsidR="000C6958" w:rsidRPr="003E6249" w14:paraId="43FB203C" w14:textId="77777777" w:rsidTr="00FB27D8">
        <w:trPr>
          <w:cantSplit/>
        </w:trPr>
        <w:tc>
          <w:tcPr>
            <w:tcW w:w="0" w:type="auto"/>
            <w:shd w:val="clear" w:color="auto" w:fill="DCEDC6"/>
          </w:tcPr>
          <w:p w14:paraId="04AD0DE2" w14:textId="77777777" w:rsidR="000C6958" w:rsidRPr="003E6249" w:rsidRDefault="000C6958" w:rsidP="00D93256">
            <w:pPr>
              <w:pStyle w:val="STPR2TableBody"/>
            </w:pPr>
            <w:r w:rsidRPr="003E6249">
              <w:t xml:space="preserve">Landscape </w:t>
            </w:r>
          </w:p>
        </w:tc>
        <w:tc>
          <w:tcPr>
            <w:tcW w:w="0" w:type="auto"/>
            <w:shd w:val="clear" w:color="auto" w:fill="DCEDC6"/>
          </w:tcPr>
          <w:p w14:paraId="7DFA4C86" w14:textId="77777777" w:rsidR="000C6958" w:rsidRPr="003E6249" w:rsidRDefault="000C6958" w:rsidP="00D93256">
            <w:pPr>
              <w:pStyle w:val="STPR2TableBody"/>
            </w:pPr>
            <w:r w:rsidRPr="003E6249">
              <w:t>In</w:t>
            </w:r>
          </w:p>
        </w:tc>
        <w:tc>
          <w:tcPr>
            <w:tcW w:w="0" w:type="auto"/>
            <w:shd w:val="clear" w:color="auto" w:fill="DCEDC6"/>
          </w:tcPr>
          <w:p w14:paraId="06569E14" w14:textId="2CC767AA" w:rsidR="000C6958" w:rsidRPr="003E6249" w:rsidRDefault="00DF69B7" w:rsidP="00D93256">
            <w:pPr>
              <w:pStyle w:val="STPR2TableBody"/>
            </w:pPr>
            <w:r>
              <w:t xml:space="preserve">The </w:t>
            </w:r>
            <w:r w:rsidR="000C6958" w:rsidRPr="003E6249">
              <w:t xml:space="preserve">STPR2 has the potential to have both significant positive and negative </w:t>
            </w:r>
            <w:r w:rsidR="001561BA">
              <w:t>effe</w:t>
            </w:r>
            <w:r w:rsidR="001561BA" w:rsidRPr="004F5EEB">
              <w:t>cts</w:t>
            </w:r>
            <w:r w:rsidR="000C6958" w:rsidRPr="003E6249">
              <w:t xml:space="preserve"> on designated or undesignated landscapes, for example through the implementation of physical transport interventions in proximity to them.</w:t>
            </w:r>
          </w:p>
        </w:tc>
      </w:tr>
      <w:tr w:rsidR="000C6958" w:rsidRPr="003E6249" w14:paraId="04DC14B8" w14:textId="77777777" w:rsidTr="00FB27D8">
        <w:trPr>
          <w:cantSplit/>
        </w:trPr>
        <w:tc>
          <w:tcPr>
            <w:tcW w:w="0" w:type="auto"/>
            <w:shd w:val="clear" w:color="auto" w:fill="DCEDC6"/>
          </w:tcPr>
          <w:p w14:paraId="141075C4" w14:textId="77777777" w:rsidR="000C6958" w:rsidRPr="003E6249" w:rsidRDefault="000C6958" w:rsidP="00D93256">
            <w:pPr>
              <w:pStyle w:val="STPR2TableBody"/>
            </w:pPr>
            <w:r w:rsidRPr="003E6249">
              <w:t>Water</w:t>
            </w:r>
          </w:p>
        </w:tc>
        <w:tc>
          <w:tcPr>
            <w:tcW w:w="0" w:type="auto"/>
            <w:shd w:val="clear" w:color="auto" w:fill="DCEDC6"/>
          </w:tcPr>
          <w:p w14:paraId="56829D1E" w14:textId="77777777" w:rsidR="000C6958" w:rsidRPr="003E6249" w:rsidRDefault="000C6958" w:rsidP="00D93256">
            <w:pPr>
              <w:pStyle w:val="STPR2TableBody"/>
            </w:pPr>
            <w:r w:rsidRPr="003E6249">
              <w:t xml:space="preserve">In </w:t>
            </w:r>
          </w:p>
        </w:tc>
        <w:tc>
          <w:tcPr>
            <w:tcW w:w="0" w:type="auto"/>
            <w:shd w:val="clear" w:color="auto" w:fill="DCEDC6"/>
          </w:tcPr>
          <w:p w14:paraId="6BD27B96" w14:textId="736AF3E2" w:rsidR="000C6958" w:rsidRPr="003E6249" w:rsidRDefault="00DF69B7" w:rsidP="00D93256">
            <w:pPr>
              <w:pStyle w:val="STPR2TableBody"/>
            </w:pPr>
            <w:r>
              <w:t xml:space="preserve">The </w:t>
            </w:r>
            <w:r w:rsidR="000C6958" w:rsidRPr="003E6249">
              <w:t xml:space="preserve">STPR2 has potential to have a positive </w:t>
            </w:r>
            <w:r w:rsidR="001561BA">
              <w:t>effe</w:t>
            </w:r>
            <w:r w:rsidR="001561BA" w:rsidRPr="004F5EEB">
              <w:t>ct</w:t>
            </w:r>
            <w:r w:rsidR="000C6958" w:rsidRPr="003E6249">
              <w:t xml:space="preserve"> on resilience/ flood protection measures for existing and proposed transport infrastructure, for example through interventions that improve the use of Sustainable Drainage Systems on the transport network or increase green infrastructure that could aid pollutant filtration.</w:t>
            </w:r>
          </w:p>
        </w:tc>
      </w:tr>
      <w:tr w:rsidR="000C6958" w:rsidRPr="003E6249" w14:paraId="2F79B7E7" w14:textId="77777777" w:rsidTr="00FB27D8">
        <w:trPr>
          <w:cantSplit/>
        </w:trPr>
        <w:tc>
          <w:tcPr>
            <w:tcW w:w="0" w:type="auto"/>
            <w:shd w:val="clear" w:color="auto" w:fill="DCEDC6"/>
          </w:tcPr>
          <w:p w14:paraId="0A1387A0" w14:textId="77777777" w:rsidR="000C6958" w:rsidRPr="003E6249" w:rsidRDefault="000C6958" w:rsidP="00D93256">
            <w:pPr>
              <w:pStyle w:val="STPR2TableBody"/>
            </w:pPr>
            <w:r w:rsidRPr="003E6249">
              <w:t>Biodiversity, Flora &amp; Fauna</w:t>
            </w:r>
          </w:p>
        </w:tc>
        <w:tc>
          <w:tcPr>
            <w:tcW w:w="0" w:type="auto"/>
            <w:shd w:val="clear" w:color="auto" w:fill="DCEDC6"/>
          </w:tcPr>
          <w:p w14:paraId="2A46C21E" w14:textId="77777777" w:rsidR="000C6958" w:rsidRPr="003E6249" w:rsidRDefault="000C6958" w:rsidP="00D93256">
            <w:pPr>
              <w:pStyle w:val="STPR2TableBody"/>
            </w:pPr>
            <w:r w:rsidRPr="003E6249">
              <w:t xml:space="preserve">In </w:t>
            </w:r>
          </w:p>
        </w:tc>
        <w:tc>
          <w:tcPr>
            <w:tcW w:w="0" w:type="auto"/>
            <w:shd w:val="clear" w:color="auto" w:fill="DCEDC6"/>
          </w:tcPr>
          <w:p w14:paraId="7791CD31" w14:textId="55483E35" w:rsidR="000C6958" w:rsidRPr="003E6249" w:rsidRDefault="00DF69B7" w:rsidP="00D93256">
            <w:pPr>
              <w:pStyle w:val="STPR2TableBody"/>
            </w:pPr>
            <w:r>
              <w:t xml:space="preserve">The </w:t>
            </w:r>
            <w:r w:rsidR="000C6958" w:rsidRPr="003E6249">
              <w:t xml:space="preserve">STPR2 has the potential to have both significant positive and negative </w:t>
            </w:r>
            <w:r w:rsidR="001759E6">
              <w:t>effe</w:t>
            </w:r>
            <w:r w:rsidR="001759E6" w:rsidRPr="004F5EEB">
              <w:t>cts</w:t>
            </w:r>
            <w:r w:rsidR="000C6958" w:rsidRPr="003E6249">
              <w:t xml:space="preserve"> on designated or undesignated biodiversity sites</w:t>
            </w:r>
            <w:r w:rsidR="003A70FA">
              <w:t>. F</w:t>
            </w:r>
            <w:r w:rsidR="000C6958" w:rsidRPr="003E6249">
              <w:t xml:space="preserve">or example, through the implementation of physical transport interventions in proximity to them. </w:t>
            </w:r>
          </w:p>
        </w:tc>
      </w:tr>
      <w:tr w:rsidR="000C6958" w:rsidRPr="003E6249" w14:paraId="35087534" w14:textId="77777777" w:rsidTr="00FB27D8">
        <w:trPr>
          <w:cantSplit/>
        </w:trPr>
        <w:tc>
          <w:tcPr>
            <w:tcW w:w="0" w:type="auto"/>
            <w:shd w:val="clear" w:color="auto" w:fill="DCEDC6"/>
          </w:tcPr>
          <w:p w14:paraId="6B90F05B" w14:textId="77777777" w:rsidR="000C6958" w:rsidRPr="003E6249" w:rsidRDefault="000C6958" w:rsidP="00D93256">
            <w:pPr>
              <w:pStyle w:val="STPR2TableBody"/>
            </w:pPr>
            <w:r w:rsidRPr="003E6249">
              <w:lastRenderedPageBreak/>
              <w:t xml:space="preserve">Soil </w:t>
            </w:r>
          </w:p>
        </w:tc>
        <w:tc>
          <w:tcPr>
            <w:tcW w:w="0" w:type="auto"/>
            <w:shd w:val="clear" w:color="auto" w:fill="DCEDC6"/>
          </w:tcPr>
          <w:p w14:paraId="3261D24A" w14:textId="77777777" w:rsidR="000C6958" w:rsidRPr="003E6249" w:rsidRDefault="000C6958" w:rsidP="00D93256">
            <w:pPr>
              <w:pStyle w:val="STPR2TableBody"/>
            </w:pPr>
            <w:r w:rsidRPr="003E6249">
              <w:t>In</w:t>
            </w:r>
          </w:p>
        </w:tc>
        <w:tc>
          <w:tcPr>
            <w:tcW w:w="0" w:type="auto"/>
            <w:shd w:val="clear" w:color="auto" w:fill="DCEDC6"/>
          </w:tcPr>
          <w:p w14:paraId="6DCD24D7" w14:textId="1733AF95" w:rsidR="000C6958" w:rsidRPr="003E6249" w:rsidRDefault="00DF69B7" w:rsidP="00D93256">
            <w:pPr>
              <w:pStyle w:val="STPR2TableBody"/>
            </w:pPr>
            <w:r>
              <w:t xml:space="preserve">The </w:t>
            </w:r>
            <w:r w:rsidR="000C6958" w:rsidRPr="003E6249">
              <w:t xml:space="preserve">STPR2 has potential to have a positive </w:t>
            </w:r>
            <w:r w:rsidR="001759E6">
              <w:t>effe</w:t>
            </w:r>
            <w:r w:rsidR="001759E6" w:rsidRPr="004F5EEB">
              <w:t>ct</w:t>
            </w:r>
            <w:r w:rsidR="000C6958" w:rsidRPr="003E6249">
              <w:t xml:space="preserve"> on soil resources for existing and proposed transport infrastructure, for example through interventions that improve the use of Sustainable Drainage Systems on the transport network or increase green infrastructure that could aid pollutant filtration. </w:t>
            </w:r>
            <w:r>
              <w:t xml:space="preserve">The </w:t>
            </w:r>
            <w:r w:rsidR="000C6958" w:rsidRPr="003E6249">
              <w:t xml:space="preserve">STPR2 interventions could also negatively affect Scotland’s soil resources, for example causing compaction, sealing or erosion. Soil </w:t>
            </w:r>
            <w:r w:rsidR="00EF5E9D">
              <w:t xml:space="preserve">also </w:t>
            </w:r>
            <w:r w:rsidR="000C6958" w:rsidRPr="003E6249">
              <w:t>interacts with various other aspects of the environment – in particular, it supports</w:t>
            </w:r>
            <w:r w:rsidR="007171A6">
              <w:t> </w:t>
            </w:r>
            <w:r w:rsidR="000C6958" w:rsidRPr="003E6249">
              <w:t>biodiversity.</w:t>
            </w:r>
          </w:p>
          <w:p w14:paraId="720B42A4" w14:textId="77777777" w:rsidR="000C6958" w:rsidRPr="003E6249" w:rsidRDefault="000C6958" w:rsidP="00D93256">
            <w:pPr>
              <w:pStyle w:val="STPR2TableBody"/>
            </w:pPr>
            <w:r w:rsidRPr="003E6249">
              <w:t>It could also potentially promote the use of brownfield vs. greenfield sites for new transport interventions and therefore influence the environmental, agricultural and soil carbon storage implications of the interventions.</w:t>
            </w:r>
          </w:p>
        </w:tc>
      </w:tr>
    </w:tbl>
    <w:p w14:paraId="7EA14207" w14:textId="77777777" w:rsidR="00141688" w:rsidRDefault="00141688">
      <w:pPr>
        <w:rPr>
          <w:rFonts w:ascii="Arial" w:hAnsi="Arial" w:cs="Arial"/>
          <w:b/>
          <w:bCs/>
          <w:color w:val="414144"/>
          <w:sz w:val="28"/>
          <w:szCs w:val="28"/>
        </w:rPr>
      </w:pPr>
      <w:bookmarkStart w:id="1666" w:name="_Toc20898752"/>
      <w:bookmarkStart w:id="1667" w:name="_Toc20899037"/>
      <w:bookmarkStart w:id="1668" w:name="_Toc20903695"/>
      <w:bookmarkStart w:id="1669" w:name="_Toc20903807"/>
      <w:bookmarkStart w:id="1670" w:name="_Toc20903927"/>
      <w:bookmarkStart w:id="1671" w:name="_Toc21078575"/>
      <w:bookmarkStart w:id="1672" w:name="_Toc21080202"/>
      <w:bookmarkStart w:id="1673" w:name="_Toc21353821"/>
      <w:bookmarkStart w:id="1674" w:name="_Toc21354286"/>
      <w:bookmarkStart w:id="1675" w:name="_Toc21446951"/>
      <w:bookmarkStart w:id="1676" w:name="_Toc21447207"/>
      <w:bookmarkStart w:id="1677" w:name="_Toc21447321"/>
      <w:bookmarkStart w:id="1678" w:name="_Toc21447566"/>
      <w:bookmarkStart w:id="1679" w:name="_Toc21447700"/>
      <w:bookmarkStart w:id="1680" w:name="_Toc21510459"/>
      <w:bookmarkStart w:id="1681" w:name="_Toc21511061"/>
      <w:bookmarkStart w:id="1682" w:name="_Toc21523130"/>
      <w:bookmarkStart w:id="1683" w:name="_Toc20898753"/>
      <w:bookmarkStart w:id="1684" w:name="_Toc20899038"/>
      <w:bookmarkStart w:id="1685" w:name="_Toc20903696"/>
      <w:bookmarkStart w:id="1686" w:name="_Toc20903808"/>
      <w:bookmarkStart w:id="1687" w:name="_Toc20903928"/>
      <w:bookmarkStart w:id="1688" w:name="_Toc21078576"/>
      <w:bookmarkStart w:id="1689" w:name="_Toc21080203"/>
      <w:bookmarkStart w:id="1690" w:name="_Toc21353822"/>
      <w:bookmarkStart w:id="1691" w:name="_Toc21354287"/>
      <w:bookmarkStart w:id="1692" w:name="_Toc21446952"/>
      <w:bookmarkStart w:id="1693" w:name="_Toc21447208"/>
      <w:bookmarkStart w:id="1694" w:name="_Toc21447322"/>
      <w:bookmarkStart w:id="1695" w:name="_Toc21447567"/>
      <w:bookmarkStart w:id="1696" w:name="_Toc21447701"/>
      <w:bookmarkStart w:id="1697" w:name="_Toc21510460"/>
      <w:bookmarkStart w:id="1698" w:name="_Toc21511062"/>
      <w:bookmarkStart w:id="1699" w:name="_Toc21523131"/>
      <w:bookmarkStart w:id="1700" w:name="_Toc19797340"/>
      <w:bookmarkStart w:id="1701" w:name="_Toc19797393"/>
      <w:bookmarkStart w:id="1702" w:name="_Toc19797493"/>
      <w:bookmarkStart w:id="1703" w:name="_Toc19802872"/>
      <w:bookmarkStart w:id="1704" w:name="_Toc19871997"/>
      <w:bookmarkStart w:id="1705" w:name="_Toc19882180"/>
      <w:bookmarkStart w:id="1706" w:name="_Toc19882345"/>
      <w:bookmarkStart w:id="1707" w:name="_Toc19889667"/>
      <w:bookmarkStart w:id="1708" w:name="_Toc20124066"/>
      <w:bookmarkStart w:id="1709" w:name="_Toc20124198"/>
      <w:bookmarkStart w:id="1710" w:name="_Toc20124987"/>
      <w:bookmarkStart w:id="1711" w:name="_Toc20127041"/>
      <w:bookmarkStart w:id="1712" w:name="_Toc20381009"/>
      <w:bookmarkStart w:id="1713" w:name="_Toc20484756"/>
      <w:bookmarkStart w:id="1714" w:name="_Toc20485001"/>
      <w:bookmarkStart w:id="1715" w:name="_Toc20487949"/>
      <w:bookmarkStart w:id="1716" w:name="_Toc20488143"/>
      <w:bookmarkStart w:id="1717" w:name="_Toc20744758"/>
      <w:bookmarkStart w:id="1718" w:name="_Toc20754241"/>
      <w:bookmarkStart w:id="1719" w:name="_Toc20756498"/>
      <w:bookmarkStart w:id="1720" w:name="_Toc20758931"/>
      <w:bookmarkStart w:id="1721" w:name="_Toc20759004"/>
      <w:bookmarkStart w:id="1722" w:name="_Toc20759075"/>
      <w:bookmarkStart w:id="1723" w:name="_Toc20759267"/>
      <w:bookmarkStart w:id="1724" w:name="_Toc20898754"/>
      <w:bookmarkStart w:id="1725" w:name="_Toc20899039"/>
      <w:bookmarkStart w:id="1726" w:name="_Toc20903697"/>
      <w:bookmarkStart w:id="1727" w:name="_Toc20903809"/>
      <w:bookmarkStart w:id="1728" w:name="_Toc20903929"/>
      <w:bookmarkStart w:id="1729" w:name="_Toc21078577"/>
      <w:bookmarkStart w:id="1730" w:name="_Toc21080204"/>
      <w:bookmarkStart w:id="1731" w:name="_Toc21353823"/>
      <w:bookmarkStart w:id="1732" w:name="_Toc21354288"/>
      <w:bookmarkStart w:id="1733" w:name="_Toc21446953"/>
      <w:bookmarkStart w:id="1734" w:name="_Toc21447209"/>
      <w:bookmarkStart w:id="1735" w:name="_Toc21447323"/>
      <w:bookmarkStart w:id="1736" w:name="_Toc21447568"/>
      <w:bookmarkStart w:id="1737" w:name="_Toc21447702"/>
      <w:bookmarkStart w:id="1738" w:name="_Toc21510461"/>
      <w:bookmarkStart w:id="1739" w:name="_Toc21511063"/>
      <w:bookmarkStart w:id="1740" w:name="_Toc21523132"/>
      <w:bookmarkStart w:id="1741" w:name="_Toc81993606"/>
      <w:bookmarkStart w:id="1742" w:name="_Ref90046782"/>
      <w:bookmarkStart w:id="1743" w:name="_Ref90047010"/>
      <w:bookmarkStart w:id="1744" w:name="_Ref90047065"/>
      <w:bookmarkStart w:id="1745" w:name="_Ref90047293"/>
      <w:bookmarkStart w:id="1746" w:name="_Ref90565219"/>
      <w:bookmarkStart w:id="1747" w:name="_Ref90565782"/>
      <w:bookmarkStart w:id="1748" w:name="_Ref92886962"/>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br w:type="page"/>
      </w:r>
    </w:p>
    <w:p w14:paraId="303BBAA4" w14:textId="4D84E710" w:rsidR="000C6958" w:rsidRPr="008B5CFF" w:rsidRDefault="000C6958" w:rsidP="0033560A">
      <w:pPr>
        <w:pStyle w:val="Heading2"/>
      </w:pPr>
      <w:bookmarkStart w:id="1749" w:name="_Toc121339132"/>
      <w:r w:rsidRPr="008B5CFF">
        <w:lastRenderedPageBreak/>
        <w:t xml:space="preserve">SEA Objectives and </w:t>
      </w:r>
      <w:r w:rsidRPr="001F034F">
        <w:t>Assessment</w:t>
      </w:r>
      <w:r w:rsidRPr="008B5CFF">
        <w:t xml:space="preserve"> Guide Questions</w:t>
      </w:r>
      <w:bookmarkEnd w:id="1741"/>
      <w:bookmarkEnd w:id="1742"/>
      <w:bookmarkEnd w:id="1743"/>
      <w:bookmarkEnd w:id="1744"/>
      <w:bookmarkEnd w:id="1745"/>
      <w:bookmarkEnd w:id="1746"/>
      <w:bookmarkEnd w:id="1747"/>
      <w:bookmarkEnd w:id="1748"/>
      <w:bookmarkEnd w:id="1749"/>
    </w:p>
    <w:p w14:paraId="7E73E7E3" w14:textId="35FF4378" w:rsidR="000C6958" w:rsidRDefault="000C6958" w:rsidP="00D93256">
      <w:pPr>
        <w:pStyle w:val="STPR2BodyText"/>
      </w:pPr>
      <w:r w:rsidRPr="00CF3A22">
        <w:t xml:space="preserve">The SEA assessments </w:t>
      </w:r>
      <w:r>
        <w:t xml:space="preserve">have </w:t>
      </w:r>
      <w:r w:rsidR="00D53C0D">
        <w:t xml:space="preserve">been </w:t>
      </w:r>
      <w:r w:rsidR="00872495">
        <w:t>carried out using</w:t>
      </w:r>
      <w:r w:rsidRPr="00CF3A22">
        <w:t xml:space="preserve"> a set of SEA objectives and assessment criteria, that cover each of the environmental topics.</w:t>
      </w:r>
      <w:r w:rsidR="00AF4D7F">
        <w:t xml:space="preserve"> </w:t>
      </w:r>
      <w:r w:rsidR="00655DBC">
        <w:t>These</w:t>
      </w:r>
      <w:r w:rsidR="00AF4D7F">
        <w:t xml:space="preserve"> </w:t>
      </w:r>
      <w:r w:rsidR="00655DBC">
        <w:t xml:space="preserve">form </w:t>
      </w:r>
      <w:r w:rsidR="00D53C0D">
        <w:t xml:space="preserve">the </w:t>
      </w:r>
      <w:r w:rsidRPr="00CF3A22">
        <w:t>assessment</w:t>
      </w:r>
      <w:r w:rsidR="00655DBC">
        <w:t xml:space="preserve"> framework which </w:t>
      </w:r>
      <w:r w:rsidR="00E2646A">
        <w:t xml:space="preserve">has been </w:t>
      </w:r>
      <w:r w:rsidR="00655DBC">
        <w:t>use</w:t>
      </w:r>
      <w:r w:rsidR="00E2646A">
        <w:t>d</w:t>
      </w:r>
      <w:r w:rsidR="00655DBC">
        <w:t xml:space="preserve"> to </w:t>
      </w:r>
      <w:r w:rsidR="00655DBC" w:rsidRPr="00FB27D8">
        <w:t>determine</w:t>
      </w:r>
      <w:r w:rsidR="00655DBC">
        <w:t xml:space="preserve"> the likely significant effects</w:t>
      </w:r>
      <w:r w:rsidRPr="00CF3A22">
        <w:t xml:space="preserve"> </w:t>
      </w:r>
      <w:r w:rsidR="00655DBC">
        <w:t xml:space="preserve">of </w:t>
      </w:r>
      <w:r w:rsidR="00DF69B7" w:rsidRPr="00DF69B7">
        <w:t xml:space="preserve">the </w:t>
      </w:r>
      <w:r w:rsidR="00F62C1B">
        <w:t>STPR2.</w:t>
      </w:r>
      <w:r w:rsidRPr="00CF3A22">
        <w:t xml:space="preserve"> </w:t>
      </w:r>
      <w:r w:rsidRPr="0085293F">
        <w:t xml:space="preserve">The SEA objectives and assessment criteria </w:t>
      </w:r>
      <w:r w:rsidR="00AB5B05" w:rsidRPr="00CF3A22">
        <w:t>identified in</w:t>
      </w:r>
      <w:r w:rsidR="00AB5B05">
        <w:t xml:space="preserve"> </w:t>
      </w:r>
      <w:r w:rsidR="007A20DA">
        <w:rPr>
          <w:b/>
        </w:rPr>
        <w:fldChar w:fldCharType="begin"/>
      </w:r>
      <w:r w:rsidR="007A20DA">
        <w:instrText xml:space="preserve"> REF _Ref92969903 \h </w:instrText>
      </w:r>
      <w:r w:rsidR="007A20DA">
        <w:rPr>
          <w:b/>
        </w:rPr>
      </w:r>
      <w:r w:rsidR="007A20DA">
        <w:rPr>
          <w:b/>
        </w:rPr>
        <w:fldChar w:fldCharType="separate"/>
      </w:r>
      <w:r w:rsidR="00C22A9E" w:rsidRPr="008A4B52">
        <w:t xml:space="preserve">Table </w:t>
      </w:r>
      <w:r w:rsidR="00C22A9E">
        <w:rPr>
          <w:noProof/>
        </w:rPr>
        <w:t>3</w:t>
      </w:r>
      <w:r w:rsidR="007A20DA">
        <w:rPr>
          <w:b/>
        </w:rPr>
        <w:fldChar w:fldCharType="end"/>
      </w:r>
      <w:r w:rsidR="008F74DE">
        <w:rPr>
          <w:b/>
        </w:rPr>
        <w:t xml:space="preserve"> </w:t>
      </w:r>
      <w:r w:rsidRPr="0085293F">
        <w:t>have been developed from</w:t>
      </w:r>
      <w:r>
        <w:t>:</w:t>
      </w:r>
    </w:p>
    <w:p w14:paraId="3F93E627" w14:textId="2F31A667" w:rsidR="000C6958" w:rsidRPr="00806A31" w:rsidRDefault="006371F6" w:rsidP="00D93256">
      <w:pPr>
        <w:pStyle w:val="STPR2BulletsLevel1"/>
      </w:pPr>
      <w:r>
        <w:t>A</w:t>
      </w:r>
      <w:r w:rsidR="000C6958" w:rsidRPr="00806A31">
        <w:t xml:space="preserve"> comprehensive review of the baseline issues and policy requirements;</w:t>
      </w:r>
    </w:p>
    <w:p w14:paraId="27F13538" w14:textId="346F4B29" w:rsidR="000C6958" w:rsidRPr="00806A31" w:rsidRDefault="006371F6" w:rsidP="00D93256">
      <w:pPr>
        <w:pStyle w:val="STPR2BulletsLevel1"/>
      </w:pPr>
      <w:r>
        <w:t>A</w:t>
      </w:r>
      <w:r w:rsidR="000C6958" w:rsidRPr="00806A31">
        <w:t xml:space="preserve"> gap analysis review of the STAG criteria;</w:t>
      </w:r>
    </w:p>
    <w:p w14:paraId="0C624933" w14:textId="0D928653" w:rsidR="00FB0783" w:rsidRPr="00806A31" w:rsidRDefault="006371F6" w:rsidP="00D93256">
      <w:pPr>
        <w:pStyle w:val="STPR2BulletsLevel1"/>
      </w:pPr>
      <w:r>
        <w:t>R</w:t>
      </w:r>
      <w:r w:rsidR="000C6958" w:rsidRPr="00806A31">
        <w:t xml:space="preserve">ecent feedback received from the SEA Consultation Authorities (NatureScot, SEPA and HES) – </w:t>
      </w:r>
      <w:r w:rsidR="000C6958" w:rsidRPr="00806A31">
        <w:rPr>
          <w:b/>
          <w:bCs/>
        </w:rPr>
        <w:t>see Appendix E</w:t>
      </w:r>
      <w:r w:rsidR="00331C82" w:rsidRPr="00806A31">
        <w:rPr>
          <w:b/>
          <w:bCs/>
        </w:rPr>
        <w:t xml:space="preserve"> (Consultation </w:t>
      </w:r>
      <w:r w:rsidR="005015F3">
        <w:rPr>
          <w:b/>
          <w:bCs/>
        </w:rPr>
        <w:t>Feedback</w:t>
      </w:r>
      <w:r w:rsidR="00331C82" w:rsidRPr="00806A31">
        <w:rPr>
          <w:b/>
          <w:bCs/>
        </w:rPr>
        <w:t>)</w:t>
      </w:r>
      <w:r w:rsidR="000C6958" w:rsidRPr="00806A31">
        <w:rPr>
          <w:b/>
          <w:bCs/>
        </w:rPr>
        <w:t>.</w:t>
      </w:r>
      <w:r w:rsidR="000C6958" w:rsidRPr="00806A31">
        <w:t xml:space="preserve"> </w:t>
      </w:r>
    </w:p>
    <w:bookmarkStart w:id="1750" w:name="_Ref85029267"/>
    <w:p w14:paraId="0736D19E" w14:textId="0E6690D8" w:rsidR="007A026C" w:rsidRPr="00806A31" w:rsidRDefault="00FC625A" w:rsidP="00D93256">
      <w:pPr>
        <w:pStyle w:val="STPR2BodyText"/>
        <w:sectPr w:rsidR="007A026C" w:rsidRPr="00806A31" w:rsidSect="00AD1BAC">
          <w:pgSz w:w="11906" w:h="16838" w:code="9"/>
          <w:pgMar w:top="1701" w:right="1134" w:bottom="1134" w:left="1134" w:header="454" w:footer="567" w:gutter="0"/>
          <w:cols w:space="720"/>
          <w:noEndnote/>
          <w:docGrid w:linePitch="299"/>
        </w:sectPr>
      </w:pPr>
      <w:r>
        <w:rPr>
          <w:highlight w:val="yellow"/>
        </w:rPr>
        <w:fldChar w:fldCharType="begin"/>
      </w:r>
      <w:r>
        <w:instrText xml:space="preserve"> REF _Ref92969903 \h </w:instrText>
      </w:r>
      <w:r>
        <w:rPr>
          <w:highlight w:val="yellow"/>
        </w:rPr>
      </w:r>
      <w:r>
        <w:rPr>
          <w:highlight w:val="yellow"/>
        </w:rPr>
        <w:fldChar w:fldCharType="separate"/>
      </w:r>
      <w:r w:rsidR="00C22A9E" w:rsidRPr="008A4B52">
        <w:t xml:space="preserve">Table </w:t>
      </w:r>
      <w:r w:rsidR="00C22A9E">
        <w:rPr>
          <w:noProof/>
        </w:rPr>
        <w:t>3</w:t>
      </w:r>
      <w:r>
        <w:rPr>
          <w:highlight w:val="yellow"/>
        </w:rPr>
        <w:fldChar w:fldCharType="end"/>
      </w:r>
      <w:r w:rsidR="007A026C" w:rsidRPr="00806A31">
        <w:t xml:space="preserve"> </w:t>
      </w:r>
      <w:r w:rsidR="00E87FAB" w:rsidRPr="00806A31">
        <w:t xml:space="preserve">below </w:t>
      </w:r>
      <w:r w:rsidR="007A026C" w:rsidRPr="00806A31">
        <w:t xml:space="preserve">provides an overview of the SEA objectives and guide questions used to determine the likely </w:t>
      </w:r>
      <w:r w:rsidR="007A026C" w:rsidRPr="00FB27D8">
        <w:t>significant</w:t>
      </w:r>
      <w:r w:rsidR="007A026C" w:rsidRPr="00806A31">
        <w:t xml:space="preserve"> effects of </w:t>
      </w:r>
      <w:r w:rsidR="00DF69B7" w:rsidRPr="00DF69B7">
        <w:t xml:space="preserve">the </w:t>
      </w:r>
      <w:r w:rsidR="007A026C" w:rsidRPr="00806A31">
        <w:t xml:space="preserve">STPR2 according to each SEA topic, and </w:t>
      </w:r>
      <w:r w:rsidR="003206BF" w:rsidRPr="00806A31">
        <w:t xml:space="preserve">also </w:t>
      </w:r>
      <w:r w:rsidR="007A026C" w:rsidRPr="00806A31">
        <w:t>lists the overarching data sources used to aid th</w:t>
      </w:r>
      <w:r w:rsidR="00556689" w:rsidRPr="00806A31">
        <w:t>ese</w:t>
      </w:r>
      <w:r w:rsidR="007A026C" w:rsidRPr="00806A31">
        <w:t xml:space="preserve"> assessment</w:t>
      </w:r>
      <w:r w:rsidR="00556689" w:rsidRPr="00806A31">
        <w:t>s</w:t>
      </w:r>
      <w:r w:rsidR="007A026C" w:rsidRPr="00806A31">
        <w:t>.</w:t>
      </w:r>
    </w:p>
    <w:p w14:paraId="294A4AFA" w14:textId="3F23C1D0" w:rsidR="003141DC" w:rsidRPr="008A4B52" w:rsidRDefault="003141DC" w:rsidP="00D93256">
      <w:pPr>
        <w:pStyle w:val="STPR2Caption"/>
      </w:pPr>
      <w:bookmarkStart w:id="1751" w:name="_Ref90020290"/>
      <w:bookmarkStart w:id="1752" w:name="_Ref92969903"/>
      <w:bookmarkStart w:id="1753" w:name="_Toc90031394"/>
      <w:bookmarkStart w:id="1754" w:name="_Toc121231974"/>
      <w:r w:rsidRPr="008A4B52">
        <w:lastRenderedPageBreak/>
        <w:t xml:space="preserve">Table </w:t>
      </w:r>
      <w:bookmarkEnd w:id="1750"/>
      <w:bookmarkEnd w:id="1751"/>
      <w:r w:rsidR="00E428D4">
        <w:fldChar w:fldCharType="begin"/>
      </w:r>
      <w:r w:rsidR="00E428D4">
        <w:instrText xml:space="preserve"> SEQ Table \* ARABIC </w:instrText>
      </w:r>
      <w:r w:rsidR="00E428D4">
        <w:fldChar w:fldCharType="separate"/>
      </w:r>
      <w:r w:rsidR="00C22A9E">
        <w:rPr>
          <w:noProof/>
        </w:rPr>
        <w:t>3</w:t>
      </w:r>
      <w:r w:rsidR="00E428D4">
        <w:fldChar w:fldCharType="end"/>
      </w:r>
      <w:bookmarkEnd w:id="1752"/>
      <w:r w:rsidRPr="008A4B52">
        <w:t>: SEA Objectives</w:t>
      </w:r>
      <w:bookmarkEnd w:id="1753"/>
      <w:r w:rsidR="00AF50F0">
        <w:t xml:space="preserve"> and Assessment</w:t>
      </w:r>
      <w:r w:rsidR="00FB5515">
        <w:t xml:space="preserve"> Criteria</w:t>
      </w:r>
      <w:bookmarkEnd w:id="1754"/>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4"/>
        <w:gridCol w:w="1767"/>
        <w:gridCol w:w="4310"/>
        <w:gridCol w:w="6342"/>
      </w:tblGrid>
      <w:tr w:rsidR="00F903FC" w:rsidRPr="00F903FC" w14:paraId="45892882" w14:textId="77777777" w:rsidTr="0061256A">
        <w:trPr>
          <w:tblHeader/>
        </w:trPr>
        <w:tc>
          <w:tcPr>
            <w:tcW w:w="562" w:type="pct"/>
            <w:tcBorders>
              <w:top w:val="single" w:sz="18" w:space="0" w:color="FFFFFF" w:themeColor="background1"/>
            </w:tcBorders>
            <w:shd w:val="clear" w:color="auto" w:fill="007D55"/>
          </w:tcPr>
          <w:p w14:paraId="0E5EE6A5" w14:textId="70438483" w:rsidR="008869A5" w:rsidRPr="00F903FC" w:rsidRDefault="00F903FC" w:rsidP="00D93256">
            <w:pPr>
              <w:pStyle w:val="STPR2WhiteTableHeading"/>
            </w:pPr>
            <w:bookmarkStart w:id="1755" w:name="_Hlk93061275"/>
            <w:r w:rsidRPr="00F903FC">
              <w:t>SEA TOPIC</w:t>
            </w:r>
          </w:p>
        </w:tc>
        <w:tc>
          <w:tcPr>
            <w:tcW w:w="631" w:type="pct"/>
            <w:tcBorders>
              <w:top w:val="single" w:sz="18" w:space="0" w:color="FFFFFF" w:themeColor="background1"/>
            </w:tcBorders>
            <w:shd w:val="clear" w:color="auto" w:fill="007D55"/>
          </w:tcPr>
          <w:p w14:paraId="69C31185" w14:textId="4E0208E7" w:rsidR="008869A5" w:rsidRPr="00F903FC" w:rsidRDefault="00F903FC" w:rsidP="00D93256">
            <w:pPr>
              <w:pStyle w:val="STPR2WhiteTableHeading"/>
            </w:pPr>
            <w:r w:rsidRPr="00F903FC">
              <w:t>SEA OBJECTIVE</w:t>
            </w:r>
          </w:p>
        </w:tc>
        <w:tc>
          <w:tcPr>
            <w:tcW w:w="1540" w:type="pct"/>
            <w:tcBorders>
              <w:top w:val="single" w:sz="18" w:space="0" w:color="FFFFFF" w:themeColor="background1"/>
            </w:tcBorders>
            <w:shd w:val="clear" w:color="auto" w:fill="007D55"/>
          </w:tcPr>
          <w:p w14:paraId="03189CF4" w14:textId="1EDEA739" w:rsidR="00A4615C" w:rsidRPr="00F903FC" w:rsidRDefault="00F903FC" w:rsidP="00D93256">
            <w:pPr>
              <w:pStyle w:val="STPR2WhiteTableHeading"/>
            </w:pPr>
            <w:r w:rsidRPr="00F903FC">
              <w:t>SEA ASSESSMENT GUIDE QUESTIONS</w:t>
            </w:r>
          </w:p>
          <w:p w14:paraId="7B840363" w14:textId="322F8B41" w:rsidR="008869A5" w:rsidRPr="00F903FC" w:rsidRDefault="00F903FC" w:rsidP="00D93256">
            <w:pPr>
              <w:pStyle w:val="STPR2WhiteTableHeading"/>
            </w:pPr>
            <w:r w:rsidRPr="00F903FC">
              <w:t>DOES THE STPR2 OPTION…?</w:t>
            </w:r>
          </w:p>
        </w:tc>
        <w:tc>
          <w:tcPr>
            <w:tcW w:w="2266" w:type="pct"/>
            <w:tcBorders>
              <w:top w:val="single" w:sz="18" w:space="0" w:color="FFFFFF" w:themeColor="background1"/>
            </w:tcBorders>
            <w:shd w:val="clear" w:color="auto" w:fill="007D55"/>
          </w:tcPr>
          <w:p w14:paraId="1282F8A2" w14:textId="7718AF43" w:rsidR="008869A5" w:rsidRPr="00F903FC" w:rsidRDefault="00F903FC" w:rsidP="00D93256">
            <w:pPr>
              <w:pStyle w:val="STPR2WhiteTableHeading"/>
            </w:pPr>
            <w:r w:rsidRPr="00F903FC">
              <w:t>OVERARCHING DATA SOURCES TO AID ASSESSMENT (OTHER THAN THOSE IDENTIFIED IN</w:t>
            </w:r>
            <w:r w:rsidR="00E54922">
              <w:t xml:space="preserve"> the</w:t>
            </w:r>
            <w:r w:rsidRPr="00F903FC">
              <w:t xml:space="preserve"> STPR2)</w:t>
            </w:r>
          </w:p>
        </w:tc>
      </w:tr>
      <w:tr w:rsidR="00DB32EE" w:rsidRPr="00D00ED1" w14:paraId="1F52FFF7" w14:textId="77777777" w:rsidTr="0061256A">
        <w:trPr>
          <w:cantSplit/>
        </w:trPr>
        <w:tc>
          <w:tcPr>
            <w:tcW w:w="562" w:type="pct"/>
            <w:tcBorders>
              <w:top w:val="single" w:sz="18" w:space="0" w:color="FFFFFF" w:themeColor="background1"/>
            </w:tcBorders>
            <w:shd w:val="clear" w:color="auto" w:fill="DCEDC6"/>
          </w:tcPr>
          <w:p w14:paraId="7B9ACC16" w14:textId="4E32D369" w:rsidR="00DB32EE" w:rsidRPr="00D00ED1" w:rsidRDefault="00DB32EE" w:rsidP="00D93256">
            <w:pPr>
              <w:pStyle w:val="STPR2TableBody"/>
            </w:pPr>
            <w:r w:rsidRPr="00D00ED1">
              <w:t>Climatic Factors</w:t>
            </w:r>
          </w:p>
        </w:tc>
        <w:tc>
          <w:tcPr>
            <w:tcW w:w="631" w:type="pct"/>
            <w:tcBorders>
              <w:top w:val="single" w:sz="18" w:space="0" w:color="FFFFFF" w:themeColor="background1"/>
            </w:tcBorders>
            <w:shd w:val="clear" w:color="auto" w:fill="DCEDC6"/>
          </w:tcPr>
          <w:p w14:paraId="7C946F16" w14:textId="591C6080" w:rsidR="00DB32EE" w:rsidRPr="00D00ED1" w:rsidRDefault="00DB32EE" w:rsidP="00D93256">
            <w:pPr>
              <w:pStyle w:val="STPR2TableBody"/>
            </w:pPr>
            <w:r w:rsidRPr="00956857">
              <w:t>Reduce emissions from Scotland’s transport sector</w:t>
            </w:r>
            <w:r>
              <w:t xml:space="preserve"> by reducing the need to travel and encouraging modal shift </w:t>
            </w:r>
            <w:r w:rsidRPr="00956857">
              <w:t>and help meet Scotland’s wider targets to reduce greenhouse gas emissions</w:t>
            </w:r>
            <w:r>
              <w:t>.</w:t>
            </w:r>
          </w:p>
        </w:tc>
        <w:tc>
          <w:tcPr>
            <w:tcW w:w="1540" w:type="pct"/>
            <w:tcBorders>
              <w:top w:val="single" w:sz="18" w:space="0" w:color="FFFFFF" w:themeColor="background1"/>
            </w:tcBorders>
            <w:shd w:val="clear" w:color="auto" w:fill="DCEDC6"/>
          </w:tcPr>
          <w:p w14:paraId="65768C03" w14:textId="2ED1B53E" w:rsidR="00DB32EE" w:rsidRPr="00DF655A" w:rsidRDefault="00DB32EE" w:rsidP="00D93256">
            <w:pPr>
              <w:pStyle w:val="STPR2TableBody"/>
            </w:pPr>
            <w:r>
              <w:t>C</w:t>
            </w:r>
            <w:r w:rsidRPr="00DF655A">
              <w:t>ontribute to achievement of</w:t>
            </w:r>
            <w:r>
              <w:t xml:space="preserve"> Scotland CO</w:t>
            </w:r>
            <w:r w:rsidRPr="00FC36AB">
              <w:rPr>
                <w:vertAlign w:val="subscript"/>
              </w:rPr>
              <w:t>2</w:t>
            </w:r>
            <w:r>
              <w:t xml:space="preserve"> emissions reduction target of</w:t>
            </w:r>
            <w:r w:rsidRPr="00DF655A">
              <w:t xml:space="preserve"> net zero by 2045? </w:t>
            </w:r>
          </w:p>
          <w:p w14:paraId="0FE63406" w14:textId="588737D5" w:rsidR="00DB32EE" w:rsidRDefault="00DB32EE" w:rsidP="00D93256">
            <w:pPr>
              <w:pStyle w:val="STPR2TableBody"/>
            </w:pPr>
            <w:r>
              <w:t>Commit to a monitoring programme for reviewing international low carbon best practice and emerging technologies?</w:t>
            </w:r>
          </w:p>
          <w:p w14:paraId="0D6670FF" w14:textId="3BCCB229" w:rsidR="00DB32EE" w:rsidRPr="00221725" w:rsidRDefault="00DB32EE" w:rsidP="00D93256">
            <w:pPr>
              <w:pStyle w:val="STPR2TableBody"/>
            </w:pPr>
            <w:r>
              <w:t>P</w:t>
            </w:r>
            <w:r w:rsidRPr="00221725">
              <w:t>romote and support the best use of clean fuels/technologies (</w:t>
            </w:r>
            <w:r w:rsidR="00167789">
              <w:t>for example,</w:t>
            </w:r>
            <w:r w:rsidRPr="00221725">
              <w:t xml:space="preserve"> strategic planning of EV charging points</w:t>
            </w:r>
            <w:r>
              <w:t xml:space="preserve"> or hydrogen refuelling considerations)?</w:t>
            </w:r>
          </w:p>
          <w:p w14:paraId="2E099D90" w14:textId="4ADF104A" w:rsidR="00DB32EE" w:rsidRPr="00221725" w:rsidRDefault="00DB32EE" w:rsidP="00D93256">
            <w:pPr>
              <w:pStyle w:val="STPR2TableBody"/>
            </w:pPr>
            <w:r>
              <w:t>P</w:t>
            </w:r>
            <w:r w:rsidRPr="00221725">
              <w:t xml:space="preserve">romote and facilitate </w:t>
            </w:r>
            <w:r>
              <w:t xml:space="preserve">reduction of car kilometres and </w:t>
            </w:r>
            <w:r w:rsidRPr="00221725">
              <w:t>modal shift to more sustainable transport options?</w:t>
            </w:r>
          </w:p>
          <w:p w14:paraId="41EE5642" w14:textId="7D8F6522" w:rsidR="00DB32EE" w:rsidRPr="00221725" w:rsidRDefault="00DB32EE" w:rsidP="00D93256">
            <w:pPr>
              <w:pStyle w:val="STPR2TableBody"/>
            </w:pPr>
            <w:r>
              <w:t>P</w:t>
            </w:r>
            <w:r w:rsidRPr="00221725">
              <w:t>romote behavio</w:t>
            </w:r>
            <w:r>
              <w:t>u</w:t>
            </w:r>
            <w:r w:rsidRPr="00221725">
              <w:t>ral change within workplaces, including car sharing, flexible work patterns and supporting opportunities for home</w:t>
            </w:r>
            <w:r>
              <w:t> </w:t>
            </w:r>
            <w:r w:rsidRPr="00221725">
              <w:t>working?</w:t>
            </w:r>
          </w:p>
          <w:p w14:paraId="6F6FFD9C" w14:textId="0051834C" w:rsidR="00DB32EE" w:rsidRPr="00D00ED1" w:rsidRDefault="00DB32EE" w:rsidP="00D93256">
            <w:pPr>
              <w:pStyle w:val="STPR2TableBody"/>
            </w:pPr>
            <w:r>
              <w:t>F</w:t>
            </w:r>
            <w:r w:rsidRPr="00221725">
              <w:t>acilitate ongoing co-ordination with spatial development planners to ensure communities are close to key services and places of employment, to the maximum extent possible?</w:t>
            </w:r>
          </w:p>
        </w:tc>
        <w:tc>
          <w:tcPr>
            <w:tcW w:w="2266" w:type="pct"/>
            <w:tcBorders>
              <w:top w:val="single" w:sz="18" w:space="0" w:color="FFFFFF" w:themeColor="background1"/>
            </w:tcBorders>
            <w:shd w:val="clear" w:color="auto" w:fill="DCEDC6"/>
          </w:tcPr>
          <w:p w14:paraId="2888B34B" w14:textId="308592B4" w:rsidR="00DB32EE" w:rsidRPr="00D00ED1" w:rsidRDefault="00DB32EE" w:rsidP="00D93256">
            <w:pPr>
              <w:pStyle w:val="STPR2TableBody"/>
            </w:pPr>
            <w:r>
              <w:t>Transport Scotland modal share data, workplace travel plans</w:t>
            </w:r>
            <w:r w:rsidR="00B0769C">
              <w:t xml:space="preserve"> and similar data</w:t>
            </w:r>
          </w:p>
        </w:tc>
      </w:tr>
      <w:tr w:rsidR="00DB32EE" w:rsidRPr="00D00ED1" w14:paraId="6EAA2D6B" w14:textId="77777777" w:rsidTr="0061256A">
        <w:trPr>
          <w:cantSplit/>
        </w:trPr>
        <w:tc>
          <w:tcPr>
            <w:tcW w:w="562" w:type="pct"/>
            <w:shd w:val="clear" w:color="auto" w:fill="DCEDC6"/>
          </w:tcPr>
          <w:p w14:paraId="4E3277A7" w14:textId="77777777" w:rsidR="00DB32EE" w:rsidRPr="00D00ED1" w:rsidRDefault="00DB32EE" w:rsidP="00D93256">
            <w:pPr>
              <w:pStyle w:val="STPR2TableBody"/>
            </w:pPr>
          </w:p>
        </w:tc>
        <w:tc>
          <w:tcPr>
            <w:tcW w:w="631" w:type="pct"/>
            <w:shd w:val="clear" w:color="auto" w:fill="DCEDC6"/>
          </w:tcPr>
          <w:p w14:paraId="0125221B" w14:textId="47E1AC4A" w:rsidR="00DB32EE" w:rsidRPr="00D00ED1" w:rsidRDefault="00DB32EE" w:rsidP="00D93256">
            <w:pPr>
              <w:pStyle w:val="STPR2TableBody"/>
            </w:pPr>
            <w:r w:rsidRPr="001754EA">
              <w:t>Adapt the transport network to the predicted effects of climate change</w:t>
            </w:r>
            <w:r>
              <w:t>.</w:t>
            </w:r>
          </w:p>
        </w:tc>
        <w:tc>
          <w:tcPr>
            <w:tcW w:w="1540" w:type="pct"/>
            <w:shd w:val="clear" w:color="auto" w:fill="DCEDC6"/>
          </w:tcPr>
          <w:p w14:paraId="089A1085" w14:textId="42953135" w:rsidR="00DB32EE" w:rsidRDefault="00DB32EE" w:rsidP="00D93256">
            <w:pPr>
              <w:pStyle w:val="STPR2TableBody"/>
            </w:pPr>
            <w:r>
              <w:t>H</w:t>
            </w:r>
            <w:r w:rsidRPr="00DF655A">
              <w:t xml:space="preserve">elp adapt the transport network to </w:t>
            </w:r>
            <w:r>
              <w:t xml:space="preserve">direct and indirect </w:t>
            </w:r>
            <w:r w:rsidRPr="00DF655A">
              <w:t xml:space="preserve">risks associated with </w:t>
            </w:r>
            <w:r>
              <w:t xml:space="preserve">climate change </w:t>
            </w:r>
            <w:r w:rsidRPr="00DF655A">
              <w:t xml:space="preserve">projections </w:t>
            </w:r>
            <w:r>
              <w:t>for</w:t>
            </w:r>
            <w:r w:rsidRPr="00DF655A">
              <w:t xml:space="preserve"> Scotland?</w:t>
            </w:r>
            <w:r>
              <w:t xml:space="preserve"> </w:t>
            </w:r>
          </w:p>
          <w:p w14:paraId="19788654" w14:textId="03D4199A" w:rsidR="00DB32EE" w:rsidRDefault="00DB32EE" w:rsidP="00D93256">
            <w:pPr>
              <w:pStyle w:val="STPR2TableBody"/>
            </w:pPr>
            <w:r>
              <w:t xml:space="preserve">Prioritise adaptation of transport infrastructure in locations that are more vulnerable to the projected impacts of climate change, including coastal and isolated locations? </w:t>
            </w:r>
          </w:p>
          <w:p w14:paraId="3FC5F27C" w14:textId="22651696" w:rsidR="00DB32EE" w:rsidRDefault="00DB32EE" w:rsidP="00D93256">
            <w:pPr>
              <w:pStyle w:val="STPR2TableBody"/>
            </w:pPr>
            <w:r>
              <w:t xml:space="preserve">Prioritise adaptation of transport connections to critical infrastructure, including transport interchanges, hospitals, power, fuel supply and </w:t>
            </w:r>
            <w:r w:rsidR="00D93256">
              <w:t>digital</w:t>
            </w:r>
            <w:r>
              <w:t xml:space="preserve"> </w:t>
            </w:r>
            <w:r w:rsidR="00D93256">
              <w:t>i</w:t>
            </w:r>
            <w:r>
              <w:t>nfrastructure?</w:t>
            </w:r>
          </w:p>
          <w:p w14:paraId="27F45674" w14:textId="320C55B6" w:rsidR="00DB32EE" w:rsidRPr="00D00ED1" w:rsidRDefault="00DB32EE" w:rsidP="00D93256">
            <w:pPr>
              <w:pStyle w:val="STPR2TableBody"/>
            </w:pPr>
            <w:r>
              <w:t xml:space="preserve">Maintain or improve access to and within </w:t>
            </w:r>
            <w:r w:rsidRPr="003314BB">
              <w:t xml:space="preserve">disadvantaged </w:t>
            </w:r>
            <w:r>
              <w:t xml:space="preserve">areas or </w:t>
            </w:r>
            <w:r w:rsidRPr="0041059A">
              <w:t>isolated communities</w:t>
            </w:r>
            <w:r>
              <w:t xml:space="preserve"> at risk from climate change impacts </w:t>
            </w:r>
            <w:r w:rsidR="00167789">
              <w:t>for example,</w:t>
            </w:r>
            <w:r>
              <w:t xml:space="preserve"> </w:t>
            </w:r>
            <w:r w:rsidRPr="0041059A">
              <w:t>flooding, slope instability</w:t>
            </w:r>
            <w:r>
              <w:t>?</w:t>
            </w:r>
          </w:p>
        </w:tc>
        <w:tc>
          <w:tcPr>
            <w:tcW w:w="2266" w:type="pct"/>
            <w:shd w:val="clear" w:color="auto" w:fill="DCEDC6"/>
          </w:tcPr>
          <w:p w14:paraId="63A56260" w14:textId="77777777" w:rsidR="00DB32EE" w:rsidRPr="0027418D" w:rsidRDefault="00DB32EE" w:rsidP="00D93256">
            <w:pPr>
              <w:pStyle w:val="STPR2TableBody"/>
            </w:pPr>
            <w:r w:rsidRPr="0027418D">
              <w:t>UK Climate Change Risk Assessment 2017 Evidence Report:</w:t>
            </w:r>
          </w:p>
          <w:p w14:paraId="5ABBEC97" w14:textId="2C1F672B" w:rsidR="00DB32EE" w:rsidRPr="0027418D" w:rsidRDefault="00CD44C3" w:rsidP="00D93256">
            <w:pPr>
              <w:pStyle w:val="STPR2TableBody"/>
              <w:rPr>
                <w:szCs w:val="24"/>
              </w:rPr>
            </w:pPr>
            <w:hyperlink r:id="rId23" w:history="1">
              <w:r w:rsidR="00DB32EE" w:rsidRPr="0027418D">
                <w:rPr>
                  <w:rStyle w:val="Hyperlink"/>
                  <w:szCs w:val="24"/>
                </w:rPr>
                <w:t>https://adaptationscotland.org/why-adapt/legislation/uk-climate-change-risk-assessment</w:t>
              </w:r>
            </w:hyperlink>
            <w:r w:rsidR="00DB32EE" w:rsidRPr="0027418D">
              <w:rPr>
                <w:rStyle w:val="Hyperlink"/>
                <w:szCs w:val="24"/>
              </w:rPr>
              <w:t>.</w:t>
            </w:r>
          </w:p>
          <w:p w14:paraId="76705663" w14:textId="77777777" w:rsidR="00DB32EE" w:rsidRPr="0027418D" w:rsidRDefault="00DB32EE" w:rsidP="00D93256">
            <w:pPr>
              <w:pStyle w:val="STPR2TableBody"/>
            </w:pPr>
            <w:r w:rsidRPr="0027418D">
              <w:t xml:space="preserve">SNH ‘Dynamic Coast’ guidance: </w:t>
            </w:r>
          </w:p>
          <w:p w14:paraId="4EAF05A1" w14:textId="48D39F28" w:rsidR="00DB32EE" w:rsidRPr="0027418D" w:rsidRDefault="00CD44C3" w:rsidP="00D93256">
            <w:pPr>
              <w:pStyle w:val="STPR2TableBody"/>
              <w:rPr>
                <w:szCs w:val="24"/>
              </w:rPr>
            </w:pPr>
            <w:hyperlink r:id="rId24" w:history="1">
              <w:r w:rsidR="00DB32EE" w:rsidRPr="0027418D">
                <w:rPr>
                  <w:rStyle w:val="Hyperlink"/>
                  <w:szCs w:val="24"/>
                </w:rPr>
                <w:t>https://gateway.snh.gov.uk/natural-spaces/dataset.jsp?dsid=NCCA</w:t>
              </w:r>
            </w:hyperlink>
            <w:r w:rsidR="00DB32EE" w:rsidRPr="0027418D">
              <w:rPr>
                <w:rStyle w:val="Hyperlink"/>
                <w:szCs w:val="24"/>
              </w:rPr>
              <w:t>.</w:t>
            </w:r>
            <w:r w:rsidR="00DB32EE" w:rsidRPr="0027418D">
              <w:rPr>
                <w:szCs w:val="24"/>
              </w:rPr>
              <w:t xml:space="preserve"> </w:t>
            </w:r>
          </w:p>
          <w:p w14:paraId="2B77E075" w14:textId="7A3AF0DC" w:rsidR="00DB32EE" w:rsidRPr="0027418D" w:rsidRDefault="00DB32EE" w:rsidP="00D93256">
            <w:pPr>
              <w:pStyle w:val="STPR2TableBody"/>
            </w:pPr>
            <w:r w:rsidRPr="0027418D">
              <w:t xml:space="preserve">Indices of Multiple Deprivation: </w:t>
            </w:r>
            <w:hyperlink r:id="rId25" w:history="1">
              <w:r w:rsidRPr="0027418D">
                <w:rPr>
                  <w:rStyle w:val="Hyperlink"/>
                  <w:szCs w:val="24"/>
                </w:rPr>
                <w:t>https://www.gov.scot/collections/scottish-index-of-multiple-deprivation-2020/</w:t>
              </w:r>
            </w:hyperlink>
            <w:r w:rsidRPr="0027418D">
              <w:t xml:space="preserve"> </w:t>
            </w:r>
          </w:p>
          <w:p w14:paraId="738AA06C" w14:textId="77777777" w:rsidR="00533892" w:rsidRPr="0027418D" w:rsidRDefault="00DB32EE" w:rsidP="00D93256">
            <w:pPr>
              <w:pStyle w:val="STPR2TableBody"/>
              <w:rPr>
                <w:rStyle w:val="Hyperlink"/>
                <w:szCs w:val="24"/>
              </w:rPr>
            </w:pPr>
            <w:r w:rsidRPr="0027418D">
              <w:t xml:space="preserve">Transport Scotland’s ‘Fitting Landscapes’ policy (Aim 4: Build in adaptability to change): </w:t>
            </w:r>
            <w:hyperlink r:id="rId26" w:history="1">
              <w:r w:rsidRPr="0027418D">
                <w:rPr>
                  <w:rStyle w:val="Hyperlink"/>
                  <w:szCs w:val="24"/>
                </w:rPr>
                <w:t>https://www.transport.gov.scot/media/33663/j279083.pdf</w:t>
              </w:r>
            </w:hyperlink>
          </w:p>
          <w:p w14:paraId="393CDAFF" w14:textId="0B5C999F" w:rsidR="00DB32EE" w:rsidRPr="0027418D" w:rsidRDefault="00533892" w:rsidP="00D93256">
            <w:pPr>
              <w:pStyle w:val="STPR2TableBody"/>
            </w:pPr>
            <w:r w:rsidRPr="0027418D">
              <w:t>NTS</w:t>
            </w:r>
            <w:r w:rsidR="00660A0F" w:rsidRPr="0027418D">
              <w:t xml:space="preserve">2 </w:t>
            </w:r>
            <w:r w:rsidR="00853D54">
              <w:t xml:space="preserve">Second </w:t>
            </w:r>
            <w:r w:rsidR="00660A0F" w:rsidRPr="0027418D">
              <w:t>Delivery Plan:</w:t>
            </w:r>
            <w:r w:rsidR="00660A0F">
              <w:t xml:space="preserve"> </w:t>
            </w:r>
            <w:r w:rsidR="00853D54" w:rsidRPr="00853D54">
              <w:rPr>
                <w:rStyle w:val="Hyperlink"/>
              </w:rPr>
              <w:t>https://www.transport.gov.scot/publication/national-transport-strategy-nts2-second-delivery-plan-2022-2023/</w:t>
            </w:r>
          </w:p>
        </w:tc>
      </w:tr>
      <w:tr w:rsidR="000C6958" w:rsidRPr="00D00ED1" w14:paraId="0085DD56" w14:textId="77777777" w:rsidTr="0061256A">
        <w:trPr>
          <w:cantSplit/>
        </w:trPr>
        <w:tc>
          <w:tcPr>
            <w:tcW w:w="562" w:type="pct"/>
            <w:shd w:val="clear" w:color="auto" w:fill="DCEDC6"/>
          </w:tcPr>
          <w:p w14:paraId="119D5856" w14:textId="0EE55052" w:rsidR="000C6958" w:rsidRPr="00D00ED1" w:rsidRDefault="000C6958" w:rsidP="00D93256">
            <w:pPr>
              <w:pStyle w:val="STPR2TableBody"/>
            </w:pPr>
            <w:r w:rsidRPr="00D00ED1">
              <w:lastRenderedPageBreak/>
              <w:t>Air Quality</w:t>
            </w:r>
          </w:p>
        </w:tc>
        <w:tc>
          <w:tcPr>
            <w:tcW w:w="631" w:type="pct"/>
            <w:shd w:val="clear" w:color="auto" w:fill="DCEDC6"/>
          </w:tcPr>
          <w:p w14:paraId="673CAEE0" w14:textId="456001AA" w:rsidR="000C6958" w:rsidRPr="00D00ED1" w:rsidRDefault="000C6958" w:rsidP="00D93256">
            <w:pPr>
              <w:pStyle w:val="STPR2TableBody"/>
            </w:pPr>
            <w:r w:rsidRPr="001754EA">
              <w:t>Reduce all forms of transport-related air pollution</w:t>
            </w:r>
            <w:r>
              <w:t xml:space="preserve"> and improve air quality</w:t>
            </w:r>
            <w:r w:rsidRPr="001754EA">
              <w:t xml:space="preserve"> throughout Scotland</w:t>
            </w:r>
            <w:r w:rsidR="006718DB">
              <w:t>.</w:t>
            </w:r>
            <w:r w:rsidRPr="001754EA">
              <w:t xml:space="preserve"> </w:t>
            </w:r>
          </w:p>
        </w:tc>
        <w:tc>
          <w:tcPr>
            <w:tcW w:w="1540" w:type="pct"/>
            <w:shd w:val="clear" w:color="auto" w:fill="DCEDC6"/>
          </w:tcPr>
          <w:p w14:paraId="1E0DAD81" w14:textId="164068D9" w:rsidR="000C6958" w:rsidRPr="000B4FAB" w:rsidRDefault="00806A31" w:rsidP="00D93256">
            <w:pPr>
              <w:pStyle w:val="STPR2TableBody"/>
            </w:pPr>
            <w:r>
              <w:t>E</w:t>
            </w:r>
            <w:r w:rsidR="000C6958" w:rsidRPr="000B4FAB">
              <w:t>ncourage and facilitate the use of active travel</w:t>
            </w:r>
            <w:r w:rsidR="000C6958">
              <w:t>, particularly for</w:t>
            </w:r>
            <w:r w:rsidR="000C6958" w:rsidRPr="000B4FAB">
              <w:t xml:space="preserve"> short</w:t>
            </w:r>
            <w:r w:rsidR="007171A6">
              <w:t> </w:t>
            </w:r>
            <w:r w:rsidR="000C6958" w:rsidRPr="000B4FAB">
              <w:t>journeys?</w:t>
            </w:r>
          </w:p>
          <w:p w14:paraId="0DC5F772" w14:textId="55E60861" w:rsidR="000C6958" w:rsidRPr="000B4FAB" w:rsidRDefault="00806A31" w:rsidP="00D93256">
            <w:pPr>
              <w:pStyle w:val="STPR2TableBody"/>
            </w:pPr>
            <w:r>
              <w:t>H</w:t>
            </w:r>
            <w:r w:rsidR="000C6958" w:rsidRPr="000B4FAB">
              <w:t>elp to reduce traffic congestion?</w:t>
            </w:r>
          </w:p>
          <w:p w14:paraId="7EB2921F" w14:textId="3EA36A9E" w:rsidR="000C6958" w:rsidRDefault="00806A31" w:rsidP="00D93256">
            <w:pPr>
              <w:pStyle w:val="STPR2TableBody"/>
            </w:pPr>
            <w:r>
              <w:t>L</w:t>
            </w:r>
            <w:r w:rsidR="000C6958" w:rsidRPr="000B4FAB">
              <w:t>imit the more polluting vehicles in sensitive areas</w:t>
            </w:r>
            <w:r w:rsidR="00167789">
              <w:t>,</w:t>
            </w:r>
            <w:r w:rsidR="000C6958" w:rsidRPr="000B4FAB">
              <w:t xml:space="preserve"> </w:t>
            </w:r>
            <w:r w:rsidR="00167789">
              <w:t>for example,</w:t>
            </w:r>
            <w:r w:rsidR="000C6958" w:rsidRPr="000B4FAB">
              <w:t xml:space="preserve"> AQMAs?</w:t>
            </w:r>
          </w:p>
          <w:p w14:paraId="239CBAEE" w14:textId="0661194C" w:rsidR="000C6958" w:rsidRPr="00E4573F" w:rsidRDefault="00806A31" w:rsidP="00D93256">
            <w:pPr>
              <w:pStyle w:val="STPR2TableBody"/>
            </w:pPr>
            <w:r>
              <w:t>I</w:t>
            </w:r>
            <w:r w:rsidR="000C6958">
              <w:t>mprove or at least maintain air quality in disadvantaged areas?</w:t>
            </w:r>
          </w:p>
          <w:p w14:paraId="4EBC061D" w14:textId="510F8743" w:rsidR="000C6958" w:rsidRPr="000B4FAB" w:rsidRDefault="00806A31" w:rsidP="00D93256">
            <w:pPr>
              <w:pStyle w:val="STPR2TableBody"/>
            </w:pPr>
            <w:r>
              <w:t>H</w:t>
            </w:r>
            <w:r w:rsidR="000C6958" w:rsidRPr="000B4FAB">
              <w:t xml:space="preserve">elp to limit </w:t>
            </w:r>
            <w:r w:rsidR="000C6958">
              <w:t xml:space="preserve">polluting </w:t>
            </w:r>
            <w:r w:rsidR="000C6958" w:rsidRPr="000B4FAB">
              <w:t>traffic</w:t>
            </w:r>
            <w:r w:rsidR="007171A6">
              <w:t> </w:t>
            </w:r>
            <w:r w:rsidR="000C6958" w:rsidRPr="000B4FAB">
              <w:t>growth?</w:t>
            </w:r>
          </w:p>
          <w:p w14:paraId="1E437595" w14:textId="4AA7F558" w:rsidR="000C6958" w:rsidRDefault="00806A31" w:rsidP="00D93256">
            <w:pPr>
              <w:pStyle w:val="STPR2TableBody"/>
            </w:pPr>
            <w:r>
              <w:t>R</w:t>
            </w:r>
            <w:r w:rsidR="000C6958" w:rsidRPr="000B4FAB">
              <w:t>educe emission</w:t>
            </w:r>
            <w:r w:rsidR="000C6958">
              <w:t>s</w:t>
            </w:r>
            <w:r w:rsidR="000C6958" w:rsidRPr="000B4FAB">
              <w:t xml:space="preserve"> of key </w:t>
            </w:r>
            <w:r w:rsidR="000C6958">
              <w:t xml:space="preserve">air </w:t>
            </w:r>
            <w:r w:rsidR="000C6958" w:rsidRPr="000B4FAB">
              <w:t xml:space="preserve">pollutants </w:t>
            </w:r>
            <w:r w:rsidR="000C6958">
              <w:t xml:space="preserve">(NOx, </w:t>
            </w:r>
            <w:r w:rsidR="000C6958" w:rsidRPr="002E63C4">
              <w:t>particulates</w:t>
            </w:r>
            <w:r w:rsidR="000C6958">
              <w:t>, SO</w:t>
            </w:r>
            <w:r w:rsidR="000C6958" w:rsidRPr="00FC36AB">
              <w:rPr>
                <w:vertAlign w:val="subscript"/>
              </w:rPr>
              <w:t>2</w:t>
            </w:r>
            <w:r w:rsidR="000C6958">
              <w:t>)</w:t>
            </w:r>
            <w:r w:rsidR="000C6958" w:rsidRPr="000B4FAB">
              <w:t xml:space="preserve"> from </w:t>
            </w:r>
            <w:r w:rsidR="000C6958">
              <w:t xml:space="preserve">all forms of </w:t>
            </w:r>
            <w:r w:rsidR="000C6958" w:rsidRPr="000B4FAB">
              <w:t>transport</w:t>
            </w:r>
            <w:r w:rsidR="000C6958">
              <w:t>, but focusing on the most polluting vehicles and areas of known poor air quality</w:t>
            </w:r>
            <w:r w:rsidR="00167789">
              <w:t>,</w:t>
            </w:r>
            <w:r w:rsidR="000C6958">
              <w:t xml:space="preserve"> </w:t>
            </w:r>
            <w:r w:rsidR="00167789">
              <w:t>for example,</w:t>
            </w:r>
            <w:r w:rsidR="000C6958">
              <w:t xml:space="preserve"> diesel emissions in urban</w:t>
            </w:r>
            <w:r w:rsidR="007171A6">
              <w:t> </w:t>
            </w:r>
            <w:r w:rsidR="000C6958">
              <w:t>areas</w:t>
            </w:r>
            <w:r w:rsidR="000C6958" w:rsidRPr="000B4FAB">
              <w:t>?</w:t>
            </w:r>
          </w:p>
          <w:p w14:paraId="1D028FF3" w14:textId="5C082CBB" w:rsidR="000C6958" w:rsidRPr="00D00ED1" w:rsidRDefault="00806A31" w:rsidP="00D93256">
            <w:pPr>
              <w:pStyle w:val="STPR2TableBody"/>
            </w:pPr>
            <w:r>
              <w:t>P</w:t>
            </w:r>
            <w:r w:rsidR="000C6958" w:rsidRPr="00E4573F">
              <w:t xml:space="preserve">romote green infrastructure at all spatial </w:t>
            </w:r>
            <w:r w:rsidR="000C6958">
              <w:t>scale</w:t>
            </w:r>
            <w:r w:rsidR="000C6958" w:rsidRPr="00E4573F">
              <w:t>s, to help remove pollutants from the air?</w:t>
            </w:r>
          </w:p>
        </w:tc>
        <w:tc>
          <w:tcPr>
            <w:tcW w:w="2266" w:type="pct"/>
            <w:shd w:val="clear" w:color="auto" w:fill="DCEDC6"/>
          </w:tcPr>
          <w:p w14:paraId="0659274F" w14:textId="3821E179" w:rsidR="000C6958" w:rsidRDefault="000C6958" w:rsidP="00D93256">
            <w:pPr>
              <w:pStyle w:val="STPR2TableBody"/>
            </w:pPr>
            <w:r>
              <w:t>AQMAs – location and reasons for designation</w:t>
            </w:r>
            <w:r w:rsidR="004D1876">
              <w:t>.</w:t>
            </w:r>
          </w:p>
          <w:p w14:paraId="2545C6DC" w14:textId="3A4EB842" w:rsidR="000C6958" w:rsidRDefault="000C6958" w:rsidP="00D93256">
            <w:pPr>
              <w:pStyle w:val="STPR2TableBody"/>
            </w:pPr>
            <w:r>
              <w:t>Other areas known to have poor air quality but as yet undesignated</w:t>
            </w:r>
          </w:p>
          <w:p w14:paraId="00EAB281" w14:textId="77777777" w:rsidR="000C6958" w:rsidRDefault="000C6958" w:rsidP="00D93256">
            <w:pPr>
              <w:pStyle w:val="STPR2TableBody"/>
            </w:pPr>
            <w:r>
              <w:t xml:space="preserve">Areas mapped for the </w:t>
            </w:r>
            <w:r w:rsidRPr="002C2952">
              <w:t>Indices of Multiple Deprivation</w:t>
            </w:r>
          </w:p>
          <w:p w14:paraId="46CEA467" w14:textId="77777777" w:rsidR="000C6958" w:rsidRPr="00D00ED1" w:rsidRDefault="000C6958" w:rsidP="00D93256">
            <w:pPr>
              <w:pStyle w:val="STPR2TableBody"/>
            </w:pPr>
          </w:p>
        </w:tc>
      </w:tr>
      <w:tr w:rsidR="00DB32EE" w:rsidRPr="00D00ED1" w14:paraId="3A7257EF" w14:textId="77777777" w:rsidTr="0061256A">
        <w:tc>
          <w:tcPr>
            <w:tcW w:w="562" w:type="pct"/>
            <w:shd w:val="clear" w:color="auto" w:fill="DCEDC6"/>
          </w:tcPr>
          <w:p w14:paraId="2A88E9FC" w14:textId="0E46FFDB" w:rsidR="00DB32EE" w:rsidRPr="00D00ED1" w:rsidRDefault="00DB32EE" w:rsidP="00D93256">
            <w:pPr>
              <w:pStyle w:val="STPR2TableBody"/>
            </w:pPr>
            <w:r w:rsidRPr="00D00ED1">
              <w:t>Population and Human Health</w:t>
            </w:r>
          </w:p>
        </w:tc>
        <w:tc>
          <w:tcPr>
            <w:tcW w:w="631" w:type="pct"/>
            <w:shd w:val="clear" w:color="auto" w:fill="DCEDC6"/>
          </w:tcPr>
          <w:p w14:paraId="618535CC" w14:textId="15336A65" w:rsidR="00DB32EE" w:rsidRPr="00D00ED1" w:rsidRDefault="00DB32EE" w:rsidP="00D93256">
            <w:pPr>
              <w:pStyle w:val="STPR2TableBody"/>
            </w:pPr>
            <w:r>
              <w:t>Improve quality of life and human health</w:t>
            </w:r>
            <w:r w:rsidRPr="001754EA">
              <w:t xml:space="preserve"> and </w:t>
            </w:r>
            <w:r>
              <w:t xml:space="preserve">increase sustainable </w:t>
            </w:r>
            <w:r>
              <w:lastRenderedPageBreak/>
              <w:t xml:space="preserve">access to </w:t>
            </w:r>
            <w:r>
              <w:rPr>
                <w:rFonts w:eastAsiaTheme="minorHAnsi"/>
                <w:color w:val="191919"/>
                <w:szCs w:val="20"/>
              </w:rPr>
              <w:t>essential services, employment and the natural environment.</w:t>
            </w:r>
          </w:p>
        </w:tc>
        <w:tc>
          <w:tcPr>
            <w:tcW w:w="1540" w:type="pct"/>
            <w:shd w:val="clear" w:color="auto" w:fill="DCEDC6"/>
          </w:tcPr>
          <w:p w14:paraId="4E6DC2DD" w14:textId="29040C9A" w:rsidR="00DB32EE" w:rsidRPr="004C4679" w:rsidRDefault="00DB32EE" w:rsidP="00D93256">
            <w:pPr>
              <w:pStyle w:val="STPR2TableBody"/>
            </w:pPr>
            <w:r>
              <w:lastRenderedPageBreak/>
              <w:t>E</w:t>
            </w:r>
            <w:r w:rsidRPr="004C4679">
              <w:t xml:space="preserve">ncourage </w:t>
            </w:r>
            <w:r>
              <w:t xml:space="preserve">sustainable </w:t>
            </w:r>
            <w:r w:rsidRPr="004C4679">
              <w:t xml:space="preserve">access to the natural and historic environment? </w:t>
            </w:r>
          </w:p>
          <w:p w14:paraId="63D98215" w14:textId="715E3677" w:rsidR="00DB32EE" w:rsidRDefault="00DB32EE" w:rsidP="00D93256">
            <w:pPr>
              <w:pStyle w:val="STPR2TableBody"/>
            </w:pPr>
            <w:r>
              <w:t>R</w:t>
            </w:r>
            <w:r w:rsidRPr="0026656A">
              <w:t xml:space="preserve">educe and avoid community severance or other detriment to existing active travel routes, including maintaining or improving pedestrian </w:t>
            </w:r>
            <w:r w:rsidRPr="0026656A">
              <w:lastRenderedPageBreak/>
              <w:t>crossings?</w:t>
            </w:r>
          </w:p>
          <w:p w14:paraId="2A604BC1" w14:textId="61A8D362" w:rsidR="00DB32EE" w:rsidRPr="004C4679" w:rsidRDefault="00DB32EE" w:rsidP="00D93256">
            <w:pPr>
              <w:pStyle w:val="STPR2TableBody"/>
            </w:pPr>
            <w:r>
              <w:t>E</w:t>
            </w:r>
            <w:r w:rsidRPr="004C4679">
              <w:t>nsure safe and sustainable access for all users to essential services and employment</w:t>
            </w:r>
            <w:r>
              <w:t>?</w:t>
            </w:r>
          </w:p>
          <w:p w14:paraId="4B46E2B6" w14:textId="4AE2B88A" w:rsidR="00DB32EE" w:rsidRDefault="00DB32EE" w:rsidP="00D93256">
            <w:pPr>
              <w:pStyle w:val="STPR2TableBody"/>
            </w:pPr>
            <w:r>
              <w:t>I</w:t>
            </w:r>
            <w:r w:rsidRPr="004C4679">
              <w:t xml:space="preserve">ncrease and enhance provision of </w:t>
            </w:r>
            <w:r>
              <w:t xml:space="preserve">non-motorised transport, especially </w:t>
            </w:r>
            <w:r w:rsidRPr="004C4679">
              <w:t>walking and cycling links and facilities</w:t>
            </w:r>
            <w:r>
              <w:t>?</w:t>
            </w:r>
          </w:p>
          <w:p w14:paraId="79743169" w14:textId="65B20BB9" w:rsidR="00DB32EE" w:rsidRPr="00E4573F" w:rsidRDefault="00DB32EE" w:rsidP="00D93256">
            <w:pPr>
              <w:pStyle w:val="STPR2TableBody"/>
              <w:rPr>
                <w:szCs w:val="24"/>
              </w:rPr>
            </w:pPr>
            <w:r>
              <w:t>Promote linking up existing or planned new communities through the active travel network?</w:t>
            </w:r>
          </w:p>
          <w:p w14:paraId="79988C6A" w14:textId="013988FF" w:rsidR="00DB32EE" w:rsidRPr="004C4679" w:rsidRDefault="00DB32EE" w:rsidP="00D93256">
            <w:pPr>
              <w:pStyle w:val="STPR2TableBody"/>
            </w:pPr>
            <w:r>
              <w:t>Plan for future capacity of active travel network, taking into account demographic or other changes?</w:t>
            </w:r>
          </w:p>
          <w:p w14:paraId="6C4FC7B3" w14:textId="65748146" w:rsidR="00DB32EE" w:rsidRPr="004C4679" w:rsidRDefault="00DB32EE" w:rsidP="00D93256">
            <w:pPr>
              <w:pStyle w:val="STPR2TableBody"/>
            </w:pPr>
            <w:r>
              <w:t>P</w:t>
            </w:r>
            <w:r w:rsidRPr="004C4679">
              <w:t>rovide increasing transport choice that meet the needs of the</w:t>
            </w:r>
            <w:r>
              <w:t> </w:t>
            </w:r>
            <w:r w:rsidRPr="004C4679">
              <w:t>population</w:t>
            </w:r>
            <w:r>
              <w:t>?</w:t>
            </w:r>
          </w:p>
          <w:p w14:paraId="4BAD0E58" w14:textId="7F522A30" w:rsidR="00DB32EE" w:rsidRPr="004C4679" w:rsidRDefault="00DB32EE" w:rsidP="00D93256">
            <w:pPr>
              <w:pStyle w:val="STPR2TableBody"/>
            </w:pPr>
            <w:r>
              <w:t>A</w:t>
            </w:r>
            <w:r w:rsidRPr="004C4679">
              <w:t>llow for greater journey time</w:t>
            </w:r>
            <w:r>
              <w:t> </w:t>
            </w:r>
            <w:r w:rsidRPr="004C4679">
              <w:t>reliability?</w:t>
            </w:r>
          </w:p>
          <w:p w14:paraId="490C2A99" w14:textId="5C1035B6" w:rsidR="00DB32EE" w:rsidRDefault="00DB32EE" w:rsidP="00D93256">
            <w:pPr>
              <w:pStyle w:val="STPR2TableBody"/>
            </w:pPr>
            <w:r>
              <w:t>S</w:t>
            </w:r>
            <w:r w:rsidRPr="004C4679">
              <w:t>upport changing demographics by providing appropriate transport facilities to meet their needs?</w:t>
            </w:r>
          </w:p>
          <w:p w14:paraId="72CB073F" w14:textId="381CA9F8" w:rsidR="00DB32EE" w:rsidRDefault="00DB32EE" w:rsidP="00D93256">
            <w:pPr>
              <w:pStyle w:val="STPR2TableBody"/>
            </w:pPr>
            <w:r>
              <w:t>I</w:t>
            </w:r>
            <w:r w:rsidRPr="004C4679">
              <w:t>mprove accessibility to open spaces and</w:t>
            </w:r>
            <w:r>
              <w:t xml:space="preserve"> the</w:t>
            </w:r>
            <w:r w:rsidRPr="004C4679">
              <w:t xml:space="preserve"> path network for physical recreational purposes?</w:t>
            </w:r>
          </w:p>
          <w:p w14:paraId="71E1E9A7" w14:textId="21CF2DA3" w:rsidR="00DB32EE" w:rsidRPr="00D00ED1" w:rsidRDefault="00DB32EE" w:rsidP="00D93256">
            <w:pPr>
              <w:pStyle w:val="STPR2TableBody"/>
            </w:pPr>
            <w:r>
              <w:lastRenderedPageBreak/>
              <w:t>I</w:t>
            </w:r>
            <w:r w:rsidRPr="004C4679">
              <w:t>mprove access to healthcare</w:t>
            </w:r>
            <w:r w:rsidR="006C7CD6">
              <w:t> </w:t>
            </w:r>
            <w:r w:rsidRPr="004C4679">
              <w:t>facilities?</w:t>
            </w:r>
          </w:p>
        </w:tc>
        <w:tc>
          <w:tcPr>
            <w:tcW w:w="2266" w:type="pct"/>
            <w:shd w:val="clear" w:color="auto" w:fill="DCEDC6"/>
          </w:tcPr>
          <w:p w14:paraId="02CDAFEC" w14:textId="77777777" w:rsidR="00DB32EE" w:rsidRDefault="00DB32EE" w:rsidP="00D93256">
            <w:pPr>
              <w:pStyle w:val="STPR2TableBody"/>
            </w:pPr>
            <w:r>
              <w:lastRenderedPageBreak/>
              <w:t>Mapping of open spaces</w:t>
            </w:r>
          </w:p>
          <w:p w14:paraId="27E294C7" w14:textId="54D23286" w:rsidR="00DB32EE" w:rsidRPr="00D00ED1" w:rsidRDefault="00DB32EE" w:rsidP="00D93256">
            <w:pPr>
              <w:pStyle w:val="STPR2TableBody"/>
            </w:pPr>
            <w:r>
              <w:t>Mapping of significant walking and cycling routes</w:t>
            </w:r>
          </w:p>
        </w:tc>
      </w:tr>
      <w:tr w:rsidR="00DB32EE" w:rsidRPr="00D00ED1" w14:paraId="3D3C45D3" w14:textId="77777777" w:rsidTr="0061256A">
        <w:tc>
          <w:tcPr>
            <w:tcW w:w="562" w:type="pct"/>
            <w:shd w:val="clear" w:color="auto" w:fill="DCEDC6"/>
          </w:tcPr>
          <w:p w14:paraId="4FA43ACC" w14:textId="77777777" w:rsidR="00DB32EE" w:rsidRPr="00D00ED1" w:rsidRDefault="00DB32EE" w:rsidP="00D93256">
            <w:pPr>
              <w:pStyle w:val="STPR2TableBody"/>
            </w:pPr>
          </w:p>
        </w:tc>
        <w:tc>
          <w:tcPr>
            <w:tcW w:w="631" w:type="pct"/>
            <w:shd w:val="clear" w:color="auto" w:fill="DCEDC6"/>
          </w:tcPr>
          <w:p w14:paraId="6A708F2E" w14:textId="5C7BD1FB" w:rsidR="00DB32EE" w:rsidRPr="00D00ED1" w:rsidRDefault="00DB32EE" w:rsidP="00D93256">
            <w:pPr>
              <w:pStyle w:val="STPR2TableBody"/>
            </w:pPr>
            <w:r w:rsidRPr="001754EA">
              <w:t xml:space="preserve">Reduce </w:t>
            </w:r>
            <w:r>
              <w:t>noise and vibration associated with the transport network.</w:t>
            </w:r>
            <w:r w:rsidRPr="001754EA">
              <w:t xml:space="preserve"> </w:t>
            </w:r>
          </w:p>
        </w:tc>
        <w:tc>
          <w:tcPr>
            <w:tcW w:w="1540" w:type="pct"/>
            <w:shd w:val="clear" w:color="auto" w:fill="DCEDC6"/>
          </w:tcPr>
          <w:p w14:paraId="3FB3FA85" w14:textId="20A81C03" w:rsidR="00DB32EE" w:rsidRPr="00D00ED1" w:rsidRDefault="00DB32EE" w:rsidP="00D93256">
            <w:pPr>
              <w:pStyle w:val="STPR2TableBody"/>
            </w:pPr>
            <w:r>
              <w:t>Reduce noise and vibration on the transport network particularly at sensitive locations?</w:t>
            </w:r>
          </w:p>
        </w:tc>
        <w:tc>
          <w:tcPr>
            <w:tcW w:w="2266" w:type="pct"/>
            <w:shd w:val="clear" w:color="auto" w:fill="DCEDC6"/>
          </w:tcPr>
          <w:p w14:paraId="769E980E" w14:textId="77777777" w:rsidR="00DB32EE" w:rsidRPr="00D00ED1" w:rsidRDefault="00DB32EE" w:rsidP="00D93256">
            <w:pPr>
              <w:pStyle w:val="STPR2TableBody"/>
            </w:pPr>
          </w:p>
        </w:tc>
      </w:tr>
      <w:tr w:rsidR="00DB32EE" w:rsidRPr="00D00ED1" w14:paraId="15C3D58E" w14:textId="77777777" w:rsidTr="0061256A">
        <w:tc>
          <w:tcPr>
            <w:tcW w:w="562" w:type="pct"/>
            <w:shd w:val="clear" w:color="auto" w:fill="DCEDC6"/>
          </w:tcPr>
          <w:p w14:paraId="4C4F897E" w14:textId="77777777" w:rsidR="00DB32EE" w:rsidRPr="00D00ED1" w:rsidRDefault="00DB32EE" w:rsidP="00D93256">
            <w:pPr>
              <w:pStyle w:val="STPR2TableBody"/>
            </w:pPr>
          </w:p>
        </w:tc>
        <w:tc>
          <w:tcPr>
            <w:tcW w:w="631" w:type="pct"/>
            <w:shd w:val="clear" w:color="auto" w:fill="DCEDC6"/>
          </w:tcPr>
          <w:p w14:paraId="225A7873" w14:textId="54D7238E" w:rsidR="00DB32EE" w:rsidRPr="00D00ED1" w:rsidRDefault="00DB32EE" w:rsidP="00D93256">
            <w:pPr>
              <w:pStyle w:val="STPR2TableBody"/>
            </w:pPr>
            <w:r w:rsidRPr="001754EA">
              <w:t xml:space="preserve">Promote, invest in, build and maintain infrastructure to </w:t>
            </w:r>
            <w:r>
              <w:t>support the development of high-quality places.</w:t>
            </w:r>
          </w:p>
        </w:tc>
        <w:tc>
          <w:tcPr>
            <w:tcW w:w="1540" w:type="pct"/>
            <w:shd w:val="clear" w:color="auto" w:fill="DCEDC6"/>
          </w:tcPr>
          <w:p w14:paraId="03CB86CF" w14:textId="3EE3FB46" w:rsidR="00DB32EE" w:rsidRDefault="00DB32EE" w:rsidP="00D93256">
            <w:pPr>
              <w:pStyle w:val="STPR2TableBody"/>
            </w:pPr>
            <w:r>
              <w:t>S</w:t>
            </w:r>
            <w:r w:rsidRPr="004C4679">
              <w:t>upport the development of places that feel safe to all users?</w:t>
            </w:r>
          </w:p>
          <w:p w14:paraId="31FF5B10" w14:textId="214F28A2" w:rsidR="00DB32EE" w:rsidRPr="004C4679" w:rsidRDefault="00DB32EE" w:rsidP="00D93256">
            <w:pPr>
              <w:pStyle w:val="STPR2TableBody"/>
            </w:pPr>
            <w:r>
              <w:t>Prioritise pedestrians in the public</w:t>
            </w:r>
            <w:r w:rsidR="001F794D">
              <w:t> </w:t>
            </w:r>
            <w:r>
              <w:t>realm?</w:t>
            </w:r>
          </w:p>
          <w:p w14:paraId="2C554091" w14:textId="477C0506" w:rsidR="00DB32EE" w:rsidRPr="00D00ED1" w:rsidRDefault="00DB32EE" w:rsidP="00D93256">
            <w:pPr>
              <w:pStyle w:val="STPR2TableBody"/>
            </w:pPr>
            <w:r>
              <w:t>S</w:t>
            </w:r>
            <w:r w:rsidRPr="004C4679">
              <w:t xml:space="preserve">upport the creation and maintenance of </w:t>
            </w:r>
            <w:r>
              <w:t xml:space="preserve">an </w:t>
            </w:r>
            <w:r w:rsidRPr="004C4679">
              <w:t>attractive public realm</w:t>
            </w:r>
            <w:r>
              <w:t>, with a focus on the contribution of transport infrastructure</w:t>
            </w:r>
            <w:r w:rsidRPr="004C4679">
              <w:t xml:space="preserve">? </w:t>
            </w:r>
          </w:p>
        </w:tc>
        <w:tc>
          <w:tcPr>
            <w:tcW w:w="2266" w:type="pct"/>
            <w:shd w:val="clear" w:color="auto" w:fill="DCEDC6"/>
          </w:tcPr>
          <w:p w14:paraId="5D9AC6A7" w14:textId="77777777" w:rsidR="00DB32EE" w:rsidRPr="00D00ED1" w:rsidRDefault="00DB32EE" w:rsidP="00D93256">
            <w:pPr>
              <w:pStyle w:val="STPR2TableBody"/>
            </w:pPr>
          </w:p>
        </w:tc>
      </w:tr>
      <w:tr w:rsidR="00DB32EE" w:rsidRPr="00D00ED1" w14:paraId="43322C90" w14:textId="77777777" w:rsidTr="0061256A">
        <w:tc>
          <w:tcPr>
            <w:tcW w:w="562" w:type="pct"/>
            <w:shd w:val="clear" w:color="auto" w:fill="DCEDC6"/>
          </w:tcPr>
          <w:p w14:paraId="14E456BF" w14:textId="77777777" w:rsidR="00DB32EE" w:rsidRPr="00D00ED1" w:rsidRDefault="00DB32EE" w:rsidP="00D93256">
            <w:pPr>
              <w:pStyle w:val="STPR2TableBody"/>
            </w:pPr>
          </w:p>
        </w:tc>
        <w:tc>
          <w:tcPr>
            <w:tcW w:w="631" w:type="pct"/>
            <w:shd w:val="clear" w:color="auto" w:fill="DCEDC6"/>
          </w:tcPr>
          <w:p w14:paraId="16E08CAB" w14:textId="37D72C9C" w:rsidR="00DB32EE" w:rsidRPr="00D00ED1" w:rsidRDefault="00DB32EE" w:rsidP="00D93256">
            <w:pPr>
              <w:pStyle w:val="STPR2TableBody"/>
            </w:pPr>
            <w:r>
              <w:t>Improve safety on the transport network.</w:t>
            </w:r>
          </w:p>
        </w:tc>
        <w:tc>
          <w:tcPr>
            <w:tcW w:w="1540" w:type="pct"/>
            <w:shd w:val="clear" w:color="auto" w:fill="DCEDC6"/>
          </w:tcPr>
          <w:p w14:paraId="3F814733" w14:textId="621C3B53" w:rsidR="00DB32EE" w:rsidRPr="00D00ED1" w:rsidRDefault="00DB32EE" w:rsidP="00D93256">
            <w:pPr>
              <w:pStyle w:val="STPR2TableBody"/>
            </w:pPr>
            <w:r>
              <w:t>R</w:t>
            </w:r>
            <w:r w:rsidRPr="0026656A">
              <w:t>educe the likelihood of transport-related road accidents and casualties?</w:t>
            </w:r>
          </w:p>
        </w:tc>
        <w:tc>
          <w:tcPr>
            <w:tcW w:w="2266" w:type="pct"/>
            <w:shd w:val="clear" w:color="auto" w:fill="DCEDC6"/>
          </w:tcPr>
          <w:p w14:paraId="5D954984" w14:textId="77777777" w:rsidR="00DB32EE" w:rsidRPr="00D00ED1" w:rsidRDefault="00DB32EE" w:rsidP="00D93256">
            <w:pPr>
              <w:pStyle w:val="STPR2TableBody"/>
            </w:pPr>
          </w:p>
        </w:tc>
      </w:tr>
      <w:tr w:rsidR="00DB32EE" w:rsidRPr="00D00ED1" w14:paraId="6B7868AD" w14:textId="77777777" w:rsidTr="0061256A">
        <w:trPr>
          <w:cantSplit/>
        </w:trPr>
        <w:tc>
          <w:tcPr>
            <w:tcW w:w="562" w:type="pct"/>
            <w:shd w:val="clear" w:color="auto" w:fill="DCEDC6"/>
          </w:tcPr>
          <w:p w14:paraId="327BBAD8" w14:textId="4F8B42BF" w:rsidR="00DB32EE" w:rsidRPr="00D00ED1" w:rsidRDefault="00DB32EE" w:rsidP="00D93256">
            <w:pPr>
              <w:pStyle w:val="STPR2TableBody"/>
            </w:pPr>
            <w:r w:rsidRPr="00D00ED1">
              <w:lastRenderedPageBreak/>
              <w:t xml:space="preserve">Material Assets </w:t>
            </w:r>
          </w:p>
        </w:tc>
        <w:tc>
          <w:tcPr>
            <w:tcW w:w="631" w:type="pct"/>
            <w:shd w:val="clear" w:color="auto" w:fill="DCEDC6"/>
          </w:tcPr>
          <w:p w14:paraId="4FBBB554" w14:textId="0DA2C11D" w:rsidR="00DB32EE" w:rsidRPr="00D00ED1" w:rsidRDefault="00DB32EE" w:rsidP="00D93256">
            <w:pPr>
              <w:pStyle w:val="STPR2TableBody"/>
            </w:pPr>
            <w:r w:rsidRPr="00D81266">
              <w:t xml:space="preserve">Promote and improve the </w:t>
            </w:r>
            <w:r>
              <w:t xml:space="preserve">sustainable use of the </w:t>
            </w:r>
            <w:r w:rsidRPr="00D81266">
              <w:t>transport network</w:t>
            </w:r>
            <w:r>
              <w:t>.</w:t>
            </w:r>
            <w:r w:rsidRPr="00D81266">
              <w:t xml:space="preserve"> </w:t>
            </w:r>
          </w:p>
        </w:tc>
        <w:tc>
          <w:tcPr>
            <w:tcW w:w="1540" w:type="pct"/>
            <w:shd w:val="clear" w:color="auto" w:fill="DCEDC6"/>
          </w:tcPr>
          <w:p w14:paraId="6F282E94" w14:textId="1E60FB5B" w:rsidR="00DB32EE" w:rsidRDefault="00DB32EE" w:rsidP="00D93256">
            <w:pPr>
              <w:pStyle w:val="STPR2TableBody"/>
            </w:pPr>
            <w:r>
              <w:t>Support</w:t>
            </w:r>
            <w:r w:rsidRPr="00021F39">
              <w:t xml:space="preserve"> improvements</w:t>
            </w:r>
            <w:r>
              <w:t xml:space="preserve"> to transport technology</w:t>
            </w:r>
            <w:r w:rsidRPr="00021F39">
              <w:t>, interchanges and timetabling</w:t>
            </w:r>
            <w:r>
              <w:t>?</w:t>
            </w:r>
          </w:p>
          <w:p w14:paraId="738FE683" w14:textId="287C0B2F" w:rsidR="00DB32EE" w:rsidRDefault="00DB32EE" w:rsidP="00D93256">
            <w:pPr>
              <w:pStyle w:val="STPR2TableBody"/>
            </w:pPr>
            <w:r>
              <w:t>P</w:t>
            </w:r>
            <w:r w:rsidRPr="00FC36AB">
              <w:t>lan for future travel arrangements</w:t>
            </w:r>
            <w:r>
              <w:t xml:space="preserve"> where journeys are made by a number of different modes (</w:t>
            </w:r>
            <w:r w:rsidR="00167789">
              <w:t>for example,</w:t>
            </w:r>
            <w:r>
              <w:t xml:space="preserve"> electric vehicle for most of the journey, which is then parked and left to </w:t>
            </w:r>
            <w:r w:rsidRPr="00FC36AB">
              <w:t>charge at a hub</w:t>
            </w:r>
            <w:r>
              <w:t>, c</w:t>
            </w:r>
            <w:r w:rsidRPr="0022341B">
              <w:t>ycle and walking assets</w:t>
            </w:r>
            <w:r>
              <w:t>,</w:t>
            </w:r>
            <w:r w:rsidRPr="0022341B">
              <w:t xml:space="preserve"> such as connected off-road paths, bike/e-bike share infrastructure</w:t>
            </w:r>
            <w:r>
              <w:t>)?</w:t>
            </w:r>
          </w:p>
          <w:p w14:paraId="728B2E71" w14:textId="6260DF46" w:rsidR="00DB32EE" w:rsidRDefault="00DB32EE" w:rsidP="00D93256">
            <w:pPr>
              <w:pStyle w:val="STPR2TableBody"/>
            </w:pPr>
            <w:r>
              <w:t>P</w:t>
            </w:r>
            <w:r w:rsidRPr="00FC36AB">
              <w:t xml:space="preserve">lan for future capacity </w:t>
            </w:r>
            <w:r>
              <w:t>of</w:t>
            </w:r>
            <w:r w:rsidRPr="00FC36AB">
              <w:t xml:space="preserve"> public transport, taking demographic and other societal changes into account</w:t>
            </w:r>
            <w:r>
              <w:t>?</w:t>
            </w:r>
            <w:r w:rsidRPr="00036D49">
              <w:t xml:space="preserve"> </w:t>
            </w:r>
          </w:p>
          <w:p w14:paraId="608192D2" w14:textId="7604EDDA" w:rsidR="00DB32EE" w:rsidRPr="00D00ED1" w:rsidRDefault="00DB32EE" w:rsidP="00D93256">
            <w:pPr>
              <w:pStyle w:val="STPR2TableBody"/>
            </w:pPr>
            <w:r>
              <w:t>P</w:t>
            </w:r>
            <w:r w:rsidRPr="00036D49">
              <w:t>romote sustainable use and management of existing infrastructure</w:t>
            </w:r>
            <w:r w:rsidR="00167789">
              <w:t>,</w:t>
            </w:r>
            <w:r w:rsidRPr="00036D49">
              <w:t xml:space="preserve"> </w:t>
            </w:r>
            <w:r w:rsidR="00167789">
              <w:t>for example,</w:t>
            </w:r>
            <w:r w:rsidRPr="00036D49">
              <w:t xml:space="preserve"> water, heat, energy or </w:t>
            </w:r>
            <w:r>
              <w:t>flood protection infrastructure</w:t>
            </w:r>
            <w:r w:rsidRPr="00FC36AB">
              <w:t>?</w:t>
            </w:r>
          </w:p>
        </w:tc>
        <w:tc>
          <w:tcPr>
            <w:tcW w:w="2266" w:type="pct"/>
            <w:shd w:val="clear" w:color="auto" w:fill="DCEDC6"/>
          </w:tcPr>
          <w:p w14:paraId="65EA602C" w14:textId="1EE920D7" w:rsidR="00DB32EE" w:rsidRPr="00D00ED1" w:rsidRDefault="00DB32EE" w:rsidP="00D93256">
            <w:pPr>
              <w:pStyle w:val="STPR2TableBody"/>
            </w:pPr>
            <w:r>
              <w:t>Mapping of existing transport interchanges</w:t>
            </w:r>
          </w:p>
        </w:tc>
      </w:tr>
      <w:tr w:rsidR="00DB32EE" w:rsidRPr="00D00ED1" w14:paraId="2D62B003" w14:textId="77777777" w:rsidTr="0061256A">
        <w:tc>
          <w:tcPr>
            <w:tcW w:w="562" w:type="pct"/>
            <w:shd w:val="clear" w:color="auto" w:fill="DCEDC6"/>
          </w:tcPr>
          <w:p w14:paraId="055495E2" w14:textId="77777777" w:rsidR="00DB32EE" w:rsidRPr="00D00ED1" w:rsidRDefault="00DB32EE" w:rsidP="00D93256">
            <w:pPr>
              <w:pStyle w:val="STPR2TableBody"/>
            </w:pPr>
          </w:p>
        </w:tc>
        <w:tc>
          <w:tcPr>
            <w:tcW w:w="631" w:type="pct"/>
            <w:shd w:val="clear" w:color="auto" w:fill="DCEDC6"/>
          </w:tcPr>
          <w:p w14:paraId="1906BB46" w14:textId="74FC9909" w:rsidR="00DB32EE" w:rsidRPr="00D00ED1" w:rsidRDefault="00DB32EE" w:rsidP="00D93256">
            <w:pPr>
              <w:pStyle w:val="STPR2TableBody"/>
            </w:pPr>
            <w:r w:rsidRPr="000D2337">
              <w:t>Reduce use of natural resources</w:t>
            </w:r>
            <w:r>
              <w:t>.</w:t>
            </w:r>
          </w:p>
        </w:tc>
        <w:tc>
          <w:tcPr>
            <w:tcW w:w="1540" w:type="pct"/>
            <w:shd w:val="clear" w:color="auto" w:fill="DCEDC6"/>
          </w:tcPr>
          <w:p w14:paraId="324B1A70" w14:textId="1B1368A6" w:rsidR="00DB32EE" w:rsidRPr="00D00ED1" w:rsidRDefault="00DB32EE" w:rsidP="00D93256">
            <w:pPr>
              <w:pStyle w:val="STPR2TableBody"/>
            </w:pPr>
            <w:r>
              <w:t>E</w:t>
            </w:r>
            <w:r w:rsidRPr="0022341B">
              <w:t>nsure transport infrastructure and innovation delivers/contributes to the circular economy</w:t>
            </w:r>
            <w:r>
              <w:t>?</w:t>
            </w:r>
          </w:p>
        </w:tc>
        <w:tc>
          <w:tcPr>
            <w:tcW w:w="2266" w:type="pct"/>
            <w:shd w:val="clear" w:color="auto" w:fill="DCEDC6"/>
          </w:tcPr>
          <w:p w14:paraId="06420266" w14:textId="77777777" w:rsidR="00DB32EE" w:rsidRPr="00D00ED1" w:rsidRDefault="00DB32EE" w:rsidP="00D93256">
            <w:pPr>
              <w:pStyle w:val="STPR2TableBody"/>
            </w:pPr>
          </w:p>
        </w:tc>
      </w:tr>
      <w:tr w:rsidR="000C6958" w:rsidRPr="00D00ED1" w14:paraId="57FE1B6B" w14:textId="77777777" w:rsidTr="0061256A">
        <w:trPr>
          <w:cantSplit/>
        </w:trPr>
        <w:tc>
          <w:tcPr>
            <w:tcW w:w="562" w:type="pct"/>
            <w:shd w:val="clear" w:color="auto" w:fill="DCEDC6"/>
          </w:tcPr>
          <w:p w14:paraId="3E073C54" w14:textId="709D89A1" w:rsidR="000C6958" w:rsidRPr="00D00ED1" w:rsidRDefault="000C6958" w:rsidP="00D93256">
            <w:pPr>
              <w:pStyle w:val="STPR2TableBody"/>
            </w:pPr>
            <w:r w:rsidRPr="00D00ED1">
              <w:lastRenderedPageBreak/>
              <w:t xml:space="preserve">Water Environment </w:t>
            </w:r>
          </w:p>
        </w:tc>
        <w:tc>
          <w:tcPr>
            <w:tcW w:w="631" w:type="pct"/>
            <w:shd w:val="clear" w:color="auto" w:fill="DCEDC6"/>
          </w:tcPr>
          <w:p w14:paraId="36A2492B" w14:textId="66B5E829" w:rsidR="000C6958" w:rsidRPr="00D00ED1" w:rsidRDefault="000C6958" w:rsidP="00D93256">
            <w:pPr>
              <w:pStyle w:val="STPR2TableBody"/>
            </w:pPr>
            <w:r w:rsidRPr="000D2337">
              <w:t xml:space="preserve">Protect, maintain and improve the quality of water bodies and wetlands </w:t>
            </w:r>
            <w:r>
              <w:t>that could be directly or indirectly affected by transport infrastructure</w:t>
            </w:r>
            <w:r w:rsidRPr="000D2337">
              <w:t xml:space="preserve"> (with respect to Water Framework Directive targets) and protect against the risk of flooding</w:t>
            </w:r>
            <w:r>
              <w:t>.</w:t>
            </w:r>
          </w:p>
        </w:tc>
        <w:tc>
          <w:tcPr>
            <w:tcW w:w="1540" w:type="pct"/>
            <w:shd w:val="clear" w:color="auto" w:fill="DCEDC6"/>
          </w:tcPr>
          <w:p w14:paraId="0ADDCA9F" w14:textId="3906E092" w:rsidR="000C6958" w:rsidRPr="006C3B89" w:rsidRDefault="00806A31" w:rsidP="00D93256">
            <w:pPr>
              <w:pStyle w:val="STPR2TableBody"/>
            </w:pPr>
            <w:r>
              <w:t>S</w:t>
            </w:r>
            <w:r w:rsidR="000C6958" w:rsidRPr="006C3B89">
              <w:t>upport and enhance</w:t>
            </w:r>
            <w:r w:rsidR="000C6958">
              <w:t xml:space="preserve"> the network of</w:t>
            </w:r>
            <w:r w:rsidR="000C6958" w:rsidRPr="006C3B89">
              <w:t xml:space="preserve"> blue and green infrastructure</w:t>
            </w:r>
            <w:r w:rsidR="000C6958">
              <w:t>?</w:t>
            </w:r>
          </w:p>
          <w:p w14:paraId="79B2DAA0" w14:textId="3FA8D705" w:rsidR="000C6958" w:rsidRPr="006C3B89" w:rsidRDefault="009F6CA2" w:rsidP="00D93256">
            <w:pPr>
              <w:pStyle w:val="STPR2TableBody"/>
            </w:pPr>
            <w:r>
              <w:t>E</w:t>
            </w:r>
            <w:r w:rsidR="000C6958" w:rsidRPr="006C3B89">
              <w:t>nsure transport network resilience to climate change and flood risk</w:t>
            </w:r>
            <w:r w:rsidR="000C6958">
              <w:t>?</w:t>
            </w:r>
          </w:p>
          <w:p w14:paraId="5D7A140D" w14:textId="7DF8EFA2" w:rsidR="000C6958" w:rsidRPr="006C3B89" w:rsidRDefault="009F6CA2" w:rsidP="00D93256">
            <w:pPr>
              <w:pStyle w:val="STPR2TableBody"/>
            </w:pPr>
            <w:r>
              <w:t>C</w:t>
            </w:r>
            <w:r w:rsidR="000C6958" w:rsidRPr="006C3B89">
              <w:t xml:space="preserve">onstrain any water bodies from achievement of </w:t>
            </w:r>
            <w:r w:rsidR="000C6958">
              <w:t>Good Ecological Status</w:t>
            </w:r>
            <w:r w:rsidR="000C6958" w:rsidRPr="006C3B89">
              <w:t>/G</w:t>
            </w:r>
            <w:r w:rsidR="000C6958">
              <w:t>ood Ecological Potential</w:t>
            </w:r>
            <w:r w:rsidR="000C6958" w:rsidRPr="006C3B89">
              <w:t xml:space="preserve"> under the W</w:t>
            </w:r>
            <w:r w:rsidR="000C6958">
              <w:t>ater Framework Directive (WFD)?</w:t>
            </w:r>
            <w:r w:rsidR="000C6958" w:rsidRPr="006C3B89">
              <w:t xml:space="preserve"> </w:t>
            </w:r>
          </w:p>
          <w:p w14:paraId="2F600E2A" w14:textId="007DAEAF" w:rsidR="000C6958" w:rsidRDefault="009F6CA2" w:rsidP="00D93256">
            <w:pPr>
              <w:pStyle w:val="STPR2TableBody"/>
            </w:pPr>
            <w:r>
              <w:t>I</w:t>
            </w:r>
            <w:r w:rsidR="000C6958" w:rsidRPr="006C3B89">
              <w:t xml:space="preserve">ncrease the risk of diffuse pollution from </w:t>
            </w:r>
            <w:r w:rsidR="000C6958">
              <w:t xml:space="preserve">current or </w:t>
            </w:r>
            <w:r w:rsidR="000C6958" w:rsidRPr="006C3B89">
              <w:t>increasing traffic volumes?</w:t>
            </w:r>
          </w:p>
          <w:p w14:paraId="130C3A20" w14:textId="3625BAA8" w:rsidR="000C6958" w:rsidRPr="006C3B89" w:rsidRDefault="009F6CA2" w:rsidP="00D93256">
            <w:pPr>
              <w:pStyle w:val="STPR2TableBody"/>
            </w:pPr>
            <w:r>
              <w:t>I</w:t>
            </w:r>
            <w:r w:rsidR="000C6958">
              <w:t>mprove the quality of surface water draining from the transport network (</w:t>
            </w:r>
            <w:r w:rsidR="00167789">
              <w:t>for example,</w:t>
            </w:r>
            <w:r w:rsidR="000C6958">
              <w:t xml:space="preserve"> reducing salt spreading in winter, expanded or improved Sustainable Drainage System network)</w:t>
            </w:r>
            <w:r w:rsidR="004F66B9">
              <w:t>?</w:t>
            </w:r>
          </w:p>
          <w:p w14:paraId="571EA16F" w14:textId="744EAE33" w:rsidR="000C6958" w:rsidRDefault="009F6CA2" w:rsidP="00D93256">
            <w:pPr>
              <w:pStyle w:val="STPR2TableBody"/>
            </w:pPr>
            <w:r>
              <w:t>I</w:t>
            </w:r>
            <w:r w:rsidR="000C6958" w:rsidRPr="006C3B89">
              <w:t>ncrease development</w:t>
            </w:r>
            <w:r w:rsidR="000C6958">
              <w:t xml:space="preserve"> </w:t>
            </w:r>
            <w:r w:rsidR="000C6958" w:rsidRPr="006C3B89">
              <w:t>that physically impacts on a waterbody</w:t>
            </w:r>
            <w:r w:rsidR="000C6958">
              <w:t xml:space="preserve">, </w:t>
            </w:r>
            <w:r w:rsidR="000C6958" w:rsidRPr="006C3B89">
              <w:t>watercourse or the coastline</w:t>
            </w:r>
            <w:r w:rsidR="000C6958">
              <w:t>?</w:t>
            </w:r>
          </w:p>
          <w:p w14:paraId="4D2407EC" w14:textId="60769F9D" w:rsidR="000C6958" w:rsidRDefault="009F6CA2" w:rsidP="00D93256">
            <w:pPr>
              <w:pStyle w:val="STPR2TableBody"/>
            </w:pPr>
            <w:r>
              <w:t>P</w:t>
            </w:r>
            <w:r w:rsidR="000C6958">
              <w:t>romote removal of artificial transport-related structures in water bodies (</w:t>
            </w:r>
            <w:r w:rsidR="00167789">
              <w:t>for example,</w:t>
            </w:r>
            <w:r w:rsidR="000C6958">
              <w:t xml:space="preserve"> bridge piers, concrete slipways)?</w:t>
            </w:r>
          </w:p>
          <w:p w14:paraId="7A50D873" w14:textId="6DA4F617" w:rsidR="000C6958" w:rsidRPr="00D00ED1" w:rsidRDefault="009F6CA2" w:rsidP="00D93256">
            <w:pPr>
              <w:pStyle w:val="STPR2TableBody"/>
            </w:pPr>
            <w:r>
              <w:t>P</w:t>
            </w:r>
            <w:r w:rsidR="000C6958">
              <w:t>romote natural flood management techniques?</w:t>
            </w:r>
          </w:p>
        </w:tc>
        <w:tc>
          <w:tcPr>
            <w:tcW w:w="2266" w:type="pct"/>
            <w:shd w:val="clear" w:color="auto" w:fill="DCEDC6"/>
          </w:tcPr>
          <w:p w14:paraId="0A8CAD51" w14:textId="77777777" w:rsidR="000C6958" w:rsidRDefault="000C6958" w:rsidP="00D93256">
            <w:pPr>
              <w:pStyle w:val="STPR2TableBody"/>
            </w:pPr>
            <w:r>
              <w:t>Mapping of green and blue infrastructure</w:t>
            </w:r>
          </w:p>
          <w:p w14:paraId="51E1A184" w14:textId="6B9864B4" w:rsidR="000C6958" w:rsidRPr="00D00ED1" w:rsidRDefault="000C6958" w:rsidP="00D93256">
            <w:pPr>
              <w:pStyle w:val="STPR2TableBody"/>
            </w:pPr>
            <w:r>
              <w:t>Maps showing the WFD status of water bodies adjacent to transport infrastructure</w:t>
            </w:r>
          </w:p>
        </w:tc>
      </w:tr>
      <w:tr w:rsidR="000C6958" w:rsidRPr="00D00ED1" w14:paraId="6CF89A7A" w14:textId="77777777" w:rsidTr="0061256A">
        <w:trPr>
          <w:cantSplit/>
        </w:trPr>
        <w:tc>
          <w:tcPr>
            <w:tcW w:w="562" w:type="pct"/>
            <w:shd w:val="clear" w:color="auto" w:fill="DCEDC6"/>
          </w:tcPr>
          <w:p w14:paraId="4A6EC93D" w14:textId="505C383D" w:rsidR="000C6958" w:rsidRPr="00D00ED1" w:rsidRDefault="000C6958" w:rsidP="00D93256">
            <w:pPr>
              <w:pStyle w:val="STPR2TableBody"/>
            </w:pPr>
            <w:r w:rsidRPr="00D00ED1">
              <w:t>Biodiversity</w:t>
            </w:r>
          </w:p>
        </w:tc>
        <w:tc>
          <w:tcPr>
            <w:tcW w:w="631" w:type="pct"/>
            <w:shd w:val="clear" w:color="auto" w:fill="DCEDC6"/>
          </w:tcPr>
          <w:p w14:paraId="67195470" w14:textId="55B6BA03" w:rsidR="000C6958" w:rsidRPr="00D00ED1" w:rsidRDefault="000C6958" w:rsidP="00D93256">
            <w:pPr>
              <w:pStyle w:val="STPR2TableBody"/>
            </w:pPr>
            <w:r w:rsidRPr="000D2337">
              <w:t xml:space="preserve">Protect, maintain and </w:t>
            </w:r>
            <w:r w:rsidRPr="000D2337">
              <w:lastRenderedPageBreak/>
              <w:t>enhance biodiversity and ecosystem services, avoiding damage to or loss of designated and undesignated wildlife or geological sites.</w:t>
            </w:r>
          </w:p>
        </w:tc>
        <w:tc>
          <w:tcPr>
            <w:tcW w:w="1540" w:type="pct"/>
            <w:shd w:val="clear" w:color="auto" w:fill="DCEDC6"/>
          </w:tcPr>
          <w:p w14:paraId="51C943D3" w14:textId="41D6290B" w:rsidR="000C6958" w:rsidRPr="00F604A5" w:rsidRDefault="009F6CA2" w:rsidP="00D93256">
            <w:pPr>
              <w:pStyle w:val="STPR2TableBody"/>
            </w:pPr>
            <w:r>
              <w:lastRenderedPageBreak/>
              <w:t>P</w:t>
            </w:r>
            <w:r w:rsidR="000C6958" w:rsidRPr="00F604A5">
              <w:t>rotect and</w:t>
            </w:r>
            <w:r w:rsidR="000C6958">
              <w:t xml:space="preserve">/ </w:t>
            </w:r>
            <w:r w:rsidR="000C6958" w:rsidRPr="00F604A5">
              <w:t>or enhance the integrity</w:t>
            </w:r>
            <w:r w:rsidR="000C6958">
              <w:t xml:space="preserve"> </w:t>
            </w:r>
            <w:r w:rsidR="000C6958" w:rsidRPr="00F604A5">
              <w:t>of any site</w:t>
            </w:r>
            <w:r w:rsidR="000C6958">
              <w:t xml:space="preserve"> of biodiversity or geological </w:t>
            </w:r>
            <w:r w:rsidR="000C6958">
              <w:lastRenderedPageBreak/>
              <w:t>value that has been</w:t>
            </w:r>
            <w:r w:rsidR="000C6958" w:rsidRPr="00F604A5">
              <w:t xml:space="preserve"> designated at international, national</w:t>
            </w:r>
            <w:r w:rsidR="000C6958">
              <w:t xml:space="preserve"> </w:t>
            </w:r>
            <w:r w:rsidR="000C6958" w:rsidRPr="00F604A5">
              <w:t>or local levels</w:t>
            </w:r>
            <w:r w:rsidR="009C3D78">
              <w:t xml:space="preserve"> </w:t>
            </w:r>
            <w:r w:rsidR="000C6958">
              <w:t>(</w:t>
            </w:r>
            <w:r w:rsidR="00167789">
              <w:t>for example,</w:t>
            </w:r>
            <w:r w:rsidR="000C6958">
              <w:t xml:space="preserve"> land take, fragmentation or indirect degradation)</w:t>
            </w:r>
            <w:r w:rsidR="009C3D78">
              <w:t>?</w:t>
            </w:r>
          </w:p>
          <w:p w14:paraId="313BC826" w14:textId="5815C4FE" w:rsidR="000C6958" w:rsidRDefault="009F6CA2" w:rsidP="00D93256">
            <w:pPr>
              <w:pStyle w:val="STPR2TableBody"/>
            </w:pPr>
            <w:r>
              <w:t>P</w:t>
            </w:r>
            <w:r w:rsidR="000C6958" w:rsidRPr="00F604A5">
              <w:t>rotect and or enhance the integrity of existing habitat and green/blue networks and other wildlife corridors</w:t>
            </w:r>
            <w:r w:rsidR="000C6958">
              <w:t xml:space="preserve"> (including the ecological connections between separate Natura 2000 sites and ‘landscape-scale’ corridors)</w:t>
            </w:r>
            <w:r w:rsidR="00CE28A1">
              <w:t>?</w:t>
            </w:r>
          </w:p>
          <w:p w14:paraId="5D7A331E" w14:textId="011FDB55" w:rsidR="000C6958" w:rsidRPr="00F604A5" w:rsidRDefault="009F6CA2" w:rsidP="00D93256">
            <w:pPr>
              <w:pStyle w:val="STPR2TableBody"/>
            </w:pPr>
            <w:r>
              <w:t>M</w:t>
            </w:r>
            <w:r w:rsidR="000C6958">
              <w:t>aintain or upgrade transport network to remove barriers to wildlife movement?</w:t>
            </w:r>
          </w:p>
          <w:p w14:paraId="6F764510" w14:textId="0799B196" w:rsidR="009F6CA2" w:rsidRDefault="009F6CA2" w:rsidP="00D93256">
            <w:pPr>
              <w:pStyle w:val="STPR2TableBody"/>
            </w:pPr>
            <w:r>
              <w:t>R</w:t>
            </w:r>
            <w:r w:rsidR="000C6958">
              <w:t>educe the risk of spreading invasive non-native species?</w:t>
            </w:r>
          </w:p>
          <w:p w14:paraId="30160531" w14:textId="4FF1711F" w:rsidR="000C6958" w:rsidRDefault="009F6CA2" w:rsidP="00D93256">
            <w:pPr>
              <w:pStyle w:val="STPR2TableBody"/>
            </w:pPr>
            <w:r>
              <w:t>P</w:t>
            </w:r>
            <w:r w:rsidR="000C6958">
              <w:t xml:space="preserve">rovide opportunities </w:t>
            </w:r>
            <w:r w:rsidR="00D006D3">
              <w:t xml:space="preserve">to provide positive effects </w:t>
            </w:r>
            <w:r w:rsidR="000C6958">
              <w:t xml:space="preserve">for </w:t>
            </w:r>
            <w:r w:rsidR="00D006D3">
              <w:t xml:space="preserve">biodiversity </w:t>
            </w:r>
            <w:r w:rsidR="00167789">
              <w:t>for example,</w:t>
            </w:r>
            <w:r w:rsidR="000C6958">
              <w:t xml:space="preserve"> habitat creation or </w:t>
            </w:r>
            <w:r w:rsidR="00D006D3">
              <w:t>enhancement</w:t>
            </w:r>
            <w:r w:rsidR="000C6958">
              <w:t>?</w:t>
            </w:r>
          </w:p>
          <w:p w14:paraId="57D1F467" w14:textId="2BD586BA" w:rsidR="000C6958" w:rsidRPr="00D00ED1" w:rsidRDefault="009F6CA2" w:rsidP="00D93256">
            <w:pPr>
              <w:pStyle w:val="STPR2TableBody"/>
            </w:pPr>
            <w:r>
              <w:t>A</w:t>
            </w:r>
            <w:r w:rsidR="000C6958">
              <w:t>lign with the strategic goals of the Aichi Biodiversity Targets and 2020 outcomes for Scotland?</w:t>
            </w:r>
          </w:p>
        </w:tc>
        <w:tc>
          <w:tcPr>
            <w:tcW w:w="2266" w:type="pct"/>
            <w:shd w:val="clear" w:color="auto" w:fill="DCEDC6"/>
          </w:tcPr>
          <w:p w14:paraId="2C99F7D3" w14:textId="77777777" w:rsidR="000C6958" w:rsidRDefault="000C6958" w:rsidP="00D93256">
            <w:pPr>
              <w:pStyle w:val="STPR2TableBody"/>
            </w:pPr>
            <w:r>
              <w:lastRenderedPageBreak/>
              <w:t>Mapping of designated biodiversity and geological sites</w:t>
            </w:r>
          </w:p>
          <w:p w14:paraId="29C51C6A" w14:textId="77777777" w:rsidR="000C6958" w:rsidRDefault="000C6958" w:rsidP="00D93256">
            <w:pPr>
              <w:pStyle w:val="STPR2TableBody"/>
            </w:pPr>
            <w:r>
              <w:t>Mapping of green and blue infrastructure</w:t>
            </w:r>
          </w:p>
          <w:p w14:paraId="09DFE248" w14:textId="0820582B" w:rsidR="000C6958" w:rsidRPr="00D00ED1" w:rsidRDefault="000C6958" w:rsidP="00D93256">
            <w:pPr>
              <w:pStyle w:val="STPR2TableBody"/>
            </w:pPr>
            <w:r>
              <w:lastRenderedPageBreak/>
              <w:t>Aichi Biodiversity Targets and 2020 outcomes for Scotland</w:t>
            </w:r>
            <w:r w:rsidR="00575CEE">
              <w:t xml:space="preserve">: </w:t>
            </w:r>
            <w:hyperlink r:id="rId27" w:history="1">
              <w:r w:rsidR="00575CEE" w:rsidRPr="00394CCF">
                <w:rPr>
                  <w:rStyle w:val="Hyperlink"/>
                </w:rPr>
                <w:t>https://www.nature.scot/scotlands-biodiversity-progress-2020-aichi-targets-conserving-genetic-diversity-development-national</w:t>
              </w:r>
            </w:hyperlink>
            <w:r w:rsidR="00575CEE">
              <w:t xml:space="preserve"> </w:t>
            </w:r>
          </w:p>
        </w:tc>
      </w:tr>
      <w:tr w:rsidR="000C6958" w:rsidRPr="00D00ED1" w14:paraId="490965F1" w14:textId="77777777" w:rsidTr="0061256A">
        <w:tc>
          <w:tcPr>
            <w:tcW w:w="562" w:type="pct"/>
            <w:shd w:val="clear" w:color="auto" w:fill="DCEDC6"/>
          </w:tcPr>
          <w:p w14:paraId="184B2E9D" w14:textId="7CE656E5" w:rsidR="000C6958" w:rsidRPr="00D00ED1" w:rsidRDefault="000C6958" w:rsidP="00D93256">
            <w:pPr>
              <w:pStyle w:val="STPR2TableBody"/>
            </w:pPr>
            <w:r w:rsidRPr="00D00ED1">
              <w:lastRenderedPageBreak/>
              <w:t>Soil</w:t>
            </w:r>
          </w:p>
        </w:tc>
        <w:tc>
          <w:tcPr>
            <w:tcW w:w="631" w:type="pct"/>
            <w:shd w:val="clear" w:color="auto" w:fill="DCEDC6"/>
          </w:tcPr>
          <w:p w14:paraId="3D58A978" w14:textId="4C1722F9" w:rsidR="000C6958" w:rsidRPr="00D00ED1" w:rsidRDefault="000C6958" w:rsidP="00D93256">
            <w:pPr>
              <w:pStyle w:val="STPR2TableBody"/>
            </w:pPr>
            <w:r w:rsidRPr="000D2337">
              <w:t xml:space="preserve">Safeguard and improve soil quality in Scotland, </w:t>
            </w:r>
            <w:r w:rsidRPr="000D2337">
              <w:lastRenderedPageBreak/>
              <w:t xml:space="preserve">particularly high value agricultural land and </w:t>
            </w:r>
            <w:r>
              <w:t>carbon-rich soil</w:t>
            </w:r>
            <w:r w:rsidR="006718DB">
              <w:t>.</w:t>
            </w:r>
          </w:p>
        </w:tc>
        <w:tc>
          <w:tcPr>
            <w:tcW w:w="1540" w:type="pct"/>
            <w:shd w:val="clear" w:color="auto" w:fill="DCEDC6"/>
          </w:tcPr>
          <w:p w14:paraId="0D6A3FFB" w14:textId="0B56EB50" w:rsidR="000C6958" w:rsidRDefault="009F6CA2" w:rsidP="00D93256">
            <w:pPr>
              <w:pStyle w:val="STPR2TableBody"/>
            </w:pPr>
            <w:r>
              <w:lastRenderedPageBreak/>
              <w:t>A</w:t>
            </w:r>
            <w:r w:rsidR="000C6958" w:rsidRPr="00FC36AB">
              <w:t>void and minimise disturbance of rare soils, high</w:t>
            </w:r>
            <w:r w:rsidR="000C6958">
              <w:t>-</w:t>
            </w:r>
            <w:r w:rsidR="000C6958" w:rsidRPr="00FC36AB">
              <w:t>carbon</w:t>
            </w:r>
            <w:r w:rsidR="000C6958">
              <w:t xml:space="preserve"> (including peat)</w:t>
            </w:r>
            <w:r w:rsidR="000C6958" w:rsidRPr="00FC36AB">
              <w:t xml:space="preserve"> and wetland soils and productive agricultural land?</w:t>
            </w:r>
            <w:r w:rsidR="000C6958">
              <w:t xml:space="preserve"> </w:t>
            </w:r>
          </w:p>
          <w:p w14:paraId="40253C6D" w14:textId="06F97BA9" w:rsidR="000C6958" w:rsidRPr="00FC36AB" w:rsidRDefault="009F6CA2" w:rsidP="00D93256">
            <w:pPr>
              <w:pStyle w:val="STPR2TableBody"/>
            </w:pPr>
            <w:r>
              <w:lastRenderedPageBreak/>
              <w:t>A</w:t>
            </w:r>
            <w:r w:rsidR="000C6958" w:rsidRPr="00FC36AB">
              <w:t>void indirect impacts on off-site peat and wetland soils to maintain natural processes of hydrological and ecological regimes?</w:t>
            </w:r>
          </w:p>
          <w:p w14:paraId="6F8BFCEF" w14:textId="72433900" w:rsidR="000C6958" w:rsidRDefault="009F6CA2" w:rsidP="00D93256">
            <w:pPr>
              <w:pStyle w:val="STPR2TableBody"/>
            </w:pPr>
            <w:r>
              <w:t>A</w:t>
            </w:r>
            <w:r w:rsidR="000C6958" w:rsidRPr="00FC36AB">
              <w:t xml:space="preserve">void or minimise land take </w:t>
            </w:r>
            <w:r w:rsidR="000C6958">
              <w:t xml:space="preserve">of greenfield sites? </w:t>
            </w:r>
          </w:p>
          <w:p w14:paraId="687346C5" w14:textId="0D967805" w:rsidR="000C6958" w:rsidRPr="00D00ED1" w:rsidRDefault="009F6CA2" w:rsidP="00D93256">
            <w:pPr>
              <w:pStyle w:val="STPR2TableBody"/>
            </w:pPr>
            <w:r>
              <w:t>R</w:t>
            </w:r>
            <w:r w:rsidR="000C6958">
              <w:t>educe risk of soil sealing, contamination or erosion on a significant scale?</w:t>
            </w:r>
          </w:p>
        </w:tc>
        <w:tc>
          <w:tcPr>
            <w:tcW w:w="2266" w:type="pct"/>
            <w:shd w:val="clear" w:color="auto" w:fill="DCEDC6"/>
          </w:tcPr>
          <w:p w14:paraId="296EEDC7" w14:textId="77777777" w:rsidR="000C6958" w:rsidRDefault="000C6958" w:rsidP="00D93256">
            <w:pPr>
              <w:pStyle w:val="STPR2TableBody"/>
            </w:pPr>
            <w:r w:rsidRPr="00A10DA3">
              <w:lastRenderedPageBreak/>
              <w:t xml:space="preserve">SNH peat map classification </w:t>
            </w:r>
          </w:p>
          <w:p w14:paraId="1FA4A896" w14:textId="77777777" w:rsidR="000C6958" w:rsidRDefault="000C6958" w:rsidP="00D93256">
            <w:pPr>
              <w:pStyle w:val="STPR2TableBody"/>
            </w:pPr>
            <w:r>
              <w:t>Mapping of significant brownfield and/or contaminated sites</w:t>
            </w:r>
          </w:p>
          <w:p w14:paraId="0AE44C4D" w14:textId="77777777" w:rsidR="000C6958" w:rsidRDefault="000C6958" w:rsidP="00D93256">
            <w:pPr>
              <w:pStyle w:val="STPR2TableBody"/>
            </w:pPr>
            <w:r>
              <w:lastRenderedPageBreak/>
              <w:t>Maps of soil erosion risk (partial coverage of the country) available on Scotland’s soils website</w:t>
            </w:r>
          </w:p>
          <w:p w14:paraId="734FD639" w14:textId="77777777" w:rsidR="000C6958" w:rsidRDefault="000C6958" w:rsidP="00D93256">
            <w:pPr>
              <w:pStyle w:val="STPR2TableBody"/>
            </w:pPr>
            <w:r>
              <w:t>Land capability for agriculture maps (partial coverage)</w:t>
            </w:r>
          </w:p>
          <w:p w14:paraId="58DA4802" w14:textId="2BA08E1F" w:rsidR="000C6958" w:rsidRPr="00D00ED1" w:rsidRDefault="000C6958" w:rsidP="00D93256">
            <w:pPr>
              <w:pStyle w:val="STPR2TableBody"/>
            </w:pPr>
            <w:r>
              <w:t>Carbon and peatland map 2016</w:t>
            </w:r>
          </w:p>
        </w:tc>
      </w:tr>
      <w:tr w:rsidR="000C6958" w:rsidRPr="00D00ED1" w14:paraId="338D1E4F" w14:textId="77777777" w:rsidTr="0061256A">
        <w:trPr>
          <w:cantSplit/>
        </w:trPr>
        <w:tc>
          <w:tcPr>
            <w:tcW w:w="562" w:type="pct"/>
            <w:shd w:val="clear" w:color="auto" w:fill="DCEDC6"/>
          </w:tcPr>
          <w:p w14:paraId="0898BA00" w14:textId="497909B6" w:rsidR="000C6958" w:rsidRPr="00D00ED1" w:rsidRDefault="000C6958" w:rsidP="00D93256">
            <w:pPr>
              <w:pStyle w:val="STPR2TableBody"/>
            </w:pPr>
            <w:r w:rsidRPr="00D00ED1">
              <w:lastRenderedPageBreak/>
              <w:t>Cultural Heritage</w:t>
            </w:r>
          </w:p>
        </w:tc>
        <w:tc>
          <w:tcPr>
            <w:tcW w:w="631" w:type="pct"/>
            <w:shd w:val="clear" w:color="auto" w:fill="DCEDC6"/>
          </w:tcPr>
          <w:p w14:paraId="6624579B" w14:textId="43766BC6" w:rsidR="000C6958" w:rsidRPr="00D00ED1" w:rsidRDefault="000C6958" w:rsidP="00D93256">
            <w:pPr>
              <w:pStyle w:val="STPR2TableBody"/>
            </w:pPr>
            <w:r>
              <w:t>Protect</w:t>
            </w:r>
            <w:r w:rsidRPr="000D2337">
              <w:t xml:space="preserve"> and enhance (where appropriate) historic </w:t>
            </w:r>
            <w:r>
              <w:t>and</w:t>
            </w:r>
            <w:r w:rsidRPr="000D2337">
              <w:t xml:space="preserve"> archaeological sites and other culturally and historically important features</w:t>
            </w:r>
            <w:r>
              <w:t>, landscapes</w:t>
            </w:r>
            <w:r w:rsidRPr="000D2337">
              <w:t xml:space="preserve"> and their settings.</w:t>
            </w:r>
          </w:p>
        </w:tc>
        <w:tc>
          <w:tcPr>
            <w:tcW w:w="1540" w:type="pct"/>
            <w:shd w:val="clear" w:color="auto" w:fill="DCEDC6"/>
          </w:tcPr>
          <w:p w14:paraId="1B41CBB3" w14:textId="3758F2F6" w:rsidR="000C6958" w:rsidRDefault="009F6CA2" w:rsidP="00D93256">
            <w:pPr>
              <w:pStyle w:val="STPR2TableBody"/>
            </w:pPr>
            <w:r>
              <w:t>A</w:t>
            </w:r>
            <w:r w:rsidR="000C6958">
              <w:t xml:space="preserve">void </w:t>
            </w:r>
            <w:r w:rsidR="000C6958" w:rsidRPr="00FF7DF5">
              <w:t xml:space="preserve">significant effects (direct or indirect) on </w:t>
            </w:r>
            <w:r w:rsidR="000C6958">
              <w:t>designated or undesignated</w:t>
            </w:r>
            <w:r w:rsidR="000C6958" w:rsidRPr="00FF7DF5">
              <w:t xml:space="preserve"> archaeological sites</w:t>
            </w:r>
            <w:r w:rsidR="000C6958">
              <w:t>,</w:t>
            </w:r>
            <w:r w:rsidR="000C6958" w:rsidRPr="00FF7DF5">
              <w:t xml:space="preserve"> as well as other culturally and historically important features</w:t>
            </w:r>
            <w:r w:rsidR="000C6958">
              <w:t xml:space="preserve">, including Conservation Areas, </w:t>
            </w:r>
            <w:r w:rsidR="000C6958" w:rsidRPr="0089242C">
              <w:t>inventory sites for Battlefields and Gardens and Designed Landscapes</w:t>
            </w:r>
            <w:r w:rsidR="000C6958">
              <w:t>?</w:t>
            </w:r>
          </w:p>
          <w:p w14:paraId="46304534" w14:textId="0BD3D429" w:rsidR="000C6958" w:rsidRDefault="009F6CA2" w:rsidP="00D93256">
            <w:pPr>
              <w:pStyle w:val="STPR2TableBody"/>
            </w:pPr>
            <w:r>
              <w:t>P</w:t>
            </w:r>
            <w:r w:rsidR="000C6958">
              <w:t>rotect key views to and from heritage assets?</w:t>
            </w:r>
          </w:p>
          <w:p w14:paraId="44DBB80D" w14:textId="17124C17" w:rsidR="000C6958" w:rsidRPr="00D00ED1" w:rsidRDefault="009F6CA2" w:rsidP="00D93256">
            <w:pPr>
              <w:pStyle w:val="STPR2TableBody"/>
            </w:pPr>
            <w:r>
              <w:t>I</w:t>
            </w:r>
            <w:r w:rsidR="000C6958">
              <w:t>mprove access to the historic environment?</w:t>
            </w:r>
          </w:p>
        </w:tc>
        <w:tc>
          <w:tcPr>
            <w:tcW w:w="2266" w:type="pct"/>
            <w:shd w:val="clear" w:color="auto" w:fill="DCEDC6"/>
          </w:tcPr>
          <w:p w14:paraId="3C30B499" w14:textId="311170E9" w:rsidR="000C6958" w:rsidRPr="00D00ED1" w:rsidRDefault="000C6958" w:rsidP="00D93256">
            <w:pPr>
              <w:pStyle w:val="STPR2TableBody"/>
            </w:pPr>
            <w:r>
              <w:t>Mapping of designated heritage sites or known areas of historic significance or archaeological potential</w:t>
            </w:r>
          </w:p>
        </w:tc>
      </w:tr>
      <w:tr w:rsidR="000C6958" w:rsidRPr="00D00ED1" w14:paraId="5808E74F" w14:textId="77777777" w:rsidTr="0061256A">
        <w:trPr>
          <w:cantSplit/>
        </w:trPr>
        <w:tc>
          <w:tcPr>
            <w:tcW w:w="562" w:type="pct"/>
            <w:shd w:val="clear" w:color="auto" w:fill="DCEDC6"/>
          </w:tcPr>
          <w:p w14:paraId="47D0968A" w14:textId="0525564B" w:rsidR="000C6958" w:rsidRPr="00D00ED1" w:rsidRDefault="000C6958" w:rsidP="00D93256">
            <w:pPr>
              <w:pStyle w:val="STPR2TableBody"/>
            </w:pPr>
            <w:r w:rsidRPr="00D00ED1">
              <w:lastRenderedPageBreak/>
              <w:t>Landscape and Visual Amenity</w:t>
            </w:r>
          </w:p>
        </w:tc>
        <w:tc>
          <w:tcPr>
            <w:tcW w:w="631" w:type="pct"/>
            <w:shd w:val="clear" w:color="auto" w:fill="DCEDC6"/>
          </w:tcPr>
          <w:p w14:paraId="3AB4A13A" w14:textId="61418D3A" w:rsidR="000C6958" w:rsidRPr="00D00ED1" w:rsidRDefault="000C6958" w:rsidP="00D93256">
            <w:pPr>
              <w:pStyle w:val="STPR2TableBody"/>
            </w:pPr>
            <w:r w:rsidRPr="000D2337">
              <w:t>Safeguard and enhance the character and diversity of the Scottish landscape and areas of valuable landscape.</w:t>
            </w:r>
          </w:p>
        </w:tc>
        <w:tc>
          <w:tcPr>
            <w:tcW w:w="1540" w:type="pct"/>
            <w:shd w:val="clear" w:color="auto" w:fill="DCEDC6"/>
          </w:tcPr>
          <w:p w14:paraId="3E99FC4C" w14:textId="2A9CE78F" w:rsidR="000C6958" w:rsidRDefault="009F6CA2" w:rsidP="00D93256">
            <w:pPr>
              <w:pStyle w:val="STPR2TableBody"/>
            </w:pPr>
            <w:r>
              <w:t>A</w:t>
            </w:r>
            <w:r w:rsidR="000C6958">
              <w:t>lign with the four key aims of Transport Scotland’s ‘Fitting Landscapes’ policy (</w:t>
            </w:r>
            <w:r w:rsidR="000C6958" w:rsidRPr="00EC3E2A">
              <w:t>1. Ensure high quality of</w:t>
            </w:r>
            <w:r w:rsidR="000C6958">
              <w:t xml:space="preserve"> </w:t>
            </w:r>
            <w:r w:rsidR="000C6958" w:rsidRPr="00EC3E2A">
              <w:t>design and place;</w:t>
            </w:r>
            <w:r w:rsidR="000C6958">
              <w:t xml:space="preserve"> </w:t>
            </w:r>
            <w:r w:rsidR="000C6958" w:rsidRPr="00EC3E2A">
              <w:t>2. Enhance and protect</w:t>
            </w:r>
            <w:r w:rsidR="000C6958">
              <w:t xml:space="preserve"> </w:t>
            </w:r>
            <w:r w:rsidR="000C6958" w:rsidRPr="00EC3E2A">
              <w:t>natural heritage;</w:t>
            </w:r>
            <w:r w:rsidR="000C6958">
              <w:t xml:space="preserve"> </w:t>
            </w:r>
            <w:r w:rsidR="000C6958" w:rsidRPr="00EC3E2A">
              <w:t>3. Use resources wisely;</w:t>
            </w:r>
            <w:r w:rsidR="000C6958">
              <w:t xml:space="preserve"> </w:t>
            </w:r>
            <w:r w:rsidR="000C6958" w:rsidRPr="00EC3E2A">
              <w:t>4. Build in adaptability to change</w:t>
            </w:r>
            <w:r w:rsidR="000C6958">
              <w:t>)</w:t>
            </w:r>
            <w:r w:rsidR="007577CF">
              <w:t>?</w:t>
            </w:r>
          </w:p>
          <w:p w14:paraId="3470BB5D" w14:textId="2FC039C2" w:rsidR="000C6958" w:rsidRDefault="009F6CA2" w:rsidP="00D93256">
            <w:pPr>
              <w:pStyle w:val="STPR2TableBody"/>
            </w:pPr>
            <w:r>
              <w:t>A</w:t>
            </w:r>
            <w:r w:rsidR="000C6958">
              <w:t xml:space="preserve">void significant effects (direct or indirect) on National, Regional and Local Landscape designations and mitigate where appropriate? </w:t>
            </w:r>
          </w:p>
          <w:p w14:paraId="63D0AAC3" w14:textId="1E8632D2" w:rsidR="000C6958" w:rsidRPr="00D00ED1" w:rsidRDefault="009F6CA2" w:rsidP="00D93256">
            <w:pPr>
              <w:pStyle w:val="STPR2TableBody"/>
            </w:pPr>
            <w:r>
              <w:t>P</w:t>
            </w:r>
            <w:r w:rsidR="000C6958">
              <w:t>rotect wild land areas?</w:t>
            </w:r>
          </w:p>
        </w:tc>
        <w:tc>
          <w:tcPr>
            <w:tcW w:w="2266" w:type="pct"/>
            <w:shd w:val="clear" w:color="auto" w:fill="DCEDC6"/>
          </w:tcPr>
          <w:p w14:paraId="5733DBB9" w14:textId="77777777" w:rsidR="000C6958" w:rsidRDefault="000C6958" w:rsidP="00D93256">
            <w:pPr>
              <w:pStyle w:val="STPR2TableBody"/>
            </w:pPr>
            <w:r w:rsidRPr="00A10DA3">
              <w:t>Transport Scotland’s ‘Fitting Landscapes’ policy</w:t>
            </w:r>
          </w:p>
          <w:p w14:paraId="7B811CB9" w14:textId="61D24209" w:rsidR="000C6958" w:rsidRDefault="000C6958" w:rsidP="00D93256">
            <w:pPr>
              <w:pStyle w:val="STPR2TableBody"/>
            </w:pPr>
            <w:r>
              <w:t>Mapping of designated landscapes, including National Parks and National Scenic Areas</w:t>
            </w:r>
            <w:r w:rsidR="007577CF">
              <w:t xml:space="preserve"> </w:t>
            </w:r>
            <w:hyperlink r:id="rId28" w:history="1">
              <w:r w:rsidR="007577CF" w:rsidRPr="00A43E7B">
                <w:rPr>
                  <w:rStyle w:val="Hyperlink"/>
                  <w:rFonts w:eastAsiaTheme="minorHAnsi"/>
                  <w:szCs w:val="20"/>
                </w:rPr>
                <w:t>https://www.nature.scot/wild-land-area-descriptions</w:t>
              </w:r>
            </w:hyperlink>
            <w:r w:rsidR="00DF6ACA">
              <w:t xml:space="preserve"> </w:t>
            </w:r>
          </w:p>
          <w:p w14:paraId="2337E137" w14:textId="77777777" w:rsidR="000C6958" w:rsidRDefault="000C6958" w:rsidP="00D93256">
            <w:pPr>
              <w:pStyle w:val="STPR2TableBody"/>
            </w:pPr>
            <w:r>
              <w:t>SNH Landscape Character Assessment:</w:t>
            </w:r>
          </w:p>
          <w:p w14:paraId="31C7C622" w14:textId="046C1ED7" w:rsidR="000C6958" w:rsidRPr="00D00ED1" w:rsidRDefault="00CD44C3" w:rsidP="00D93256">
            <w:pPr>
              <w:pStyle w:val="STPR2TableBody"/>
            </w:pPr>
            <w:hyperlink r:id="rId29" w:history="1">
              <w:r w:rsidR="000C6958" w:rsidRPr="004B77FB">
                <w:rPr>
                  <w:rStyle w:val="Hyperlink"/>
                  <w:rFonts w:eastAsiaTheme="minorHAnsi"/>
                  <w:szCs w:val="20"/>
                </w:rPr>
                <w:t>https://www.nature.scot/professional-advice/landscape/landscape-character-assessment/scottish-landscape-character-types-map-and-descriptions</w:t>
              </w:r>
            </w:hyperlink>
            <w:r w:rsidR="000C6958">
              <w:rPr>
                <w:rFonts w:eastAsiaTheme="minorHAnsi"/>
                <w:color w:val="191919"/>
                <w:szCs w:val="20"/>
              </w:rPr>
              <w:t xml:space="preserve"> </w:t>
            </w:r>
          </w:p>
        </w:tc>
      </w:tr>
      <w:bookmarkEnd w:id="1755"/>
    </w:tbl>
    <w:p w14:paraId="689E9D2F" w14:textId="77777777" w:rsidR="000C6958" w:rsidRDefault="000C6958" w:rsidP="000C6958"/>
    <w:p w14:paraId="28010BF6" w14:textId="77777777" w:rsidR="000C6958" w:rsidRDefault="000C6958" w:rsidP="000C6958">
      <w:pPr>
        <w:suppressAutoHyphens/>
        <w:sectPr w:rsidR="000C6958" w:rsidSect="00596516">
          <w:headerReference w:type="default" r:id="rId30"/>
          <w:footerReference w:type="default" r:id="rId31"/>
          <w:pgSz w:w="16838" w:h="11906" w:orient="landscape" w:code="9"/>
          <w:pgMar w:top="1134" w:right="1701" w:bottom="1134" w:left="1134" w:header="454" w:footer="567" w:gutter="0"/>
          <w:cols w:space="720"/>
          <w:noEndnote/>
          <w:docGrid w:linePitch="299"/>
        </w:sectPr>
      </w:pPr>
    </w:p>
    <w:p w14:paraId="2F502F11" w14:textId="3CA9E2E3" w:rsidR="00E431F3" w:rsidRDefault="00B86BDA" w:rsidP="00F903FC">
      <w:pPr>
        <w:pStyle w:val="Heading2"/>
      </w:pPr>
      <w:bookmarkStart w:id="1756" w:name="_Ref92884505"/>
      <w:bookmarkStart w:id="1757" w:name="_Toc121339133"/>
      <w:r>
        <w:lastRenderedPageBreak/>
        <w:t xml:space="preserve">Consideration of </w:t>
      </w:r>
      <w:r w:rsidRPr="00F903FC">
        <w:t>Reasonable</w:t>
      </w:r>
      <w:r w:rsidR="00E431F3">
        <w:t xml:space="preserve"> Alternatives</w:t>
      </w:r>
      <w:bookmarkEnd w:id="1756"/>
      <w:bookmarkEnd w:id="1757"/>
      <w:r w:rsidR="00E431F3">
        <w:t xml:space="preserve"> </w:t>
      </w:r>
    </w:p>
    <w:p w14:paraId="4108E99D" w14:textId="1907B6FE" w:rsidR="00B86BDA" w:rsidRDefault="00B86BDA" w:rsidP="00D93256">
      <w:pPr>
        <w:pStyle w:val="STPR2BodyText"/>
      </w:pPr>
      <w:r>
        <w:t>The</w:t>
      </w:r>
      <w:r w:rsidDel="005E1106">
        <w:t xml:space="preserve"> </w:t>
      </w:r>
      <w:r>
        <w:t xml:space="preserve">Act requires the Environmental Report to identify and assess any reasonable alternatives to the plan or programme, taking into account its objectives and geographical scope. </w:t>
      </w:r>
      <w:r w:rsidR="00F756E3">
        <w:t xml:space="preserve">According to Scottish Government (2013) guidance, </w:t>
      </w:r>
      <w:r w:rsidR="002D4042">
        <w:t xml:space="preserve">alternatives must be realistic and are likely to emerge from the plan-making process. </w:t>
      </w:r>
    </w:p>
    <w:p w14:paraId="303B5B8E" w14:textId="6ADB145B" w:rsidR="00A57D83" w:rsidRPr="00A57D83" w:rsidRDefault="00A57D83" w:rsidP="00D93256">
      <w:pPr>
        <w:pStyle w:val="STPR2BodyText"/>
        <w:rPr>
          <w:lang w:val="en-US"/>
        </w:rPr>
      </w:pPr>
      <w:r w:rsidRPr="00A57D83">
        <w:t xml:space="preserve">Given the wider policy context and legislative landscape within which transport sits, and the supporting role transport plays in the delivery of multiple outcomes, a “do nothing” scenario or a change in focus of </w:t>
      </w:r>
      <w:r w:rsidR="00E54922" w:rsidRPr="00E54922">
        <w:t xml:space="preserve">the </w:t>
      </w:r>
      <w:r w:rsidRPr="00A57D83">
        <w:t>STPR2 are not considered “reasonable alternatives” to delivering the main objectives of the strategy.</w:t>
      </w:r>
      <w:r w:rsidR="00690160">
        <w:rPr>
          <w:lang w:val="en-US"/>
        </w:rPr>
        <w:t xml:space="preserve"> </w:t>
      </w:r>
      <w:r w:rsidRPr="00A57D83">
        <w:t>Instead, reasonable alternatives have been</w:t>
      </w:r>
      <w:r w:rsidR="00102555">
        <w:t xml:space="preserve"> </w:t>
      </w:r>
      <w:r w:rsidRPr="00A57D83">
        <w:t xml:space="preserve">considered </w:t>
      </w:r>
      <w:r w:rsidR="00DC535A">
        <w:t>at the</w:t>
      </w:r>
      <w:r w:rsidRPr="00A57D83">
        <w:t xml:space="preserve"> key</w:t>
      </w:r>
      <w:r w:rsidR="00DC535A">
        <w:t xml:space="preserve"> (STAG)</w:t>
      </w:r>
      <w:r w:rsidRPr="00A57D83">
        <w:t xml:space="preserve"> stages </w:t>
      </w:r>
      <w:r w:rsidR="00B063B3">
        <w:t xml:space="preserve">of </w:t>
      </w:r>
      <w:r w:rsidR="00E54922" w:rsidRPr="00E54922">
        <w:t xml:space="preserve">the </w:t>
      </w:r>
      <w:r w:rsidR="00B063B3">
        <w:t>STPR2</w:t>
      </w:r>
      <w:r w:rsidR="00C82399">
        <w:t>, particularly at the following stages</w:t>
      </w:r>
      <w:r w:rsidR="00630372">
        <w:t>:</w:t>
      </w:r>
    </w:p>
    <w:p w14:paraId="4F301AB3" w14:textId="028B5213" w:rsidR="00A57D83" w:rsidRDefault="00A57D83" w:rsidP="00D93256">
      <w:pPr>
        <w:pStyle w:val="STPR2BulletsLevel1"/>
      </w:pPr>
      <w:r w:rsidRPr="00A57D83">
        <w:t xml:space="preserve">Preliminary Appraisal – Consideration of impacts of grouped options </w:t>
      </w:r>
      <w:r w:rsidR="009909DF">
        <w:t>(</w:t>
      </w:r>
      <w:r w:rsidR="009909DF" w:rsidRPr="009909DF">
        <w:t>Groupings</w:t>
      </w:r>
      <w:r w:rsidR="009909DF">
        <w:t>)</w:t>
      </w:r>
      <w:r w:rsidRPr="00A57D83">
        <w:t xml:space="preserve"> against alternative appraisal scenarios</w:t>
      </w:r>
      <w:r w:rsidR="003272CA">
        <w:t>;</w:t>
      </w:r>
    </w:p>
    <w:p w14:paraId="37B912F7" w14:textId="7EAE33D3" w:rsidR="00B86BDA" w:rsidRDefault="00A57D83" w:rsidP="00D93256">
      <w:pPr>
        <w:pStyle w:val="STPR2BulletsLevel1"/>
      </w:pPr>
      <w:r w:rsidRPr="00A57D83">
        <w:t xml:space="preserve">Detailed Appraisal – consideration of alternative </w:t>
      </w:r>
      <w:r w:rsidR="00887A3B">
        <w:t>P</w:t>
      </w:r>
      <w:r w:rsidR="009909DF">
        <w:t>ackages of Groupings</w:t>
      </w:r>
      <w:r w:rsidRPr="00A57D83">
        <w:t>/interventions</w:t>
      </w:r>
    </w:p>
    <w:p w14:paraId="1FE5F7FC" w14:textId="2ACE8EE7" w:rsidR="00400BB5" w:rsidRDefault="00B81343" w:rsidP="00D93256">
      <w:pPr>
        <w:pStyle w:val="STPR2BodyText"/>
      </w:pPr>
      <w:r>
        <w:t>At the Preliminary Appraisal stage, r</w:t>
      </w:r>
      <w:r w:rsidR="00400BB5" w:rsidRPr="00400BB5">
        <w:t>easonable alternative</w:t>
      </w:r>
      <w:r w:rsidR="00C54336">
        <w:t xml:space="preserve">s </w:t>
      </w:r>
      <w:r w:rsidR="00400BB5" w:rsidRPr="00400BB5">
        <w:t xml:space="preserve">were primarily focused on refinements to policy/ wording, </w:t>
      </w:r>
      <w:r w:rsidR="00791466">
        <w:t>transport op</w:t>
      </w:r>
      <w:r w:rsidR="00400BB5" w:rsidRPr="00400BB5">
        <w:t>tion</w:t>
      </w:r>
      <w:r w:rsidR="00F21F56">
        <w:t>s</w:t>
      </w:r>
      <w:r w:rsidR="00400BB5" w:rsidRPr="00400BB5">
        <w:t>, caveats and monitoring controls, based on the SEA Objectives and their underlying assessment guide questions.</w:t>
      </w:r>
      <w:r w:rsidR="0077477E">
        <w:t xml:space="preserve"> At this stage, </w:t>
      </w:r>
      <w:r w:rsidR="006C5EAD">
        <w:t xml:space="preserve">many draft </w:t>
      </w:r>
      <w:r w:rsidR="00CE2CE5">
        <w:t>op</w:t>
      </w:r>
      <w:r w:rsidR="006C5EAD">
        <w:t xml:space="preserve">tions </w:t>
      </w:r>
      <w:r w:rsidR="00760DC9">
        <w:t>that would be considered to be reasonable alternatives were</w:t>
      </w:r>
      <w:r w:rsidR="00503BAB">
        <w:t xml:space="preserve"> removed from further consideration as they did not </w:t>
      </w:r>
      <w:r w:rsidR="00D222FB">
        <w:t>score well against the T</w:t>
      </w:r>
      <w:r w:rsidR="00150534">
        <w:t>POs or the SEA Objectives.</w:t>
      </w:r>
      <w:r w:rsidR="000E67AC">
        <w:t xml:space="preserve"> </w:t>
      </w:r>
    </w:p>
    <w:p w14:paraId="781D2AD5" w14:textId="7D6CFBE8" w:rsidR="004A28A5" w:rsidRDefault="00C54336" w:rsidP="00D93256">
      <w:pPr>
        <w:pStyle w:val="STPR2BodyText"/>
      </w:pPr>
      <w:r>
        <w:t>At the Detailed Appraisal stage</w:t>
      </w:r>
      <w:r w:rsidR="00B063B3">
        <w:t>,</w:t>
      </w:r>
      <w:r w:rsidR="00BA6ACF">
        <w:t xml:space="preserve"> the principal </w:t>
      </w:r>
      <w:r w:rsidR="00B711AA">
        <w:t xml:space="preserve">consideration of </w:t>
      </w:r>
      <w:r w:rsidR="00B711AA" w:rsidRPr="00B711AA">
        <w:t>reasonable alternatives</w:t>
      </w:r>
      <w:r w:rsidR="00B711AA">
        <w:t xml:space="preserve"> has been </w:t>
      </w:r>
      <w:r w:rsidR="00333544">
        <w:t xml:space="preserve">in </w:t>
      </w:r>
      <w:r w:rsidR="00B711AA">
        <w:t>the assessment</w:t>
      </w:r>
      <w:r w:rsidR="008B7329">
        <w:t xml:space="preserve"> of mode-based </w:t>
      </w:r>
      <w:r w:rsidR="008439C0">
        <w:t>Packages</w:t>
      </w:r>
      <w:r w:rsidR="006C5A0B">
        <w:t xml:space="preserve"> </w:t>
      </w:r>
      <w:r w:rsidR="00E0184F">
        <w:t xml:space="preserve">of transport interventions </w:t>
      </w:r>
      <w:r w:rsidR="00F6782B" w:rsidRPr="002233E7">
        <w:t xml:space="preserve">against alternative appraisal scenarios. </w:t>
      </w:r>
      <w:r w:rsidR="004C68CB">
        <w:t xml:space="preserve">These are based on </w:t>
      </w:r>
      <w:r w:rsidR="00D47492">
        <w:t xml:space="preserve">the </w:t>
      </w:r>
      <w:r w:rsidR="004C68CB">
        <w:t xml:space="preserve">two </w:t>
      </w:r>
      <w:r w:rsidR="00FD2488">
        <w:t>Transport</w:t>
      </w:r>
      <w:r w:rsidR="0088419F">
        <w:t xml:space="preserve"> </w:t>
      </w:r>
      <w:r w:rsidR="00954EBD">
        <w:t>Behaviour</w:t>
      </w:r>
      <w:r w:rsidR="0088419F">
        <w:t xml:space="preserve"> Scenarios</w:t>
      </w:r>
      <w:r w:rsidR="00D47492">
        <w:t xml:space="preserve"> described in Section 2.7 of this report. </w:t>
      </w:r>
      <w:r w:rsidR="006254C2">
        <w:t>Further detail on these</w:t>
      </w:r>
      <w:r w:rsidR="00FD2488">
        <w:t xml:space="preserve"> Transport</w:t>
      </w:r>
      <w:r w:rsidR="00D251E7">
        <w:t xml:space="preserve"> </w:t>
      </w:r>
      <w:r w:rsidR="00954EBD" w:rsidRPr="00954EBD">
        <w:t xml:space="preserve">Behaviour </w:t>
      </w:r>
      <w:r w:rsidR="00D251E7">
        <w:t>Scenarios</w:t>
      </w:r>
      <w:r w:rsidR="0088240F">
        <w:t xml:space="preserve"> is</w:t>
      </w:r>
      <w:r w:rsidR="00D47492">
        <w:t xml:space="preserve"> also</w:t>
      </w:r>
      <w:r w:rsidR="0088240F">
        <w:t xml:space="preserve"> provided in the STPR2 Final Report.</w:t>
      </w:r>
    </w:p>
    <w:p w14:paraId="63EE503B" w14:textId="093CAA7E" w:rsidR="00743248" w:rsidRDefault="00743248" w:rsidP="00D93256">
      <w:pPr>
        <w:pStyle w:val="STPR2BodyText"/>
      </w:pPr>
      <w:bookmarkStart w:id="1758" w:name="_Toc81993608"/>
      <w:r w:rsidRPr="005E63FF">
        <w:rPr>
          <w:b/>
          <w:bCs/>
        </w:rPr>
        <w:t xml:space="preserve">Appendix F </w:t>
      </w:r>
      <w:r w:rsidR="005E63FF" w:rsidRPr="005E63FF">
        <w:rPr>
          <w:b/>
          <w:bCs/>
        </w:rPr>
        <w:t>(Assessment Matrices)</w:t>
      </w:r>
      <w:r w:rsidR="005E63FF">
        <w:t xml:space="preserve"> </w:t>
      </w:r>
      <w:r>
        <w:t xml:space="preserve">of this </w:t>
      </w:r>
      <w:r w:rsidR="00817976">
        <w:t xml:space="preserve">Final </w:t>
      </w:r>
      <w:r>
        <w:t xml:space="preserve">Environmental Report shows </w:t>
      </w:r>
      <w:r w:rsidR="00544064">
        <w:t>the alternative</w:t>
      </w:r>
      <w:r>
        <w:t xml:space="preserve"> </w:t>
      </w:r>
      <w:r w:rsidR="00733D7E">
        <w:t>interventions</w:t>
      </w:r>
      <w:r>
        <w:t xml:space="preserve"> </w:t>
      </w:r>
      <w:r w:rsidR="00242F6A">
        <w:t xml:space="preserve">considered and </w:t>
      </w:r>
      <w:r>
        <w:t xml:space="preserve">how the </w:t>
      </w:r>
      <w:r w:rsidR="00FD2488">
        <w:t>Transport</w:t>
      </w:r>
      <w:r w:rsidR="00A77F4E">
        <w:t xml:space="preserve"> </w:t>
      </w:r>
      <w:r w:rsidR="001D47FD" w:rsidRPr="001D47FD">
        <w:t>Behaviour</w:t>
      </w:r>
      <w:r w:rsidR="00A77F4E">
        <w:t xml:space="preserve"> Scenarios</w:t>
      </w:r>
      <w:r w:rsidR="006D3CF4">
        <w:t xml:space="preserve"> were assessed in the </w:t>
      </w:r>
      <w:r w:rsidR="001B1471">
        <w:t xml:space="preserve">matrix, using the SEA objectives and their underlying guide questions, as listed in </w:t>
      </w:r>
      <w:r w:rsidR="001B1471" w:rsidRPr="001B1471">
        <w:rPr>
          <w:b/>
          <w:bCs/>
        </w:rPr>
        <w:t>Section</w:t>
      </w:r>
      <w:r w:rsidR="007A20DA">
        <w:rPr>
          <w:b/>
          <w:bCs/>
        </w:rPr>
        <w:t> </w:t>
      </w:r>
      <w:r w:rsidR="00A02029">
        <w:rPr>
          <w:b/>
          <w:bCs/>
        </w:rPr>
        <w:fldChar w:fldCharType="begin"/>
      </w:r>
      <w:r w:rsidR="00A02029">
        <w:rPr>
          <w:b/>
          <w:bCs/>
        </w:rPr>
        <w:instrText xml:space="preserve"> REF _Ref90047010 \n \h </w:instrText>
      </w:r>
      <w:r w:rsidR="00A02029">
        <w:rPr>
          <w:b/>
          <w:bCs/>
        </w:rPr>
      </w:r>
      <w:r w:rsidR="00A02029">
        <w:rPr>
          <w:b/>
          <w:bCs/>
        </w:rPr>
        <w:fldChar w:fldCharType="separate"/>
      </w:r>
      <w:r w:rsidR="00C22A9E">
        <w:rPr>
          <w:b/>
          <w:bCs/>
        </w:rPr>
        <w:t>0</w:t>
      </w:r>
      <w:r w:rsidR="00A02029">
        <w:rPr>
          <w:b/>
          <w:bCs/>
        </w:rPr>
        <w:fldChar w:fldCharType="end"/>
      </w:r>
      <w:r w:rsidR="001B1471" w:rsidRPr="001B1471">
        <w:rPr>
          <w:b/>
          <w:bCs/>
        </w:rPr>
        <w:t>.</w:t>
      </w:r>
    </w:p>
    <w:p w14:paraId="6DFCC5C3" w14:textId="71C9DB14" w:rsidR="000C6958" w:rsidRPr="008B5CFF" w:rsidRDefault="000C6958" w:rsidP="0033560A">
      <w:pPr>
        <w:pStyle w:val="Heading2"/>
      </w:pPr>
      <w:bookmarkStart w:id="1759" w:name="_Toc121339134"/>
      <w:r w:rsidRPr="008B5CFF">
        <w:t xml:space="preserve">Stages of </w:t>
      </w:r>
      <w:r w:rsidRPr="001F034F">
        <w:t>Assessment</w:t>
      </w:r>
      <w:bookmarkEnd w:id="1758"/>
      <w:bookmarkEnd w:id="1759"/>
      <w:r w:rsidRPr="008B5CFF">
        <w:t xml:space="preserve"> </w:t>
      </w:r>
    </w:p>
    <w:p w14:paraId="153BC985" w14:textId="77E417B7" w:rsidR="000C6958" w:rsidRPr="00737715" w:rsidRDefault="000C6958" w:rsidP="00D93256">
      <w:pPr>
        <w:pStyle w:val="STPR2BodyText"/>
      </w:pPr>
      <w:r>
        <w:t>It is</w:t>
      </w:r>
      <w:r w:rsidRPr="00C34450">
        <w:t xml:space="preserve"> recognise</w:t>
      </w:r>
      <w:r>
        <w:t>d that</w:t>
      </w:r>
      <w:r w:rsidRPr="00C34450">
        <w:t xml:space="preserve"> the environmental topics of STAG </w:t>
      </w:r>
      <w:r>
        <w:t>do not fully cover the full range of SEA topics and sub-topics</w:t>
      </w:r>
      <w:r w:rsidRPr="00C34450">
        <w:t xml:space="preserve">, </w:t>
      </w:r>
      <w:r>
        <w:t xml:space="preserve">as described in </w:t>
      </w:r>
      <w:r w:rsidRPr="00A95ED6">
        <w:rPr>
          <w:b/>
        </w:rPr>
        <w:t xml:space="preserve">Section </w:t>
      </w:r>
      <w:r w:rsidR="005E4E64">
        <w:rPr>
          <w:b/>
        </w:rPr>
        <w:fldChar w:fldCharType="begin"/>
      </w:r>
      <w:r w:rsidR="005E4E64">
        <w:rPr>
          <w:b/>
        </w:rPr>
        <w:instrText xml:space="preserve"> REF _Ref90047050 \n \h </w:instrText>
      </w:r>
      <w:r w:rsidR="005E4E64">
        <w:rPr>
          <w:b/>
        </w:rPr>
      </w:r>
      <w:r w:rsidR="005E4E64">
        <w:rPr>
          <w:b/>
        </w:rPr>
        <w:fldChar w:fldCharType="separate"/>
      </w:r>
      <w:r w:rsidR="00C22A9E">
        <w:rPr>
          <w:b/>
        </w:rPr>
        <w:t>7.2</w:t>
      </w:r>
      <w:r w:rsidR="005E4E64">
        <w:rPr>
          <w:b/>
        </w:rPr>
        <w:fldChar w:fldCharType="end"/>
      </w:r>
      <w:r w:rsidR="005E4E64">
        <w:rPr>
          <w:b/>
        </w:rPr>
        <w:t xml:space="preserve"> </w:t>
      </w:r>
      <w:r w:rsidRPr="00253105">
        <w:t>and</w:t>
      </w:r>
      <w:r>
        <w:rPr>
          <w:b/>
        </w:rPr>
        <w:t xml:space="preserve"> Section</w:t>
      </w:r>
      <w:r w:rsidR="005E4E64">
        <w:rPr>
          <w:b/>
        </w:rPr>
        <w:t xml:space="preserve"> </w:t>
      </w:r>
      <w:r w:rsidR="005E4E64">
        <w:rPr>
          <w:b/>
        </w:rPr>
        <w:fldChar w:fldCharType="begin"/>
      </w:r>
      <w:r w:rsidR="005E4E64">
        <w:rPr>
          <w:b/>
        </w:rPr>
        <w:instrText xml:space="preserve"> REF _Ref90047065 \n \h </w:instrText>
      </w:r>
      <w:r w:rsidR="005E4E64">
        <w:rPr>
          <w:b/>
        </w:rPr>
      </w:r>
      <w:r w:rsidR="005E4E64">
        <w:rPr>
          <w:b/>
        </w:rPr>
        <w:fldChar w:fldCharType="separate"/>
      </w:r>
      <w:r w:rsidR="00C22A9E">
        <w:rPr>
          <w:b/>
        </w:rPr>
        <w:t>0</w:t>
      </w:r>
      <w:r w:rsidR="005E4E64">
        <w:rPr>
          <w:b/>
        </w:rPr>
        <w:fldChar w:fldCharType="end"/>
      </w:r>
      <w:r>
        <w:t>. However, the SEA, EqIA and other supporting assessments will</w:t>
      </w:r>
      <w:r w:rsidRPr="00C34450">
        <w:t xml:space="preserve"> </w:t>
      </w:r>
      <w:r>
        <w:t xml:space="preserve">continue to </w:t>
      </w:r>
      <w:r w:rsidRPr="00C34450">
        <w:t>align with each STAG stage</w:t>
      </w:r>
      <w:r>
        <w:t>, as this</w:t>
      </w:r>
      <w:r w:rsidRPr="00C34450">
        <w:t xml:space="preserve"> ensure</w:t>
      </w:r>
      <w:r>
        <w:t>s</w:t>
      </w:r>
      <w:r w:rsidRPr="00C34450">
        <w:t xml:space="preserve"> the </w:t>
      </w:r>
      <w:r>
        <w:t>SEA is able to maximise its</w:t>
      </w:r>
      <w:r w:rsidRPr="00C34450">
        <w:t xml:space="preserve"> influence in the overall assessment process</w:t>
      </w:r>
      <w:r>
        <w:t xml:space="preserve">. </w:t>
      </w:r>
      <w:r w:rsidR="006C7CD6">
        <w:rPr>
          <w:b/>
          <w:highlight w:val="yellow"/>
        </w:rPr>
        <w:fldChar w:fldCharType="begin"/>
      </w:r>
      <w:r w:rsidR="006C7CD6">
        <w:instrText xml:space="preserve"> REF _Ref92886379 \h </w:instrText>
      </w:r>
      <w:r w:rsidR="006C7CD6">
        <w:rPr>
          <w:b/>
          <w:highlight w:val="yellow"/>
        </w:rPr>
      </w:r>
      <w:r w:rsidR="006C7CD6">
        <w:rPr>
          <w:b/>
          <w:highlight w:val="yellow"/>
        </w:rPr>
        <w:fldChar w:fldCharType="separate"/>
      </w:r>
      <w:r w:rsidR="00C22A9E" w:rsidRPr="0050762F">
        <w:t xml:space="preserve">Table </w:t>
      </w:r>
      <w:r w:rsidR="00C22A9E">
        <w:rPr>
          <w:noProof/>
        </w:rPr>
        <w:t>4</w:t>
      </w:r>
      <w:r w:rsidR="006C7CD6">
        <w:rPr>
          <w:b/>
          <w:highlight w:val="yellow"/>
        </w:rPr>
        <w:fldChar w:fldCharType="end"/>
      </w:r>
      <w:r>
        <w:rPr>
          <w:b/>
        </w:rPr>
        <w:t xml:space="preserve"> </w:t>
      </w:r>
      <w:r w:rsidRPr="00737715">
        <w:t xml:space="preserve">sets out how the SEA process </w:t>
      </w:r>
      <w:r w:rsidRPr="00EA00ED">
        <w:t>align</w:t>
      </w:r>
      <w:r>
        <w:t>s</w:t>
      </w:r>
      <w:r w:rsidRPr="00EA00ED">
        <w:t xml:space="preserve"> with STAG</w:t>
      </w:r>
      <w:r>
        <w:t>’s</w:t>
      </w:r>
      <w:r w:rsidRPr="00EA00ED">
        <w:t xml:space="preserve"> four-stage assessment process</w:t>
      </w:r>
      <w:r>
        <w:t xml:space="preserve">, </w:t>
      </w:r>
      <w:r w:rsidR="00527A0D">
        <w:t xml:space="preserve">as </w:t>
      </w:r>
      <w:r>
        <w:t xml:space="preserve">described in </w:t>
      </w:r>
      <w:r w:rsidRPr="003C06C1">
        <w:rPr>
          <w:b/>
        </w:rPr>
        <w:t xml:space="preserve">Section </w:t>
      </w:r>
      <w:r w:rsidR="003C06C1" w:rsidRPr="003C06C1">
        <w:rPr>
          <w:b/>
        </w:rPr>
        <w:t>2.3</w:t>
      </w:r>
      <w:r w:rsidRPr="003C06C1">
        <w:t>.</w:t>
      </w:r>
      <w:r w:rsidR="00DF6ACA">
        <w:t xml:space="preserve"> </w:t>
      </w:r>
    </w:p>
    <w:p w14:paraId="31AEBA93" w14:textId="4AE28BEE" w:rsidR="000C6958" w:rsidRPr="00EA00ED" w:rsidRDefault="000C6958" w:rsidP="00D93256">
      <w:pPr>
        <w:pStyle w:val="STPR2BodyText"/>
      </w:pPr>
      <w:r w:rsidRPr="00EA00ED">
        <w:t xml:space="preserve">Following each stage of assessment, any potentially negative </w:t>
      </w:r>
      <w:r w:rsidR="00A972C0">
        <w:t>effe</w:t>
      </w:r>
      <w:r w:rsidR="00A972C0" w:rsidRPr="004F5EEB">
        <w:t>cts</w:t>
      </w:r>
      <w:r w:rsidRPr="00EA00ED">
        <w:t xml:space="preserve"> identified </w:t>
      </w:r>
      <w:r>
        <w:t>have been</w:t>
      </w:r>
      <w:r w:rsidRPr="00EA00ED">
        <w:t xml:space="preserve"> discussed with </w:t>
      </w:r>
      <w:r>
        <w:t xml:space="preserve">the </w:t>
      </w:r>
      <w:r w:rsidRPr="00EA00ED">
        <w:t>project team to consider reasonable altern</w:t>
      </w:r>
      <w:r>
        <w:t>a</w:t>
      </w:r>
      <w:r w:rsidRPr="00737715">
        <w:t>t</w:t>
      </w:r>
      <w:r w:rsidRPr="00EA00ED">
        <w:t xml:space="preserve">ives, effective mitigation and enhancement recommendations. The </w:t>
      </w:r>
      <w:r w:rsidR="00AA56B3">
        <w:t>final 45</w:t>
      </w:r>
      <w:r w:rsidRPr="00EA00ED">
        <w:t xml:space="preserve"> recommendations include refinements </w:t>
      </w:r>
      <w:r w:rsidR="002F46BA">
        <w:t xml:space="preserve">based on </w:t>
      </w:r>
      <w:r w:rsidR="007F5257">
        <w:t>the SEA</w:t>
      </w:r>
      <w:r w:rsidR="002F46BA">
        <w:t xml:space="preserve"> </w:t>
      </w:r>
      <w:r w:rsidR="00B46333">
        <w:t>assessment</w:t>
      </w:r>
      <w:r w:rsidR="007F5257">
        <w:t xml:space="preserve"> of </w:t>
      </w:r>
      <w:r w:rsidR="00464C56">
        <w:t xml:space="preserve">the long list of </w:t>
      </w:r>
      <w:r w:rsidR="007F5257">
        <w:t>options</w:t>
      </w:r>
      <w:r w:rsidR="00464C56">
        <w:t xml:space="preserve"> and Groupings</w:t>
      </w:r>
      <w:r w:rsidR="007F5257">
        <w:t xml:space="preserve"> at the Preliminary</w:t>
      </w:r>
      <w:r w:rsidR="004C3AE3">
        <w:t xml:space="preserve"> Apprai</w:t>
      </w:r>
      <w:r w:rsidR="00B46333">
        <w:t>s</w:t>
      </w:r>
      <w:r w:rsidR="004C3AE3">
        <w:t>al stage and</w:t>
      </w:r>
      <w:r w:rsidR="00DC63DB">
        <w:t xml:space="preserve"> </w:t>
      </w:r>
      <w:r w:rsidR="003D5F47">
        <w:t>Packages</w:t>
      </w:r>
      <w:r w:rsidR="00E3266C">
        <w:t xml:space="preserve"> </w:t>
      </w:r>
      <w:r w:rsidR="003D5F47">
        <w:t>of Gro</w:t>
      </w:r>
      <w:r w:rsidR="00E3266C">
        <w:t>u</w:t>
      </w:r>
      <w:r w:rsidR="003D5F47">
        <w:t>pings at the Detailed App</w:t>
      </w:r>
      <w:r w:rsidR="00E3266C">
        <w:t>raisal stage</w:t>
      </w:r>
      <w:r>
        <w:t xml:space="preserve">. </w:t>
      </w:r>
    </w:p>
    <w:p w14:paraId="17386947" w14:textId="29B2CD87" w:rsidR="000C6958" w:rsidRPr="00EA00ED" w:rsidRDefault="000C6958" w:rsidP="00D93256">
      <w:pPr>
        <w:pStyle w:val="STPR2BodyText"/>
      </w:pPr>
      <w:r w:rsidRPr="00EA00ED">
        <w:t xml:space="preserve">Cumulative </w:t>
      </w:r>
      <w:r w:rsidR="00A972C0">
        <w:t>effe</w:t>
      </w:r>
      <w:r w:rsidR="00A972C0" w:rsidRPr="004F5EEB">
        <w:t>cts</w:t>
      </w:r>
      <w:r w:rsidRPr="00EA00ED">
        <w:t xml:space="preserve"> </w:t>
      </w:r>
      <w:r>
        <w:t>have been</w:t>
      </w:r>
      <w:r w:rsidRPr="00EA00ED">
        <w:t xml:space="preserve"> considered at both intra-plan (the impact of a combination of </w:t>
      </w:r>
      <w:r w:rsidR="00E54922" w:rsidRPr="00E54922">
        <w:t xml:space="preserve">the </w:t>
      </w:r>
      <w:r w:rsidR="00735111">
        <w:t>STPR2</w:t>
      </w:r>
      <w:r w:rsidR="00313221">
        <w:t xml:space="preserve"> elements</w:t>
      </w:r>
      <w:r w:rsidRPr="00EA00ED">
        <w:t xml:space="preserve">) and the inter-plan </w:t>
      </w:r>
      <w:r>
        <w:t xml:space="preserve">level </w:t>
      </w:r>
      <w:r w:rsidRPr="00EA00ED">
        <w:t>(the impact of the plan alongside other plans and polic</w:t>
      </w:r>
      <w:r>
        <w:t>i</w:t>
      </w:r>
      <w:r w:rsidRPr="00EA00ED">
        <w:t>es)</w:t>
      </w:r>
      <w:r w:rsidR="00A16A66">
        <w:t xml:space="preserve">, as described in </w:t>
      </w:r>
      <w:r w:rsidR="00A16A66" w:rsidRPr="00A16A66">
        <w:rPr>
          <w:b/>
          <w:bCs/>
        </w:rPr>
        <w:t xml:space="preserve">Section </w:t>
      </w:r>
      <w:r w:rsidR="00F7574C">
        <w:rPr>
          <w:b/>
          <w:bCs/>
        </w:rPr>
        <w:fldChar w:fldCharType="begin"/>
      </w:r>
      <w:r w:rsidR="00F7574C">
        <w:rPr>
          <w:b/>
          <w:bCs/>
        </w:rPr>
        <w:instrText xml:space="preserve"> REF _Ref90047469 \n \h </w:instrText>
      </w:r>
      <w:r w:rsidR="00F7574C">
        <w:rPr>
          <w:b/>
          <w:bCs/>
        </w:rPr>
      </w:r>
      <w:r w:rsidR="00F7574C">
        <w:rPr>
          <w:b/>
          <w:bCs/>
        </w:rPr>
        <w:fldChar w:fldCharType="separate"/>
      </w:r>
      <w:r w:rsidR="00C22A9E">
        <w:rPr>
          <w:b/>
          <w:bCs/>
        </w:rPr>
        <w:t>7.8</w:t>
      </w:r>
      <w:r w:rsidR="00F7574C">
        <w:rPr>
          <w:b/>
          <w:bCs/>
        </w:rPr>
        <w:fldChar w:fldCharType="end"/>
      </w:r>
      <w:r w:rsidR="00A16A66" w:rsidRPr="00A16A66">
        <w:rPr>
          <w:b/>
          <w:bCs/>
        </w:rPr>
        <w:t>.</w:t>
      </w:r>
      <w:r w:rsidR="00DF6ACA">
        <w:t xml:space="preserve"> </w:t>
      </w:r>
    </w:p>
    <w:p w14:paraId="55BFAA71" w14:textId="102091B3" w:rsidR="000C6958" w:rsidRDefault="000C6958" w:rsidP="00D93256">
      <w:pPr>
        <w:pStyle w:val="STPR2BodyText"/>
      </w:pPr>
      <w:r w:rsidRPr="00EA00ED">
        <w:lastRenderedPageBreak/>
        <w:t xml:space="preserve">Following the SEA assessments, relevant findings and recommendations </w:t>
      </w:r>
      <w:r>
        <w:t>are</w:t>
      </w:r>
      <w:r w:rsidRPr="00EA00ED">
        <w:t xml:space="preserve"> recorded in summary form for inclusion in </w:t>
      </w:r>
      <w:r w:rsidRPr="00571E54">
        <w:rPr>
          <w:b/>
        </w:rPr>
        <w:t>Chapter</w:t>
      </w:r>
      <w:r>
        <w:t xml:space="preserve"> </w:t>
      </w:r>
      <w:r w:rsidR="00DA4FCA" w:rsidRPr="00DA4FCA">
        <w:rPr>
          <w:b/>
          <w:bCs/>
        </w:rPr>
        <w:fldChar w:fldCharType="begin"/>
      </w:r>
      <w:r w:rsidR="00DA4FCA" w:rsidRPr="00DA4FCA">
        <w:rPr>
          <w:b/>
          <w:bCs/>
        </w:rPr>
        <w:instrText xml:space="preserve"> REF _Ref90565189 \r \h </w:instrText>
      </w:r>
      <w:r w:rsidR="00DA4FCA">
        <w:rPr>
          <w:b/>
          <w:bCs/>
        </w:rPr>
        <w:instrText xml:space="preserve"> \* MERGEFORMAT </w:instrText>
      </w:r>
      <w:r w:rsidR="00DA4FCA" w:rsidRPr="00DA4FCA">
        <w:rPr>
          <w:b/>
          <w:bCs/>
        </w:rPr>
      </w:r>
      <w:r w:rsidR="00DA4FCA" w:rsidRPr="00DA4FCA">
        <w:rPr>
          <w:b/>
          <w:bCs/>
        </w:rPr>
        <w:fldChar w:fldCharType="separate"/>
      </w:r>
      <w:r w:rsidR="00C22A9E" w:rsidRPr="00C22A9E">
        <w:rPr>
          <w:b/>
        </w:rPr>
        <w:t>8</w:t>
      </w:r>
      <w:r w:rsidR="00DA4FCA" w:rsidRPr="00DA4FCA">
        <w:rPr>
          <w:b/>
          <w:bCs/>
        </w:rPr>
        <w:fldChar w:fldCharType="end"/>
      </w:r>
      <w:r w:rsidR="00DA4FCA" w:rsidRPr="00DA4FCA">
        <w:rPr>
          <w:b/>
          <w:bCs/>
        </w:rPr>
        <w:t xml:space="preserve"> </w:t>
      </w:r>
      <w:r w:rsidR="00730D83">
        <w:rPr>
          <w:b/>
          <w:bCs/>
        </w:rPr>
        <w:t xml:space="preserve">(Assessment Results) </w:t>
      </w:r>
      <w:r>
        <w:t>of this r</w:t>
      </w:r>
      <w:r w:rsidRPr="00EA00ED">
        <w:t xml:space="preserve">eport, with assessment matrices provided in </w:t>
      </w:r>
      <w:r w:rsidRPr="001B1471">
        <w:rPr>
          <w:b/>
        </w:rPr>
        <w:t xml:space="preserve">Appendix </w:t>
      </w:r>
      <w:r w:rsidR="00DC2ECF" w:rsidRPr="001B1471">
        <w:rPr>
          <w:b/>
        </w:rPr>
        <w:t>F</w:t>
      </w:r>
      <w:r w:rsidR="001D415B">
        <w:t xml:space="preserve"> </w:t>
      </w:r>
      <w:r w:rsidR="001D415B" w:rsidRPr="001D415B">
        <w:rPr>
          <w:b/>
          <w:bCs/>
        </w:rPr>
        <w:t>(Assessment Matrices).</w:t>
      </w:r>
      <w:r w:rsidR="00DF6ACA">
        <w:t xml:space="preserve"> </w:t>
      </w:r>
    </w:p>
    <w:p w14:paraId="7A58B376" w14:textId="12939BC6" w:rsidR="003141DC" w:rsidRPr="0050762F" w:rsidRDefault="000C6958" w:rsidP="00D93256">
      <w:pPr>
        <w:pStyle w:val="STPR2Caption"/>
      </w:pPr>
      <w:bookmarkStart w:id="1760" w:name="_Ref85029351"/>
      <w:bookmarkStart w:id="1761" w:name="_Ref92886379"/>
      <w:bookmarkStart w:id="1762" w:name="_Toc90031395"/>
      <w:bookmarkStart w:id="1763" w:name="_Toc121231975"/>
      <w:r w:rsidRPr="0050762F">
        <w:t xml:space="preserve">Table </w:t>
      </w:r>
      <w:bookmarkEnd w:id="1760"/>
      <w:r w:rsidR="00E428D4">
        <w:fldChar w:fldCharType="begin"/>
      </w:r>
      <w:r w:rsidR="00E428D4">
        <w:instrText xml:space="preserve"> SEQ Table \* ARABIC </w:instrText>
      </w:r>
      <w:r w:rsidR="00E428D4">
        <w:fldChar w:fldCharType="separate"/>
      </w:r>
      <w:r w:rsidR="00C22A9E">
        <w:rPr>
          <w:noProof/>
        </w:rPr>
        <w:t>4</w:t>
      </w:r>
      <w:r w:rsidR="00E428D4">
        <w:fldChar w:fldCharType="end"/>
      </w:r>
      <w:bookmarkEnd w:id="1761"/>
      <w:r w:rsidR="003141DC" w:rsidRPr="0050762F">
        <w:t>: SEA inputs at each stage of STAG</w:t>
      </w:r>
      <w:bookmarkEnd w:id="1762"/>
      <w:bookmarkEnd w:id="176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11"/>
        <w:gridCol w:w="7217"/>
      </w:tblGrid>
      <w:tr w:rsidR="001302FA" w:rsidRPr="001302FA" w14:paraId="46436AD9" w14:textId="77777777" w:rsidTr="00CC68CE">
        <w:trPr>
          <w:cantSplit/>
          <w:tblHeader/>
        </w:trPr>
        <w:tc>
          <w:tcPr>
            <w:tcW w:w="1252" w:type="pct"/>
            <w:tcBorders>
              <w:bottom w:val="single" w:sz="18" w:space="0" w:color="FFFFFF" w:themeColor="background1"/>
            </w:tcBorders>
            <w:shd w:val="clear" w:color="auto" w:fill="007D55"/>
          </w:tcPr>
          <w:p w14:paraId="11C440D9" w14:textId="0480B8CD" w:rsidR="000C6958" w:rsidRPr="001302FA" w:rsidRDefault="001302FA" w:rsidP="00D93256">
            <w:pPr>
              <w:pStyle w:val="STPR2WhiteTableHeading"/>
            </w:pPr>
            <w:r w:rsidRPr="001302FA">
              <w:t>STAG</w:t>
            </w:r>
          </w:p>
        </w:tc>
        <w:tc>
          <w:tcPr>
            <w:tcW w:w="3748" w:type="pct"/>
            <w:tcBorders>
              <w:bottom w:val="single" w:sz="18" w:space="0" w:color="FFFFFF" w:themeColor="background1"/>
            </w:tcBorders>
            <w:shd w:val="clear" w:color="auto" w:fill="007D55"/>
          </w:tcPr>
          <w:p w14:paraId="30F8723D" w14:textId="4D92CAB1" w:rsidR="000C6958" w:rsidRPr="001302FA" w:rsidRDefault="001302FA" w:rsidP="00D93256">
            <w:pPr>
              <w:pStyle w:val="STPR2WhiteTableHeading"/>
            </w:pPr>
            <w:r w:rsidRPr="001302FA">
              <w:t>SEA INPUT</w:t>
            </w:r>
          </w:p>
        </w:tc>
      </w:tr>
      <w:tr w:rsidR="000C6958" w:rsidRPr="00E645D5" w14:paraId="4D6876BE" w14:textId="77777777" w:rsidTr="00CC68CE">
        <w:trPr>
          <w:cantSplit/>
        </w:trPr>
        <w:tc>
          <w:tcPr>
            <w:tcW w:w="1252" w:type="pct"/>
            <w:tcBorders>
              <w:top w:val="single" w:sz="18" w:space="0" w:color="FFFFFF" w:themeColor="background1"/>
            </w:tcBorders>
            <w:shd w:val="clear" w:color="auto" w:fill="DCEDC6"/>
          </w:tcPr>
          <w:p w14:paraId="2366D4C2" w14:textId="50AF9D7E" w:rsidR="000C6958" w:rsidRPr="00E645D5" w:rsidRDefault="000C6958" w:rsidP="00D93256">
            <w:pPr>
              <w:pStyle w:val="STPR2TableBody"/>
            </w:pPr>
            <w:r w:rsidRPr="008132BF">
              <w:t>Initial Appraisal: Case for Change</w:t>
            </w:r>
            <w:r w:rsidR="00915A8A">
              <w:t xml:space="preserve"> (</w:t>
            </w:r>
            <w:r w:rsidR="009156A6">
              <w:t>Earl</w:t>
            </w:r>
            <w:r w:rsidR="00464C56">
              <w:t xml:space="preserve">y </w:t>
            </w:r>
            <w:r w:rsidR="00AF274F">
              <w:t>2020 to February 2021)</w:t>
            </w:r>
          </w:p>
        </w:tc>
        <w:tc>
          <w:tcPr>
            <w:tcW w:w="3748" w:type="pct"/>
            <w:tcBorders>
              <w:top w:val="single" w:sz="18" w:space="0" w:color="FFFFFF" w:themeColor="background1"/>
            </w:tcBorders>
            <w:shd w:val="clear" w:color="auto" w:fill="DCEDC6"/>
          </w:tcPr>
          <w:p w14:paraId="46BBF725" w14:textId="1BCE1BF1" w:rsidR="00377A4C" w:rsidRDefault="000C6958" w:rsidP="00D93256">
            <w:pPr>
              <w:pStyle w:val="STPR2TableBody"/>
            </w:pPr>
            <w:r w:rsidRPr="00FE7BDB">
              <w:t xml:space="preserve">While </w:t>
            </w:r>
            <w:r w:rsidR="00E47CC9">
              <w:t xml:space="preserve">the </w:t>
            </w:r>
            <w:r w:rsidRPr="00FE7BDB">
              <w:t xml:space="preserve">environment is not traditionally </w:t>
            </w:r>
            <w:r w:rsidR="00E47CC9">
              <w:t>considered</w:t>
            </w:r>
            <w:r w:rsidRPr="00FE7BDB">
              <w:t xml:space="preserve"> in any depth</w:t>
            </w:r>
            <w:r w:rsidR="00E47CC9" w:rsidRPr="00FE7BDB">
              <w:t xml:space="preserve"> at this stage</w:t>
            </w:r>
            <w:r w:rsidRPr="00FE7BDB">
              <w:t>, the SEA team provided sufficient information on the baseline national and regional environmental constraints and environmental policy to influence the development of both national and regionally specific TPOs. This ensured that the TPOs were compatible with the SEA objectives.</w:t>
            </w:r>
          </w:p>
          <w:p w14:paraId="701B49D8" w14:textId="303BB58B" w:rsidR="00377A4C" w:rsidRPr="00FE7BDB" w:rsidRDefault="00F61AD5" w:rsidP="00D93256">
            <w:pPr>
              <w:pStyle w:val="STPR2TableBody"/>
            </w:pPr>
            <w:r>
              <w:t xml:space="preserve">The TPOs </w:t>
            </w:r>
            <w:r w:rsidR="003B2F28">
              <w:t>developed for</w:t>
            </w:r>
            <w:r w:rsidRPr="005F79A2">
              <w:t xml:space="preserve"> the three </w:t>
            </w:r>
            <w:r w:rsidR="00836BEC">
              <w:t>STPR2 A</w:t>
            </w:r>
            <w:r w:rsidRPr="005F79A2">
              <w:t xml:space="preserve">dvanced </w:t>
            </w:r>
            <w:r w:rsidR="00836BEC">
              <w:t>Studies</w:t>
            </w:r>
            <w:r w:rsidRPr="005F79A2">
              <w:t>: Borders, North</w:t>
            </w:r>
            <w:r w:rsidR="002D268F">
              <w:t xml:space="preserve"> </w:t>
            </w:r>
            <w:r w:rsidRPr="005F79A2">
              <w:t xml:space="preserve">East </w:t>
            </w:r>
            <w:r w:rsidR="002D268F">
              <w:t>Scotland</w:t>
            </w:r>
            <w:r w:rsidRPr="005F79A2">
              <w:t xml:space="preserve"> and South</w:t>
            </w:r>
            <w:r w:rsidR="002D268F">
              <w:t xml:space="preserve"> </w:t>
            </w:r>
            <w:r w:rsidRPr="005F79A2">
              <w:t>West</w:t>
            </w:r>
            <w:r w:rsidR="002D268F">
              <w:t xml:space="preserve"> Scotland</w:t>
            </w:r>
            <w:r w:rsidR="007759B8">
              <w:t xml:space="preserve"> were also revie</w:t>
            </w:r>
            <w:r w:rsidR="009F27DD">
              <w:t>we</w:t>
            </w:r>
            <w:r w:rsidR="007759B8">
              <w:t xml:space="preserve">d and </w:t>
            </w:r>
            <w:r w:rsidR="00457DDA">
              <w:t>checked against the SEA objectives to ensure compatibility.</w:t>
            </w:r>
          </w:p>
          <w:p w14:paraId="14122B4F" w14:textId="05824DAE" w:rsidR="000C6958" w:rsidRPr="00FE7BDB" w:rsidRDefault="000C6958" w:rsidP="00D93256">
            <w:pPr>
              <w:pStyle w:val="STPR2TableBody"/>
            </w:pPr>
            <w:r w:rsidRPr="00FE7BDB">
              <w:t>This approach was reinforced by the Scottish Government’s declared Climate Emergency in 2019, and the contribution from transport to national emissions, highlighting the importance of embedding environment</w:t>
            </w:r>
            <w:r w:rsidR="0020328B">
              <w:t>al considerations</w:t>
            </w:r>
            <w:r w:rsidRPr="00FE7BDB">
              <w:t xml:space="preserve"> at this stage. </w:t>
            </w:r>
          </w:p>
          <w:p w14:paraId="18142EB9" w14:textId="7B08172B" w:rsidR="000C6958" w:rsidRDefault="000C6958" w:rsidP="00D93256">
            <w:pPr>
              <w:pStyle w:val="STPR2TableBody"/>
            </w:pPr>
            <w:r w:rsidRPr="00FE7BDB">
              <w:t xml:space="preserve">This </w:t>
            </w:r>
            <w:r w:rsidR="0020328B">
              <w:t>Initial Appraisal: Case for Change</w:t>
            </w:r>
            <w:r w:rsidR="0020328B" w:rsidRPr="00FE7BDB">
              <w:t xml:space="preserve"> </w:t>
            </w:r>
            <w:r w:rsidRPr="00FE7BDB">
              <w:t xml:space="preserve">took place </w:t>
            </w:r>
            <w:r w:rsidR="001D0534">
              <w:t>alongside</w:t>
            </w:r>
            <w:r w:rsidRPr="00FE7BDB">
              <w:t xml:space="preserve"> the SEA Scoping </w:t>
            </w:r>
            <w:r w:rsidR="004321DF">
              <w:t xml:space="preserve">Stage. </w:t>
            </w:r>
          </w:p>
          <w:p w14:paraId="43F948BE" w14:textId="50489E0C" w:rsidR="000C6958" w:rsidRPr="000669DD" w:rsidRDefault="000C6958" w:rsidP="00D93256">
            <w:pPr>
              <w:pStyle w:val="STPR2TableBody"/>
            </w:pPr>
            <w:r w:rsidRPr="00FE7BDB">
              <w:t xml:space="preserve">SEA input and high-level environmental commentary of each </w:t>
            </w:r>
            <w:r w:rsidR="009F45A8">
              <w:t>transport ‘</w:t>
            </w:r>
            <w:r w:rsidRPr="00FE7BDB">
              <w:t>option</w:t>
            </w:r>
            <w:r w:rsidR="009F45A8">
              <w:t>’</w:t>
            </w:r>
            <w:r w:rsidRPr="00FE7BDB">
              <w:t xml:space="preserve"> </w:t>
            </w:r>
            <w:r>
              <w:t>was</w:t>
            </w:r>
            <w:r w:rsidRPr="00FE7BDB">
              <w:t xml:space="preserve"> provided during the initial sift</w:t>
            </w:r>
            <w:r w:rsidR="00915A8A">
              <w:t xml:space="preserve"> in August 2020</w:t>
            </w:r>
            <w:r w:rsidRPr="00FE7BDB">
              <w:t>, to highlight any significant environmental constraints</w:t>
            </w:r>
            <w:r w:rsidR="00FB342C">
              <w:t xml:space="preserve"> or </w:t>
            </w:r>
            <w:r w:rsidRPr="00FE7BDB">
              <w:t xml:space="preserve">opportunities. </w:t>
            </w:r>
            <w:r>
              <w:t>Key environmental constraints and opportunities, including mapping, were also provided in discrete sections of the regional Case for Change reports</w:t>
            </w:r>
            <w:r w:rsidR="007E57A4">
              <w:t xml:space="preserve"> published </w:t>
            </w:r>
            <w:r w:rsidR="00D70FF4">
              <w:t xml:space="preserve">in </w:t>
            </w:r>
            <w:r w:rsidR="007E57A4">
              <w:t>Feb</w:t>
            </w:r>
            <w:r w:rsidR="00D70FF4">
              <w:t>ruary</w:t>
            </w:r>
            <w:r w:rsidR="007E57A4">
              <w:t xml:space="preserve"> 2021</w:t>
            </w:r>
            <w:r w:rsidR="00E379FA">
              <w:t xml:space="preserve"> (Transport Scotland, 2021</w:t>
            </w:r>
            <w:r w:rsidR="00B2514A">
              <w:t>a)</w:t>
            </w:r>
            <w:r>
              <w:t>.</w:t>
            </w:r>
          </w:p>
        </w:tc>
      </w:tr>
      <w:tr w:rsidR="000C6958" w:rsidRPr="00E645D5" w14:paraId="1E364F69" w14:textId="77777777" w:rsidTr="00CC68CE">
        <w:trPr>
          <w:cantSplit/>
        </w:trPr>
        <w:tc>
          <w:tcPr>
            <w:tcW w:w="1252" w:type="pct"/>
            <w:shd w:val="clear" w:color="auto" w:fill="DCEDC6"/>
          </w:tcPr>
          <w:p w14:paraId="3BA02912" w14:textId="4663CB2A" w:rsidR="000C6958" w:rsidRPr="00E645D5" w:rsidRDefault="000C6958" w:rsidP="00D93256">
            <w:pPr>
              <w:pStyle w:val="STPR2TableBody"/>
            </w:pPr>
            <w:r>
              <w:lastRenderedPageBreak/>
              <w:t>Preliminary Appraisal</w:t>
            </w:r>
            <w:r w:rsidR="00817675">
              <w:t xml:space="preserve"> (May to October 2021)</w:t>
            </w:r>
          </w:p>
        </w:tc>
        <w:tc>
          <w:tcPr>
            <w:tcW w:w="3748" w:type="pct"/>
            <w:shd w:val="clear" w:color="auto" w:fill="DCEDC6"/>
          </w:tcPr>
          <w:p w14:paraId="674CD2EA" w14:textId="5390AF39" w:rsidR="00704414" w:rsidRDefault="007764CE" w:rsidP="00D93256">
            <w:pPr>
              <w:pStyle w:val="STPR2TableBody"/>
            </w:pPr>
            <w:r>
              <w:t xml:space="preserve">During </w:t>
            </w:r>
            <w:r w:rsidR="00E4756D">
              <w:t>Preliminary Appraisal</w:t>
            </w:r>
            <w:r>
              <w:t xml:space="preserve">, </w:t>
            </w:r>
            <w:r w:rsidR="00865E52">
              <w:t>a</w:t>
            </w:r>
            <w:r w:rsidR="000C6958" w:rsidRPr="00FE7BDB">
              <w:t xml:space="preserve"> matrix-based assessment </w:t>
            </w:r>
            <w:r w:rsidR="00391F5B">
              <w:t>was</w:t>
            </w:r>
            <w:r w:rsidR="000C6958">
              <w:t xml:space="preserve"> undertaken </w:t>
            </w:r>
            <w:r w:rsidR="000C6958" w:rsidRPr="00FE7BDB">
              <w:t xml:space="preserve">using the SEA objectives/assessment questions to guide </w:t>
            </w:r>
            <w:r w:rsidR="00D62C2A">
              <w:t xml:space="preserve">the </w:t>
            </w:r>
            <w:r w:rsidR="000C6958" w:rsidRPr="00FE7BDB">
              <w:t>assessment</w:t>
            </w:r>
            <w:r w:rsidR="00D62C2A">
              <w:t xml:space="preserve"> of the long list of </w:t>
            </w:r>
            <w:r w:rsidR="000C4100" w:rsidRPr="000C4100">
              <w:t xml:space="preserve">the </w:t>
            </w:r>
            <w:r w:rsidR="00D62C2A">
              <w:t>STPR2 draft transport interventions</w:t>
            </w:r>
            <w:r w:rsidR="000C6958" w:rsidRPr="00FE7BDB">
              <w:t xml:space="preserve">. </w:t>
            </w:r>
            <w:r w:rsidR="00BA27BD">
              <w:t xml:space="preserve">This long list included </w:t>
            </w:r>
            <w:r w:rsidR="00564787">
              <w:t xml:space="preserve">the </w:t>
            </w:r>
            <w:r w:rsidR="00042619">
              <w:t xml:space="preserve">options from the three </w:t>
            </w:r>
            <w:r w:rsidR="009F27DD">
              <w:t>A</w:t>
            </w:r>
            <w:r w:rsidR="00042619">
              <w:t xml:space="preserve">dvanced </w:t>
            </w:r>
            <w:r w:rsidR="009F27DD">
              <w:t>Studie</w:t>
            </w:r>
            <w:r w:rsidR="00042619">
              <w:t>s</w:t>
            </w:r>
            <w:r w:rsidR="004F2729">
              <w:t>.</w:t>
            </w:r>
            <w:r w:rsidR="000C6958" w:rsidRPr="00FE7BDB">
              <w:t xml:space="preserve"> </w:t>
            </w:r>
            <w:r w:rsidR="00D62C2A">
              <w:t>The matrix</w:t>
            </w:r>
            <w:r w:rsidR="000C6958" w:rsidRPr="00FE7BDB">
              <w:t xml:space="preserve"> utilise</w:t>
            </w:r>
            <w:r w:rsidR="00886098">
              <w:t>d</w:t>
            </w:r>
            <w:r w:rsidR="000C6958" w:rsidRPr="00FE7BDB">
              <w:t xml:space="preserve"> a </w:t>
            </w:r>
            <w:r w:rsidR="000C6958">
              <w:t>seven</w:t>
            </w:r>
            <w:r w:rsidR="000C6958" w:rsidRPr="00FE7BDB">
              <w:t xml:space="preserve">-point scoring system, as presented in </w:t>
            </w:r>
            <w:r w:rsidR="000C6958" w:rsidRPr="001B1471">
              <w:rPr>
                <w:b/>
              </w:rPr>
              <w:t xml:space="preserve">Section </w:t>
            </w:r>
            <w:r w:rsidR="00AE1587">
              <w:rPr>
                <w:b/>
              </w:rPr>
              <w:fldChar w:fldCharType="begin"/>
            </w:r>
            <w:r w:rsidR="00AE1587">
              <w:rPr>
                <w:b/>
              </w:rPr>
              <w:instrText xml:space="preserve"> REF _Ref90047517 \n \h </w:instrText>
            </w:r>
            <w:r w:rsidR="001302FA">
              <w:rPr>
                <w:b/>
              </w:rPr>
              <w:instrText xml:space="preserve"> \* MERGEFORMAT </w:instrText>
            </w:r>
            <w:r w:rsidR="00AE1587">
              <w:rPr>
                <w:b/>
              </w:rPr>
            </w:r>
            <w:r w:rsidR="00AE1587">
              <w:rPr>
                <w:b/>
              </w:rPr>
              <w:fldChar w:fldCharType="separate"/>
            </w:r>
            <w:r w:rsidR="00C22A9E">
              <w:rPr>
                <w:b/>
              </w:rPr>
              <w:t>7.6</w:t>
            </w:r>
            <w:r w:rsidR="00AE1587">
              <w:rPr>
                <w:b/>
              </w:rPr>
              <w:fldChar w:fldCharType="end"/>
            </w:r>
            <w:r w:rsidR="000C6958" w:rsidRPr="001B1471">
              <w:rPr>
                <w:b/>
              </w:rPr>
              <w:t>,</w:t>
            </w:r>
            <w:r w:rsidR="000C6958" w:rsidRPr="001B1471">
              <w:t xml:space="preserve"> to</w:t>
            </w:r>
            <w:r w:rsidR="000C6958" w:rsidRPr="00FE7BDB">
              <w:t xml:space="preserve"> align with SEA</w:t>
            </w:r>
            <w:r w:rsidR="007171A6">
              <w:t> </w:t>
            </w:r>
            <w:r w:rsidR="000C6958" w:rsidRPr="00FE7BDB">
              <w:t xml:space="preserve">requirements. </w:t>
            </w:r>
            <w:r w:rsidR="002D5A03" w:rsidRPr="002D5A03">
              <w:t>The scoring scale used at Preliminary Appraisal was a departure from STAG, but consistent with the assessment scale applied as part of the Impact Assessments.</w:t>
            </w:r>
          </w:p>
          <w:p w14:paraId="410A1891" w14:textId="04DA0B37" w:rsidR="00FC1E71" w:rsidRDefault="000C6958" w:rsidP="00D93256">
            <w:pPr>
              <w:pStyle w:val="STPR2TableBody"/>
            </w:pPr>
            <w:r w:rsidRPr="002665E1">
              <w:t xml:space="preserve">This is standard practice for scoring </w:t>
            </w:r>
            <w:r w:rsidR="00D028F1">
              <w:t>O</w:t>
            </w:r>
            <w:r>
              <w:t>ptions</w:t>
            </w:r>
            <w:r w:rsidR="00311AF9">
              <w:t>/</w:t>
            </w:r>
            <w:r w:rsidR="00D028F1">
              <w:t>G</w:t>
            </w:r>
            <w:r w:rsidR="00311AF9">
              <w:t xml:space="preserve">roupings </w:t>
            </w:r>
            <w:r w:rsidRPr="002665E1">
              <w:t>against SEA objectives</w:t>
            </w:r>
            <w:r w:rsidR="003B237A">
              <w:t xml:space="preserve"> and scores</w:t>
            </w:r>
            <w:r w:rsidRPr="002665E1">
              <w:t xml:space="preserve"> </w:t>
            </w:r>
            <w:r w:rsidR="003B237A">
              <w:t xml:space="preserve">were applied </w:t>
            </w:r>
            <w:r w:rsidRPr="002665E1">
              <w:t xml:space="preserve">ranging from the </w:t>
            </w:r>
            <w:r w:rsidR="00242CA3">
              <w:t>Groupings</w:t>
            </w:r>
            <w:r w:rsidRPr="002665E1">
              <w:t xml:space="preserve"> being likely to contribute significantly to achieving an objective to it having a significant long-term negative </w:t>
            </w:r>
            <w:r w:rsidR="00DB0545">
              <w:t>effe</w:t>
            </w:r>
            <w:r w:rsidR="00DB0545" w:rsidRPr="004F5EEB">
              <w:t>ct</w:t>
            </w:r>
            <w:r w:rsidR="00DB0545">
              <w:t xml:space="preserve"> </w:t>
            </w:r>
            <w:r w:rsidRPr="002665E1">
              <w:t xml:space="preserve">on the objective. The </w:t>
            </w:r>
            <w:r w:rsidR="00C33D58">
              <w:t>assessment considered</w:t>
            </w:r>
            <w:r w:rsidRPr="002665E1">
              <w:t xml:space="preserve"> likely significant effects, mitigation, assumptions and uncertainties where relevant.</w:t>
            </w:r>
            <w:r w:rsidR="00FC1E71">
              <w:t xml:space="preserve"> A narrative was provided alongside the assessment score for each </w:t>
            </w:r>
            <w:r w:rsidR="00D028F1">
              <w:t>G</w:t>
            </w:r>
            <w:r w:rsidR="00FC1E71">
              <w:t xml:space="preserve">rouping. This provided the rationale for the scoring and covered each relevant SEA topic. Tables were provided to show any differences in the assessment for each of the 11 STPR2 regions and a national summary was provided for each SEA topic. </w:t>
            </w:r>
          </w:p>
          <w:p w14:paraId="528D9FBF" w14:textId="3BECE12C" w:rsidR="000C6958" w:rsidRPr="00E645D5" w:rsidRDefault="00FC1E71" w:rsidP="00D93256">
            <w:pPr>
              <w:pStyle w:val="STPR2TableBody"/>
            </w:pPr>
            <w:r>
              <w:t xml:space="preserve">The SEA objectives and assessment of mode-based </w:t>
            </w:r>
            <w:r w:rsidR="00764A0D">
              <w:t>G</w:t>
            </w:r>
            <w:r>
              <w:t xml:space="preserve">roupings are provided in full in </w:t>
            </w:r>
            <w:r w:rsidRPr="00FC1E71">
              <w:rPr>
                <w:b/>
                <w:bCs/>
              </w:rPr>
              <w:t>Appendix F</w:t>
            </w:r>
            <w:r>
              <w:rPr>
                <w:b/>
                <w:bCs/>
              </w:rPr>
              <w:t xml:space="preserve"> </w:t>
            </w:r>
            <w:r w:rsidRPr="00453FAE">
              <w:rPr>
                <w:b/>
                <w:bCs/>
              </w:rPr>
              <w:t>(Assessment Matrices)</w:t>
            </w:r>
            <w:r>
              <w:t>.</w:t>
            </w:r>
          </w:p>
        </w:tc>
      </w:tr>
      <w:tr w:rsidR="000C6958" w:rsidRPr="00E645D5" w14:paraId="46F31152" w14:textId="77777777" w:rsidTr="00CC68CE">
        <w:trPr>
          <w:cantSplit/>
        </w:trPr>
        <w:tc>
          <w:tcPr>
            <w:tcW w:w="1252" w:type="pct"/>
            <w:shd w:val="clear" w:color="auto" w:fill="DCEDC6"/>
          </w:tcPr>
          <w:p w14:paraId="2F6C890B" w14:textId="77777777" w:rsidR="000C6958" w:rsidRDefault="000C6958" w:rsidP="00D93256">
            <w:pPr>
              <w:pStyle w:val="STPR2TableBody"/>
            </w:pPr>
            <w:r w:rsidRPr="00112210">
              <w:lastRenderedPageBreak/>
              <w:t xml:space="preserve">Detailed Appraisal </w:t>
            </w:r>
          </w:p>
          <w:p w14:paraId="24912DA3" w14:textId="3B981915" w:rsidR="005F4D39" w:rsidRPr="008132BF" w:rsidRDefault="005F4D39" w:rsidP="00D93256">
            <w:pPr>
              <w:pStyle w:val="STPR2TableBody"/>
            </w:pPr>
            <w:r>
              <w:t>(</w:t>
            </w:r>
            <w:r w:rsidR="008A176D">
              <w:t>Late 2021</w:t>
            </w:r>
            <w:r>
              <w:t>)</w:t>
            </w:r>
          </w:p>
        </w:tc>
        <w:tc>
          <w:tcPr>
            <w:tcW w:w="3748" w:type="pct"/>
            <w:shd w:val="clear" w:color="auto" w:fill="DCEDC6"/>
          </w:tcPr>
          <w:p w14:paraId="70908C6C" w14:textId="5C8F5B56" w:rsidR="000C6958" w:rsidRDefault="000C6958" w:rsidP="00D93256">
            <w:pPr>
              <w:pStyle w:val="STPR2TableBody"/>
            </w:pPr>
            <w:r>
              <w:t xml:space="preserve">The SEA </w:t>
            </w:r>
            <w:r w:rsidR="008513B8">
              <w:t>has undertaken</w:t>
            </w:r>
            <w:r>
              <w:t xml:space="preserve"> the environmental component of the STAG assessment with a more detailed assessment against aligned STAG/SEA topics using SEA objectives/assessment questions to guide assessment. </w:t>
            </w:r>
          </w:p>
          <w:p w14:paraId="7467ECA3" w14:textId="38C26031" w:rsidR="000C6958" w:rsidRDefault="000C6958" w:rsidP="00D93256">
            <w:pPr>
              <w:pStyle w:val="STPR2TableBody"/>
            </w:pPr>
            <w:r>
              <w:t xml:space="preserve">The assessment at the Detailed Appraisal stage </w:t>
            </w:r>
            <w:r w:rsidR="00FA38B8">
              <w:t>used</w:t>
            </w:r>
            <w:r>
              <w:t xml:space="preserve"> a </w:t>
            </w:r>
            <w:r w:rsidR="00FA38B8">
              <w:t>seven</w:t>
            </w:r>
            <w:r w:rsidR="00BA0386">
              <w:t>-</w:t>
            </w:r>
            <w:r w:rsidR="00FA38B8">
              <w:t xml:space="preserve"> </w:t>
            </w:r>
            <w:r>
              <w:t xml:space="preserve">point scoring system </w:t>
            </w:r>
            <w:r w:rsidR="003F7FBD">
              <w:t>as defined</w:t>
            </w:r>
            <w:r w:rsidR="00A55046">
              <w:t xml:space="preserve"> </w:t>
            </w:r>
            <w:r w:rsidR="003F7FBD">
              <w:t>by</w:t>
            </w:r>
            <w:r>
              <w:t xml:space="preserve"> STAG </w:t>
            </w:r>
            <w:r w:rsidR="003F7FBD">
              <w:t>but also meeting</w:t>
            </w:r>
            <w:r>
              <w:t xml:space="preserve"> SEA requirements. </w:t>
            </w:r>
            <w:r w:rsidR="00FA38B8" w:rsidRPr="00FA38B8">
              <w:t>The scale ranged from major positive (+3) to major negative (-3) impacts, in line with STAG guidance.</w:t>
            </w:r>
          </w:p>
          <w:p w14:paraId="6EFF1E9F" w14:textId="1F93D020" w:rsidR="008B2589" w:rsidRDefault="008B2589" w:rsidP="00D93256">
            <w:pPr>
              <w:pStyle w:val="STPR2TableBody"/>
            </w:pPr>
            <w:r>
              <w:t>The Detailed A</w:t>
            </w:r>
            <w:r w:rsidR="009705AD">
              <w:t>ppraisal</w:t>
            </w:r>
            <w:r>
              <w:t xml:space="preserve"> has focu</w:t>
            </w:r>
            <w:r w:rsidR="00352A8D">
              <w:t xml:space="preserve">sed on </w:t>
            </w:r>
            <w:r w:rsidR="008C6F45">
              <w:t>P</w:t>
            </w:r>
            <w:r w:rsidR="00352A8D">
              <w:t>ackages</w:t>
            </w:r>
            <w:r w:rsidR="009705AD">
              <w:t xml:space="preserve"> of interventions and the final STPR2 ‘recommendations.’ The </w:t>
            </w:r>
            <w:r w:rsidR="009705AD" w:rsidRPr="009705AD">
              <w:t>Detailed Appraisal</w:t>
            </w:r>
            <w:r w:rsidR="009705AD">
              <w:t xml:space="preserve"> </w:t>
            </w:r>
            <w:r w:rsidR="003D52AC">
              <w:t xml:space="preserve">is provided in </w:t>
            </w:r>
            <w:r w:rsidR="003D52AC" w:rsidRPr="00453FAE">
              <w:rPr>
                <w:b/>
                <w:bCs/>
              </w:rPr>
              <w:t xml:space="preserve">Appendix F </w:t>
            </w:r>
            <w:r w:rsidR="00453FAE" w:rsidRPr="00453FAE">
              <w:rPr>
                <w:b/>
                <w:bCs/>
              </w:rPr>
              <w:t>(Assessment Matrices)</w:t>
            </w:r>
            <w:r w:rsidR="00453FAE">
              <w:t xml:space="preserve"> </w:t>
            </w:r>
            <w:r w:rsidR="00974B9C">
              <w:t xml:space="preserve">and </w:t>
            </w:r>
            <w:r w:rsidR="003D52AC">
              <w:t xml:space="preserve">is summarised in </w:t>
            </w:r>
            <w:r w:rsidR="003D52AC" w:rsidRPr="00453FAE">
              <w:rPr>
                <w:b/>
                <w:bCs/>
              </w:rPr>
              <w:t xml:space="preserve">Chapter </w:t>
            </w:r>
            <w:r w:rsidR="00330AC7" w:rsidRPr="00453FAE">
              <w:rPr>
                <w:b/>
                <w:bCs/>
              </w:rPr>
              <w:fldChar w:fldCharType="begin"/>
            </w:r>
            <w:r w:rsidR="00330AC7" w:rsidRPr="00453FAE">
              <w:rPr>
                <w:b/>
                <w:bCs/>
              </w:rPr>
              <w:instrText xml:space="preserve"> REF _Ref90565566 \r \h </w:instrText>
            </w:r>
            <w:r w:rsidR="00453FAE">
              <w:rPr>
                <w:b/>
                <w:bCs/>
              </w:rPr>
              <w:instrText xml:space="preserve"> \* MERGEFORMAT </w:instrText>
            </w:r>
            <w:r w:rsidR="00330AC7" w:rsidRPr="00453FAE">
              <w:rPr>
                <w:b/>
                <w:bCs/>
              </w:rPr>
            </w:r>
            <w:r w:rsidR="00330AC7" w:rsidRPr="00453FAE">
              <w:rPr>
                <w:b/>
                <w:bCs/>
              </w:rPr>
              <w:fldChar w:fldCharType="separate"/>
            </w:r>
            <w:r w:rsidR="00C22A9E" w:rsidRPr="00C22A9E">
              <w:rPr>
                <w:b/>
              </w:rPr>
              <w:t>8</w:t>
            </w:r>
            <w:r w:rsidR="00330AC7" w:rsidRPr="00453FAE">
              <w:rPr>
                <w:b/>
                <w:bCs/>
              </w:rPr>
              <w:fldChar w:fldCharType="end"/>
            </w:r>
            <w:r w:rsidR="00FF49BD" w:rsidRPr="00453FAE">
              <w:rPr>
                <w:b/>
                <w:bCs/>
              </w:rPr>
              <w:t xml:space="preserve"> </w:t>
            </w:r>
            <w:r w:rsidR="00453FAE" w:rsidRPr="00453FAE">
              <w:rPr>
                <w:b/>
                <w:bCs/>
              </w:rPr>
              <w:t>(Assessment Results)</w:t>
            </w:r>
            <w:r w:rsidR="00453FAE">
              <w:t xml:space="preserve"> </w:t>
            </w:r>
            <w:r w:rsidR="00FF49BD" w:rsidRPr="00FF49BD">
              <w:t>of this</w:t>
            </w:r>
            <w:r w:rsidR="007171A6">
              <w:t> </w:t>
            </w:r>
            <w:r w:rsidR="00FF49BD" w:rsidRPr="00FF49BD">
              <w:t>report.</w:t>
            </w:r>
          </w:p>
          <w:p w14:paraId="7CC0DD27" w14:textId="77777777" w:rsidR="00FC4D83" w:rsidRDefault="00FC4D83" w:rsidP="00D93256">
            <w:pPr>
              <w:pStyle w:val="STPR2TableBody"/>
            </w:pPr>
            <w:r w:rsidRPr="00FC4D83">
              <w:t>At the Detailed Appraisal stage, 45 recommendation ASTs, eleven regional package ASTs and one package of national interventions (representing all of the recommendations) were produced. The SEA team has responded to consultation feedback on the 45 STPR2 recommendations that related to the SEA topics or wider environmental considerations. This included making updates to the SEA scoring and/or narrative in each of the recommendation ASTs, the eleven regional ASTs and the national AST.</w:t>
            </w:r>
          </w:p>
          <w:p w14:paraId="397B36D3" w14:textId="280905E8" w:rsidR="000C6958" w:rsidRPr="00FE7BDB" w:rsidRDefault="000C6958" w:rsidP="00D93256">
            <w:pPr>
              <w:pStyle w:val="STPR2TableBody"/>
            </w:pPr>
            <w:r>
              <w:t>Mitigation measures have been identified, and the assessment considers indirect</w:t>
            </w:r>
            <w:r w:rsidR="00326A36">
              <w:t xml:space="preserve">, </w:t>
            </w:r>
            <w:r>
              <w:t>direct</w:t>
            </w:r>
            <w:r w:rsidR="00326A36">
              <w:t xml:space="preserve"> and </w:t>
            </w:r>
            <w:r>
              <w:t>cumulative effects. Enhancement opportunities are also described.</w:t>
            </w:r>
            <w:r w:rsidR="00B65147">
              <w:t xml:space="preserve"> </w:t>
            </w:r>
            <w:r w:rsidR="00333068">
              <w:t>M</w:t>
            </w:r>
            <w:r w:rsidR="00B65147">
              <w:t>itigation</w:t>
            </w:r>
            <w:r w:rsidR="00333068">
              <w:t xml:space="preserve"> </w:t>
            </w:r>
            <w:r w:rsidR="00450487">
              <w:t xml:space="preserve">and enhancement measures are provided in </w:t>
            </w:r>
            <w:r w:rsidR="00450487" w:rsidRPr="003B196E">
              <w:rPr>
                <w:b/>
                <w:bCs/>
              </w:rPr>
              <w:t xml:space="preserve">Chapter </w:t>
            </w:r>
            <w:r w:rsidR="002411BB" w:rsidRPr="003B196E">
              <w:rPr>
                <w:b/>
                <w:bCs/>
              </w:rPr>
              <w:fldChar w:fldCharType="begin"/>
            </w:r>
            <w:r w:rsidR="002411BB" w:rsidRPr="003B196E">
              <w:rPr>
                <w:b/>
                <w:bCs/>
              </w:rPr>
              <w:instrText xml:space="preserve"> REF _Ref90565594 \r \h </w:instrText>
            </w:r>
            <w:r w:rsidR="001818F1" w:rsidRPr="003B196E">
              <w:rPr>
                <w:b/>
                <w:bCs/>
              </w:rPr>
              <w:instrText xml:space="preserve"> \* MERGEFORMAT </w:instrText>
            </w:r>
            <w:r w:rsidR="002411BB" w:rsidRPr="003B196E">
              <w:rPr>
                <w:b/>
                <w:bCs/>
              </w:rPr>
            </w:r>
            <w:r w:rsidR="002411BB" w:rsidRPr="003B196E">
              <w:rPr>
                <w:b/>
                <w:bCs/>
              </w:rPr>
              <w:fldChar w:fldCharType="separate"/>
            </w:r>
            <w:r w:rsidR="00C22A9E">
              <w:rPr>
                <w:b/>
                <w:bCs/>
              </w:rPr>
              <w:t>9</w:t>
            </w:r>
            <w:r w:rsidR="002411BB" w:rsidRPr="003B196E">
              <w:rPr>
                <w:b/>
                <w:bCs/>
              </w:rPr>
              <w:fldChar w:fldCharType="end"/>
            </w:r>
            <w:r w:rsidR="00450487" w:rsidRPr="003B196E">
              <w:rPr>
                <w:b/>
                <w:bCs/>
              </w:rPr>
              <w:t xml:space="preserve"> </w:t>
            </w:r>
            <w:r w:rsidR="001818F1" w:rsidRPr="003B196E">
              <w:rPr>
                <w:b/>
                <w:bCs/>
              </w:rPr>
              <w:t>(Strategic Mitigation and Enhancement)</w:t>
            </w:r>
            <w:r w:rsidR="001818F1" w:rsidRPr="001818F1">
              <w:t xml:space="preserve"> </w:t>
            </w:r>
            <w:r w:rsidR="00450487">
              <w:t>of thi</w:t>
            </w:r>
            <w:r w:rsidR="00FF49BD">
              <w:t>s report.</w:t>
            </w:r>
          </w:p>
        </w:tc>
      </w:tr>
      <w:tr w:rsidR="000C6958" w:rsidRPr="00E645D5" w14:paraId="30C77E12" w14:textId="77777777" w:rsidTr="00CC68CE">
        <w:trPr>
          <w:cantSplit/>
        </w:trPr>
        <w:tc>
          <w:tcPr>
            <w:tcW w:w="1252" w:type="pct"/>
            <w:shd w:val="clear" w:color="auto" w:fill="DCEDC6"/>
          </w:tcPr>
          <w:p w14:paraId="2622E909" w14:textId="77777777" w:rsidR="000C6958" w:rsidRDefault="000C6958" w:rsidP="00D93256">
            <w:pPr>
              <w:pStyle w:val="STPR2TableBody"/>
            </w:pPr>
            <w:r>
              <w:t>Post Appraisal: Monitoring and Evaluation</w:t>
            </w:r>
          </w:p>
          <w:p w14:paraId="75EC5A5E" w14:textId="6DE74FEF" w:rsidR="005F4D39" w:rsidRPr="00112210" w:rsidRDefault="00BA4607" w:rsidP="00D93256">
            <w:pPr>
              <w:pStyle w:val="STPR2TableBody"/>
            </w:pPr>
            <w:r>
              <w:t>(</w:t>
            </w:r>
            <w:r w:rsidR="00FA38B8">
              <w:t>Early</w:t>
            </w:r>
            <w:r w:rsidR="00877662">
              <w:t>-</w:t>
            </w:r>
            <w:r>
              <w:t>202</w:t>
            </w:r>
            <w:r w:rsidR="00FA38B8">
              <w:t>3</w:t>
            </w:r>
            <w:r>
              <w:t>)</w:t>
            </w:r>
          </w:p>
        </w:tc>
        <w:tc>
          <w:tcPr>
            <w:tcW w:w="3748" w:type="pct"/>
            <w:shd w:val="clear" w:color="auto" w:fill="DCEDC6"/>
          </w:tcPr>
          <w:p w14:paraId="0753B15A" w14:textId="5DF27D6E" w:rsidR="000C6958" w:rsidRDefault="00A856B2" w:rsidP="00D93256">
            <w:pPr>
              <w:pStyle w:val="STPR2TableBody"/>
            </w:pPr>
            <w:r>
              <w:t>The SEA will p</w:t>
            </w:r>
            <w:r w:rsidR="0004458E">
              <w:t>ublish</w:t>
            </w:r>
            <w:r w:rsidR="000C6958">
              <w:t xml:space="preserve"> </w:t>
            </w:r>
            <w:r>
              <w:t>a</w:t>
            </w:r>
            <w:r w:rsidR="000C6958">
              <w:t xml:space="preserve"> Post Adoption Statement</w:t>
            </w:r>
            <w:r w:rsidR="00EE0E3F">
              <w:t xml:space="preserve"> in early</w:t>
            </w:r>
            <w:r w:rsidR="00877662">
              <w:t>-</w:t>
            </w:r>
            <w:r w:rsidR="00EE0E3F">
              <w:t>2023.This will</w:t>
            </w:r>
            <w:r>
              <w:t xml:space="preserve"> </w:t>
            </w:r>
            <w:r w:rsidR="000C6958">
              <w:t>includ</w:t>
            </w:r>
            <w:r w:rsidR="00EE0E3F">
              <w:t>e</w:t>
            </w:r>
            <w:r w:rsidR="000C6958">
              <w:t xml:space="preserve"> the finalised, detailed </w:t>
            </w:r>
            <w:r w:rsidR="00D01C3B">
              <w:t xml:space="preserve">environmental </w:t>
            </w:r>
            <w:r w:rsidR="000C6958">
              <w:t>Monitoring Framework</w:t>
            </w:r>
            <w:r>
              <w:t>. This will take account of the</w:t>
            </w:r>
            <w:r w:rsidR="000C6958">
              <w:t xml:space="preserve"> consultation comments </w:t>
            </w:r>
            <w:r>
              <w:t xml:space="preserve">and provide a narrative </w:t>
            </w:r>
            <w:r w:rsidR="008C0CAD">
              <w:t xml:space="preserve">as to how the SEA has influenced </w:t>
            </w:r>
            <w:r w:rsidR="0078376A" w:rsidRPr="0078376A">
              <w:t xml:space="preserve">the </w:t>
            </w:r>
            <w:r w:rsidR="008C0CAD">
              <w:t>S</w:t>
            </w:r>
            <w:r w:rsidR="00BA4607">
              <w:t>TPR2.</w:t>
            </w:r>
            <w:r w:rsidR="008C0CAD">
              <w:t xml:space="preserve"> </w:t>
            </w:r>
          </w:p>
        </w:tc>
      </w:tr>
    </w:tbl>
    <w:p w14:paraId="5500471C" w14:textId="70439AA0" w:rsidR="000C6958" w:rsidRPr="008B5CFF" w:rsidRDefault="000C6958" w:rsidP="00D93256">
      <w:pPr>
        <w:pStyle w:val="Heading2"/>
        <w:spacing w:before="160"/>
      </w:pPr>
      <w:bookmarkStart w:id="1764" w:name="_Toc81993609"/>
      <w:bookmarkStart w:id="1765" w:name="_Ref90047517"/>
      <w:bookmarkStart w:id="1766" w:name="_Toc121339135"/>
      <w:r w:rsidRPr="008B5CFF">
        <w:t xml:space="preserve">Matrix </w:t>
      </w:r>
      <w:r w:rsidRPr="001F034F">
        <w:t>Approach</w:t>
      </w:r>
      <w:bookmarkEnd w:id="1764"/>
      <w:bookmarkEnd w:id="1765"/>
      <w:bookmarkEnd w:id="1766"/>
    </w:p>
    <w:p w14:paraId="619B2BEB" w14:textId="6BDC8438" w:rsidR="000C6958" w:rsidRPr="00421468" w:rsidRDefault="000C6958" w:rsidP="00D93256">
      <w:pPr>
        <w:pStyle w:val="STPR2BodyText"/>
      </w:pPr>
      <w:r w:rsidRPr="00FE7BDB">
        <w:t xml:space="preserve">The </w:t>
      </w:r>
      <w:r w:rsidR="002F5FCA">
        <w:t>assessment for the</w:t>
      </w:r>
      <w:r w:rsidRPr="00FE7BDB">
        <w:t xml:space="preserve"> SEA </w:t>
      </w:r>
      <w:r>
        <w:t>has</w:t>
      </w:r>
      <w:r w:rsidRPr="00FE7BDB">
        <w:t xml:space="preserve"> </w:t>
      </w:r>
      <w:r>
        <w:t>used</w:t>
      </w:r>
      <w:r w:rsidRPr="00FE7BDB">
        <w:t xml:space="preserve"> a matrix-based approach, </w:t>
      </w:r>
      <w:r>
        <w:t>with</w:t>
      </w:r>
      <w:r w:rsidRPr="00FE7BDB">
        <w:t xml:space="preserve"> a qualitative scoring system to identify likely significant effects on the SEA objectives. The </w:t>
      </w:r>
      <w:r>
        <w:t xml:space="preserve">seven-point </w:t>
      </w:r>
      <w:r w:rsidRPr="00FE7BDB">
        <w:t xml:space="preserve">scoring system used for the assessment of </w:t>
      </w:r>
      <w:r w:rsidR="0007288D">
        <w:t xml:space="preserve">environmental </w:t>
      </w:r>
      <w:r w:rsidRPr="00FE7BDB">
        <w:t>effects in the preliminary and detailed appraisal stages is described in</w:t>
      </w:r>
      <w:r>
        <w:rPr>
          <w:b/>
        </w:rPr>
        <w:t xml:space="preserve"> </w:t>
      </w:r>
      <w:r w:rsidR="008F0E42">
        <w:rPr>
          <w:b/>
          <w:highlight w:val="yellow"/>
        </w:rPr>
        <w:fldChar w:fldCharType="begin"/>
      </w:r>
      <w:r w:rsidR="008F0E42">
        <w:rPr>
          <w:b/>
        </w:rPr>
        <w:instrText xml:space="preserve"> REF _Ref92886450 \h </w:instrText>
      </w:r>
      <w:r w:rsidR="008F0E42">
        <w:rPr>
          <w:b/>
          <w:highlight w:val="yellow"/>
        </w:rPr>
      </w:r>
      <w:r w:rsidR="008F0E42">
        <w:rPr>
          <w:b/>
          <w:highlight w:val="yellow"/>
        </w:rPr>
        <w:fldChar w:fldCharType="separate"/>
      </w:r>
      <w:r w:rsidR="00C22A9E" w:rsidRPr="001D1449">
        <w:t xml:space="preserve">Table </w:t>
      </w:r>
      <w:r w:rsidR="00C22A9E">
        <w:rPr>
          <w:noProof/>
        </w:rPr>
        <w:t>5</w:t>
      </w:r>
      <w:r w:rsidR="008F0E42">
        <w:rPr>
          <w:b/>
          <w:highlight w:val="yellow"/>
        </w:rPr>
        <w:fldChar w:fldCharType="end"/>
      </w:r>
      <w:r w:rsidR="008F0E42">
        <w:rPr>
          <w:b/>
        </w:rPr>
        <w:t xml:space="preserve">. </w:t>
      </w:r>
      <w:r w:rsidRPr="00FE7BDB">
        <w:t>This approach has several advantages, including the systematic recording of potential effects and their significance</w:t>
      </w:r>
      <w:r>
        <w:t xml:space="preserve">, with a narrative accompanying each score to explain the rationale for scoring and the predicted </w:t>
      </w:r>
      <w:r w:rsidR="006E2BEE">
        <w:t>effe</w:t>
      </w:r>
      <w:r w:rsidR="006E2BEE" w:rsidRPr="004F5EEB">
        <w:t>cts</w:t>
      </w:r>
      <w:r w:rsidRPr="00421468">
        <w:t>.</w:t>
      </w:r>
      <w:r w:rsidR="00026495">
        <w:t xml:space="preserve"> The term ‘option’ has been used in Table 5 for the sake of brevity, but the scoring </w:t>
      </w:r>
      <w:r w:rsidR="0092325F">
        <w:t>method also applied to the assessment of Groupings</w:t>
      </w:r>
      <w:r w:rsidR="001655F1">
        <w:t>.</w:t>
      </w:r>
    </w:p>
    <w:p w14:paraId="6F945D7D" w14:textId="31DA35E1" w:rsidR="003141DC" w:rsidRPr="001D1449" w:rsidRDefault="003141DC" w:rsidP="00D93256">
      <w:pPr>
        <w:pStyle w:val="STPR2Caption"/>
      </w:pPr>
      <w:bookmarkStart w:id="1767" w:name="_Ref85029387"/>
      <w:bookmarkStart w:id="1768" w:name="_Ref92886450"/>
      <w:bookmarkStart w:id="1769" w:name="_Toc90031396"/>
      <w:bookmarkStart w:id="1770" w:name="_Toc121231976"/>
      <w:r w:rsidRPr="001D1449">
        <w:t xml:space="preserve">Table </w:t>
      </w:r>
      <w:bookmarkEnd w:id="1767"/>
      <w:r w:rsidR="00E428D4">
        <w:fldChar w:fldCharType="begin"/>
      </w:r>
      <w:r w:rsidR="00E428D4">
        <w:instrText xml:space="preserve"> SEQ Table \* ARABIC </w:instrText>
      </w:r>
      <w:r w:rsidR="00E428D4">
        <w:fldChar w:fldCharType="separate"/>
      </w:r>
      <w:r w:rsidR="00C22A9E">
        <w:rPr>
          <w:noProof/>
        </w:rPr>
        <w:t>5</w:t>
      </w:r>
      <w:r w:rsidR="00E428D4">
        <w:fldChar w:fldCharType="end"/>
      </w:r>
      <w:bookmarkEnd w:id="1768"/>
      <w:r w:rsidRPr="001D1449">
        <w:t xml:space="preserve">: SEA scoring system for </w:t>
      </w:r>
      <w:r w:rsidR="006C5B2A">
        <w:t>each</w:t>
      </w:r>
      <w:r w:rsidRPr="001D1449">
        <w:t xml:space="preserve"> stage</w:t>
      </w:r>
      <w:bookmarkEnd w:id="1769"/>
      <w:r w:rsidR="006C5B2A">
        <w:t xml:space="preserve"> of</w:t>
      </w:r>
      <w:r w:rsidR="0078376A">
        <w:t xml:space="preserve"> the</w:t>
      </w:r>
      <w:r w:rsidR="006C5B2A">
        <w:t xml:space="preserve"> STPR2</w:t>
      </w:r>
      <w:bookmarkEnd w:id="1770"/>
    </w:p>
    <w:tbl>
      <w:tblPr>
        <w:tblStyle w:val="TableGrid"/>
        <w:tblW w:w="9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FFFFFF" w:themeColor="background1"/>
          <w:insideV w:val="single" w:sz="4" w:space="0" w:color="FFFFFF" w:themeColor="background1"/>
        </w:tblBorders>
        <w:tblLook w:val="04A0" w:firstRow="1" w:lastRow="0" w:firstColumn="1" w:lastColumn="0" w:noHBand="0" w:noVBand="1"/>
      </w:tblPr>
      <w:tblGrid>
        <w:gridCol w:w="2229"/>
        <w:gridCol w:w="4040"/>
        <w:gridCol w:w="3359"/>
      </w:tblGrid>
      <w:tr w:rsidR="000C6958" w:rsidRPr="001302FA" w14:paraId="322AA594" w14:textId="77777777" w:rsidTr="00CC68CE">
        <w:trPr>
          <w:cantSplit/>
          <w:tblHeader/>
        </w:trPr>
        <w:tc>
          <w:tcPr>
            <w:tcW w:w="2229" w:type="dxa"/>
            <w:shd w:val="clear" w:color="auto" w:fill="007D55"/>
          </w:tcPr>
          <w:p w14:paraId="18F0B382" w14:textId="77777777" w:rsidR="000C6958" w:rsidRPr="001302FA" w:rsidRDefault="000C6958" w:rsidP="00D93256">
            <w:pPr>
              <w:pStyle w:val="STPR2WhiteTableHeading"/>
            </w:pPr>
            <w:r w:rsidRPr="001302FA">
              <w:lastRenderedPageBreak/>
              <w:t>SCOPE</w:t>
            </w:r>
          </w:p>
        </w:tc>
        <w:tc>
          <w:tcPr>
            <w:tcW w:w="4040" w:type="dxa"/>
            <w:shd w:val="clear" w:color="auto" w:fill="007D55"/>
          </w:tcPr>
          <w:p w14:paraId="65235399" w14:textId="77777777" w:rsidR="000C6958" w:rsidRPr="001302FA" w:rsidRDefault="000C6958" w:rsidP="00D93256">
            <w:pPr>
              <w:pStyle w:val="STPR2WhiteTableHeading"/>
            </w:pPr>
            <w:r w:rsidRPr="001302FA">
              <w:t>DESCRIPTIONS</w:t>
            </w:r>
          </w:p>
        </w:tc>
        <w:tc>
          <w:tcPr>
            <w:tcW w:w="3359" w:type="dxa"/>
            <w:shd w:val="clear" w:color="auto" w:fill="007D55"/>
          </w:tcPr>
          <w:p w14:paraId="174AF877" w14:textId="77777777" w:rsidR="000C6958" w:rsidRPr="001302FA" w:rsidRDefault="000C6958" w:rsidP="00D93256">
            <w:pPr>
              <w:pStyle w:val="STPR2WhiteTableHeading"/>
            </w:pPr>
            <w:r w:rsidRPr="001302FA">
              <w:t>SYMBOL</w:t>
            </w:r>
          </w:p>
        </w:tc>
      </w:tr>
      <w:tr w:rsidR="000C6958" w:rsidRPr="00E645D5" w14:paraId="53C10474" w14:textId="77777777" w:rsidTr="00CC68CE">
        <w:trPr>
          <w:cantSplit/>
          <w:tblHeader/>
        </w:trPr>
        <w:tc>
          <w:tcPr>
            <w:tcW w:w="2229" w:type="dxa"/>
            <w:tcBorders>
              <w:bottom w:val="single" w:sz="4" w:space="0" w:color="FFFFFF" w:themeColor="background1"/>
            </w:tcBorders>
            <w:shd w:val="clear" w:color="auto" w:fill="DCEDC6"/>
          </w:tcPr>
          <w:p w14:paraId="291EE905" w14:textId="77777777" w:rsidR="000C6958" w:rsidRPr="006643CA" w:rsidRDefault="000C6958" w:rsidP="00D93256">
            <w:pPr>
              <w:pStyle w:val="STPR2TableBody"/>
            </w:pPr>
            <w:r w:rsidRPr="006643CA">
              <w:t>Significant Positive Effect</w:t>
            </w:r>
          </w:p>
        </w:tc>
        <w:tc>
          <w:tcPr>
            <w:tcW w:w="4040" w:type="dxa"/>
            <w:tcBorders>
              <w:bottom w:val="single" w:sz="4" w:space="0" w:color="FFFFFF" w:themeColor="background1"/>
            </w:tcBorders>
            <w:shd w:val="clear" w:color="auto" w:fill="DCEDC6"/>
          </w:tcPr>
          <w:p w14:paraId="21DE3EE2" w14:textId="070C6CAB" w:rsidR="000C6958" w:rsidRPr="006643CA" w:rsidRDefault="000C6958" w:rsidP="00D93256">
            <w:pPr>
              <w:pStyle w:val="STPR2TableBody"/>
            </w:pPr>
            <w:r w:rsidRPr="006643CA">
              <w:t>The proposed option contributes significantly to the achievement of the SEA objective.</w:t>
            </w:r>
          </w:p>
        </w:tc>
        <w:tc>
          <w:tcPr>
            <w:tcW w:w="3359" w:type="dxa"/>
            <w:tcBorders>
              <w:bottom w:val="single" w:sz="4" w:space="0" w:color="FFFFFF" w:themeColor="background1"/>
            </w:tcBorders>
            <w:shd w:val="clear" w:color="auto" w:fill="00B050"/>
            <w:vAlign w:val="center"/>
          </w:tcPr>
          <w:p w14:paraId="661F2450" w14:textId="77777777" w:rsidR="000C6958" w:rsidRPr="006643CA" w:rsidRDefault="000C6958" w:rsidP="00D93256">
            <w:pPr>
              <w:pStyle w:val="STPR2TableBody"/>
            </w:pPr>
            <w:r w:rsidRPr="006643CA">
              <w:t>++</w:t>
            </w:r>
          </w:p>
        </w:tc>
      </w:tr>
      <w:tr w:rsidR="000C6958" w:rsidRPr="00E645D5" w14:paraId="6BF5E71D" w14:textId="77777777" w:rsidTr="00CC68CE">
        <w:trPr>
          <w:cantSplit/>
          <w:tblHeader/>
        </w:trPr>
        <w:tc>
          <w:tcPr>
            <w:tcW w:w="2229" w:type="dxa"/>
            <w:tcBorders>
              <w:top w:val="single" w:sz="4" w:space="0" w:color="FFFFFF" w:themeColor="background1"/>
              <w:bottom w:val="single" w:sz="4" w:space="0" w:color="FFFFFF" w:themeColor="background1"/>
            </w:tcBorders>
            <w:shd w:val="clear" w:color="auto" w:fill="DCEDC6"/>
          </w:tcPr>
          <w:p w14:paraId="2ED4A57E" w14:textId="77777777" w:rsidR="000C6958" w:rsidRPr="006643CA" w:rsidRDefault="000C6958" w:rsidP="00D93256">
            <w:pPr>
              <w:pStyle w:val="STPR2TableBody"/>
            </w:pPr>
            <w:r w:rsidRPr="006643CA">
              <w:t>Minor Positive Effect</w:t>
            </w:r>
          </w:p>
        </w:tc>
        <w:tc>
          <w:tcPr>
            <w:tcW w:w="4040" w:type="dxa"/>
            <w:tcBorders>
              <w:top w:val="single" w:sz="4" w:space="0" w:color="FFFFFF" w:themeColor="background1"/>
              <w:bottom w:val="single" w:sz="4" w:space="0" w:color="FFFFFF" w:themeColor="background1"/>
            </w:tcBorders>
            <w:shd w:val="clear" w:color="auto" w:fill="DCEDC6"/>
          </w:tcPr>
          <w:p w14:paraId="2EDD93F6" w14:textId="77777777" w:rsidR="000C6958" w:rsidRPr="006643CA" w:rsidRDefault="000C6958" w:rsidP="00D93256">
            <w:pPr>
              <w:pStyle w:val="STPR2TableBody"/>
            </w:pPr>
            <w:r w:rsidRPr="006643CA">
              <w:t>The proposed option contributes to the achievement of the SEA objective but not significantly.</w:t>
            </w:r>
          </w:p>
        </w:tc>
        <w:tc>
          <w:tcPr>
            <w:tcW w:w="3359" w:type="dxa"/>
            <w:tcBorders>
              <w:top w:val="single" w:sz="4" w:space="0" w:color="FFFFFF" w:themeColor="background1"/>
              <w:bottom w:val="single" w:sz="4" w:space="0" w:color="FFFFFF" w:themeColor="background1"/>
            </w:tcBorders>
            <w:shd w:val="clear" w:color="auto" w:fill="B7F3C5"/>
            <w:vAlign w:val="center"/>
          </w:tcPr>
          <w:p w14:paraId="05821F42" w14:textId="77777777" w:rsidR="000C6958" w:rsidRPr="006643CA" w:rsidRDefault="000C6958" w:rsidP="00D93256">
            <w:pPr>
              <w:pStyle w:val="STPR2TableBody"/>
            </w:pPr>
            <w:r w:rsidRPr="006643CA">
              <w:t>+</w:t>
            </w:r>
          </w:p>
        </w:tc>
      </w:tr>
      <w:tr w:rsidR="000C6958" w:rsidRPr="00E645D5" w14:paraId="65E4EAA6" w14:textId="77777777" w:rsidTr="00CC68CE">
        <w:trPr>
          <w:cantSplit/>
          <w:tblHeader/>
        </w:trPr>
        <w:tc>
          <w:tcPr>
            <w:tcW w:w="2229" w:type="dxa"/>
            <w:tcBorders>
              <w:top w:val="single" w:sz="4" w:space="0" w:color="FFFFFF" w:themeColor="background1"/>
              <w:bottom w:val="single" w:sz="4" w:space="0" w:color="FFFFFF" w:themeColor="background1"/>
            </w:tcBorders>
            <w:shd w:val="clear" w:color="auto" w:fill="DCEDC6"/>
          </w:tcPr>
          <w:p w14:paraId="53B02FF5" w14:textId="77777777" w:rsidR="000C6958" w:rsidRPr="006643CA" w:rsidRDefault="000C6958" w:rsidP="00D93256">
            <w:pPr>
              <w:pStyle w:val="STPR2TableBody"/>
            </w:pPr>
            <w:r w:rsidRPr="006643CA">
              <w:t>Neutral Effect</w:t>
            </w:r>
          </w:p>
        </w:tc>
        <w:tc>
          <w:tcPr>
            <w:tcW w:w="4040" w:type="dxa"/>
            <w:tcBorders>
              <w:top w:val="single" w:sz="4" w:space="0" w:color="FFFFFF" w:themeColor="background1"/>
              <w:bottom w:val="single" w:sz="4" w:space="0" w:color="FFFFFF" w:themeColor="background1"/>
            </w:tcBorders>
            <w:shd w:val="clear" w:color="auto" w:fill="DCEDC6"/>
          </w:tcPr>
          <w:p w14:paraId="292C9D8D" w14:textId="77777777" w:rsidR="000C6958" w:rsidRPr="006643CA" w:rsidRDefault="000C6958" w:rsidP="00D93256">
            <w:pPr>
              <w:pStyle w:val="STPR2TableBody"/>
            </w:pPr>
            <w:r w:rsidRPr="006643CA">
              <w:t>The proposed option is related to but does not have any effect on the achievement of the SEA objective</w:t>
            </w:r>
          </w:p>
        </w:tc>
        <w:tc>
          <w:tcPr>
            <w:tcW w:w="3359" w:type="dxa"/>
            <w:tcBorders>
              <w:top w:val="single" w:sz="4" w:space="0" w:color="FFFFFF" w:themeColor="background1"/>
              <w:bottom w:val="single" w:sz="4" w:space="0" w:color="FFFFFF" w:themeColor="background1"/>
            </w:tcBorders>
            <w:shd w:val="clear" w:color="auto" w:fill="CFB1CB"/>
            <w:vAlign w:val="center"/>
          </w:tcPr>
          <w:p w14:paraId="2FA4F201" w14:textId="77777777" w:rsidR="000C6958" w:rsidRPr="006643CA" w:rsidRDefault="000C6958" w:rsidP="00D93256">
            <w:pPr>
              <w:pStyle w:val="STPR2TableBody"/>
            </w:pPr>
            <w:r w:rsidRPr="006643CA">
              <w:t>0</w:t>
            </w:r>
          </w:p>
        </w:tc>
      </w:tr>
      <w:tr w:rsidR="000C6958" w:rsidRPr="00E645D5" w14:paraId="52B77B5D" w14:textId="77777777" w:rsidTr="00CC68CE">
        <w:trPr>
          <w:cantSplit/>
          <w:tblHeader/>
        </w:trPr>
        <w:tc>
          <w:tcPr>
            <w:tcW w:w="2229" w:type="dxa"/>
            <w:tcBorders>
              <w:top w:val="single" w:sz="4" w:space="0" w:color="FFFFFF" w:themeColor="background1"/>
              <w:bottom w:val="single" w:sz="4" w:space="0" w:color="FFFFFF" w:themeColor="background1"/>
            </w:tcBorders>
            <w:shd w:val="clear" w:color="auto" w:fill="DCEDC6"/>
          </w:tcPr>
          <w:p w14:paraId="1A0ADDCA" w14:textId="77777777" w:rsidR="000C6958" w:rsidRPr="006643CA" w:rsidRDefault="000C6958" w:rsidP="00D93256">
            <w:pPr>
              <w:pStyle w:val="STPR2TableBody"/>
            </w:pPr>
            <w:r w:rsidRPr="006643CA">
              <w:t>Minor Negative Effect</w:t>
            </w:r>
          </w:p>
        </w:tc>
        <w:tc>
          <w:tcPr>
            <w:tcW w:w="4040" w:type="dxa"/>
            <w:tcBorders>
              <w:top w:val="single" w:sz="4" w:space="0" w:color="FFFFFF" w:themeColor="background1"/>
              <w:bottom w:val="single" w:sz="4" w:space="0" w:color="FFFFFF" w:themeColor="background1"/>
            </w:tcBorders>
            <w:shd w:val="clear" w:color="auto" w:fill="DCEDC6"/>
          </w:tcPr>
          <w:p w14:paraId="2DEB4F0C" w14:textId="77777777" w:rsidR="000C6958" w:rsidRPr="006643CA" w:rsidRDefault="000C6958" w:rsidP="00D93256">
            <w:pPr>
              <w:pStyle w:val="STPR2TableBody"/>
            </w:pPr>
            <w:r w:rsidRPr="006643CA">
              <w:t>The proposed option detracts from the achievement of the SEA objective but not significantly.</w:t>
            </w:r>
          </w:p>
        </w:tc>
        <w:tc>
          <w:tcPr>
            <w:tcW w:w="3359" w:type="dxa"/>
            <w:tcBorders>
              <w:top w:val="single" w:sz="4" w:space="0" w:color="FFFFFF" w:themeColor="background1"/>
              <w:bottom w:val="single" w:sz="4" w:space="0" w:color="FFFFFF" w:themeColor="background1"/>
            </w:tcBorders>
            <w:shd w:val="clear" w:color="auto" w:fill="FAE7D2"/>
            <w:vAlign w:val="center"/>
          </w:tcPr>
          <w:p w14:paraId="37444FD5" w14:textId="77777777" w:rsidR="000C6958" w:rsidRPr="006643CA" w:rsidRDefault="000C6958" w:rsidP="00D93256">
            <w:pPr>
              <w:pStyle w:val="STPR2TableBody"/>
            </w:pPr>
            <w:r w:rsidRPr="006643CA">
              <w:t>-</w:t>
            </w:r>
          </w:p>
        </w:tc>
      </w:tr>
      <w:tr w:rsidR="000C6958" w:rsidRPr="00E645D5" w14:paraId="72DF51E9" w14:textId="77777777" w:rsidTr="00CC68CE">
        <w:trPr>
          <w:cantSplit/>
          <w:tblHeader/>
        </w:trPr>
        <w:tc>
          <w:tcPr>
            <w:tcW w:w="2229" w:type="dxa"/>
            <w:tcBorders>
              <w:top w:val="single" w:sz="4" w:space="0" w:color="FFFFFF" w:themeColor="background1"/>
              <w:bottom w:val="single" w:sz="4" w:space="0" w:color="FFFFFF" w:themeColor="background1"/>
            </w:tcBorders>
            <w:shd w:val="clear" w:color="auto" w:fill="DCEDC6"/>
          </w:tcPr>
          <w:p w14:paraId="64048895" w14:textId="77777777" w:rsidR="000C6958" w:rsidRPr="006643CA" w:rsidRDefault="000C6958" w:rsidP="00D93256">
            <w:pPr>
              <w:pStyle w:val="STPR2TableBody"/>
            </w:pPr>
            <w:r w:rsidRPr="006643CA">
              <w:t>Significant Negative Effect</w:t>
            </w:r>
          </w:p>
        </w:tc>
        <w:tc>
          <w:tcPr>
            <w:tcW w:w="4040" w:type="dxa"/>
            <w:tcBorders>
              <w:top w:val="single" w:sz="4" w:space="0" w:color="FFFFFF" w:themeColor="background1"/>
              <w:bottom w:val="single" w:sz="4" w:space="0" w:color="FFFFFF" w:themeColor="background1"/>
            </w:tcBorders>
            <w:shd w:val="clear" w:color="auto" w:fill="DCEDC6"/>
          </w:tcPr>
          <w:p w14:paraId="1CF8A841" w14:textId="77777777" w:rsidR="000C6958" w:rsidRPr="006643CA" w:rsidRDefault="000C6958" w:rsidP="00D93256">
            <w:pPr>
              <w:pStyle w:val="STPR2TableBody"/>
            </w:pPr>
            <w:r w:rsidRPr="006643CA">
              <w:t>The proposed option detracts significantly from the achievement of the objective. Mitigation is therefore required.</w:t>
            </w:r>
          </w:p>
        </w:tc>
        <w:tc>
          <w:tcPr>
            <w:tcW w:w="3359" w:type="dxa"/>
            <w:tcBorders>
              <w:top w:val="single" w:sz="4" w:space="0" w:color="FFFFFF" w:themeColor="background1"/>
              <w:bottom w:val="single" w:sz="4" w:space="0" w:color="FFFFFF" w:themeColor="background1"/>
            </w:tcBorders>
            <w:shd w:val="clear" w:color="auto" w:fill="CC6600"/>
            <w:vAlign w:val="center"/>
          </w:tcPr>
          <w:p w14:paraId="0A5B7D37" w14:textId="77777777" w:rsidR="000C6958" w:rsidRPr="006643CA" w:rsidRDefault="000C6958" w:rsidP="00D93256">
            <w:pPr>
              <w:pStyle w:val="STPR2TableBody"/>
            </w:pPr>
            <w:r w:rsidRPr="006643CA">
              <w:t>--</w:t>
            </w:r>
          </w:p>
        </w:tc>
      </w:tr>
      <w:tr w:rsidR="000C6958" w:rsidRPr="00E645D5" w14:paraId="53953306" w14:textId="77777777" w:rsidTr="00CC68CE">
        <w:trPr>
          <w:cantSplit/>
          <w:tblHeader/>
        </w:trPr>
        <w:tc>
          <w:tcPr>
            <w:tcW w:w="2229" w:type="dxa"/>
            <w:tcBorders>
              <w:top w:val="single" w:sz="4" w:space="0" w:color="FFFFFF" w:themeColor="background1"/>
              <w:bottom w:val="single" w:sz="4" w:space="0" w:color="FFFFFF" w:themeColor="background1"/>
            </w:tcBorders>
            <w:shd w:val="clear" w:color="auto" w:fill="DCEDC6"/>
          </w:tcPr>
          <w:p w14:paraId="7C565AEA" w14:textId="77777777" w:rsidR="000C6958" w:rsidRPr="006643CA" w:rsidRDefault="000C6958" w:rsidP="00D93256">
            <w:pPr>
              <w:pStyle w:val="STPR2TableBody"/>
            </w:pPr>
            <w:r w:rsidRPr="006643CA">
              <w:t>Uncertain Effect</w:t>
            </w:r>
          </w:p>
        </w:tc>
        <w:tc>
          <w:tcPr>
            <w:tcW w:w="4040" w:type="dxa"/>
            <w:tcBorders>
              <w:top w:val="single" w:sz="4" w:space="0" w:color="FFFFFF" w:themeColor="background1"/>
              <w:bottom w:val="single" w:sz="4" w:space="0" w:color="FFFFFF" w:themeColor="background1"/>
            </w:tcBorders>
            <w:shd w:val="clear" w:color="auto" w:fill="DCEDC6"/>
          </w:tcPr>
          <w:p w14:paraId="17EACC34" w14:textId="77777777" w:rsidR="000C6958" w:rsidRPr="006643CA" w:rsidRDefault="000C6958" w:rsidP="00D93256">
            <w:pPr>
              <w:pStyle w:val="STPR2TableBody"/>
            </w:pPr>
            <w:r w:rsidRPr="006643CA">
              <w:t>The proposed option has an uncertain relationship to the SEA objective or the relationship is dependent on the way in which the aspect is managed. In addition, insufficient information may be available to enable an assessment to be made.</w:t>
            </w:r>
          </w:p>
        </w:tc>
        <w:tc>
          <w:tcPr>
            <w:tcW w:w="3359" w:type="dxa"/>
            <w:tcBorders>
              <w:top w:val="single" w:sz="4" w:space="0" w:color="FFFFFF" w:themeColor="background1"/>
              <w:bottom w:val="single" w:sz="4" w:space="0" w:color="FFFFFF" w:themeColor="background1"/>
            </w:tcBorders>
            <w:shd w:val="clear" w:color="auto" w:fill="FFFF00"/>
            <w:vAlign w:val="center"/>
          </w:tcPr>
          <w:p w14:paraId="25A8B0D9" w14:textId="77777777" w:rsidR="000C6958" w:rsidRPr="006643CA" w:rsidRDefault="000C6958" w:rsidP="00D93256">
            <w:pPr>
              <w:pStyle w:val="STPR2TableBody"/>
            </w:pPr>
            <w:r w:rsidRPr="006643CA">
              <w:t>?</w:t>
            </w:r>
          </w:p>
        </w:tc>
      </w:tr>
      <w:tr w:rsidR="000C6958" w:rsidRPr="00E645D5" w14:paraId="2D8A4DF6" w14:textId="77777777" w:rsidTr="00CC68CE">
        <w:trPr>
          <w:cantSplit/>
          <w:tblHeader/>
        </w:trPr>
        <w:tc>
          <w:tcPr>
            <w:tcW w:w="2229" w:type="dxa"/>
            <w:tcBorders>
              <w:top w:val="single" w:sz="4" w:space="0" w:color="FFFFFF" w:themeColor="background1"/>
            </w:tcBorders>
            <w:shd w:val="clear" w:color="auto" w:fill="DCEDC6"/>
          </w:tcPr>
          <w:p w14:paraId="1DD33DE1" w14:textId="77777777" w:rsidR="000C6958" w:rsidRPr="006643CA" w:rsidRDefault="000C6958" w:rsidP="00D93256">
            <w:pPr>
              <w:pStyle w:val="STPR2TableBody"/>
            </w:pPr>
            <w:r w:rsidRPr="006643CA">
              <w:t>No or negligible relationship</w:t>
            </w:r>
          </w:p>
        </w:tc>
        <w:tc>
          <w:tcPr>
            <w:tcW w:w="4040" w:type="dxa"/>
            <w:tcBorders>
              <w:top w:val="single" w:sz="4" w:space="0" w:color="FFFFFF" w:themeColor="background1"/>
            </w:tcBorders>
            <w:shd w:val="clear" w:color="auto" w:fill="DCEDC6"/>
          </w:tcPr>
          <w:p w14:paraId="4BF9AC44" w14:textId="77777777" w:rsidR="000C6958" w:rsidRPr="006643CA" w:rsidRDefault="000C6958" w:rsidP="00D93256">
            <w:pPr>
              <w:pStyle w:val="STPR2TableBody"/>
            </w:pPr>
            <w:r w:rsidRPr="006643CA">
              <w:t>There is no clear relationship between the proposed option and the achievement of the SEA objective or the relationship is negligible.</w:t>
            </w:r>
          </w:p>
        </w:tc>
        <w:tc>
          <w:tcPr>
            <w:tcW w:w="3359" w:type="dxa"/>
            <w:tcBorders>
              <w:top w:val="single" w:sz="4" w:space="0" w:color="FFFFFF" w:themeColor="background1"/>
            </w:tcBorders>
            <w:shd w:val="clear" w:color="auto" w:fill="00B0F0"/>
            <w:vAlign w:val="center"/>
          </w:tcPr>
          <w:p w14:paraId="44528A24" w14:textId="77777777" w:rsidR="000C6958" w:rsidRPr="006643CA" w:rsidRDefault="000C6958" w:rsidP="00D93256">
            <w:pPr>
              <w:pStyle w:val="STPR2TableBody"/>
            </w:pPr>
            <w:r w:rsidRPr="006643CA">
              <w:t>~</w:t>
            </w:r>
          </w:p>
        </w:tc>
      </w:tr>
    </w:tbl>
    <w:p w14:paraId="3FF9AB8F" w14:textId="53BC2FFD" w:rsidR="000C6958" w:rsidRPr="003D2805" w:rsidRDefault="000C6958" w:rsidP="00D93256">
      <w:pPr>
        <w:pStyle w:val="STPR2BodyText"/>
      </w:pPr>
      <w:r w:rsidRPr="003D2805">
        <w:t xml:space="preserve">Following each stage of assessment, any potentially negative </w:t>
      </w:r>
      <w:r w:rsidR="006E2BEE">
        <w:t>effe</w:t>
      </w:r>
      <w:r w:rsidR="006E2BEE" w:rsidRPr="004F5EEB">
        <w:t>cts</w:t>
      </w:r>
      <w:r w:rsidRPr="003D2805">
        <w:t xml:space="preserve"> identified </w:t>
      </w:r>
      <w:r>
        <w:t>ha</w:t>
      </w:r>
      <w:r w:rsidR="00C14A03">
        <w:t>ve</w:t>
      </w:r>
      <w:r>
        <w:t xml:space="preserve"> been</w:t>
      </w:r>
      <w:r w:rsidRPr="003D2805">
        <w:t xml:space="preserve"> discussed with the project team to consider reasonable alternatives, effective mitigation and enhancement recommendations. Recommendations respond not only to direct </w:t>
      </w:r>
      <w:r w:rsidR="006E2BEE">
        <w:t>effe</w:t>
      </w:r>
      <w:r w:rsidR="006E2BEE" w:rsidRPr="004F5EEB">
        <w:t>cts</w:t>
      </w:r>
      <w:r w:rsidRPr="003D2805">
        <w:t xml:space="preserve"> but also indirect, secondary and cumulative </w:t>
      </w:r>
      <w:r w:rsidR="006E2BEE">
        <w:t>effe</w:t>
      </w:r>
      <w:r w:rsidR="006E2BEE" w:rsidRPr="004F5EEB">
        <w:t>cts</w:t>
      </w:r>
      <w:r w:rsidRPr="003D2805">
        <w:t xml:space="preserve">. </w:t>
      </w:r>
    </w:p>
    <w:p w14:paraId="0065F695" w14:textId="157E6A03" w:rsidR="00E83A30" w:rsidRPr="001302FA" w:rsidRDefault="00E83A30" w:rsidP="0033560A">
      <w:pPr>
        <w:pStyle w:val="Heading2"/>
      </w:pPr>
      <w:bookmarkStart w:id="1771" w:name="_Toc121339136"/>
      <w:bookmarkStart w:id="1772" w:name="_Toc81993610"/>
      <w:r w:rsidRPr="001302FA">
        <w:t>GIS Mapping</w:t>
      </w:r>
      <w:bookmarkEnd w:id="1771"/>
    </w:p>
    <w:p w14:paraId="30DC28A3" w14:textId="2AB58BB2" w:rsidR="00E83A30" w:rsidRPr="00E83A30" w:rsidRDefault="00E83A30" w:rsidP="00D93256">
      <w:pPr>
        <w:pStyle w:val="STPR2BodyText"/>
      </w:pPr>
      <w:r w:rsidRPr="00E83A30">
        <w:t xml:space="preserve">ProjectMapper, a Geographic Information Systems (GIS) tool developed by Jacobs, is an interactive mapping tool which shows environmental constraints, such as designated and undesignated sites. The data which fed into the map have been gathered from publicly available sources and through consulting with the Consultation Authorities and other </w:t>
      </w:r>
      <w:r w:rsidR="008649F4">
        <w:t>consultees</w:t>
      </w:r>
      <w:r w:rsidRPr="00E83A30">
        <w:t xml:space="preserve">. ProjectMapper has been used to determine where environmental constraints were present in relation to </w:t>
      </w:r>
      <w:r w:rsidR="0078376A" w:rsidRPr="0078376A">
        <w:t xml:space="preserve">the </w:t>
      </w:r>
      <w:r w:rsidR="008649F4">
        <w:t>STPR2 interventions</w:t>
      </w:r>
      <w:r w:rsidR="00B84A8B">
        <w:t xml:space="preserve"> and this has informed the assessment provided in </w:t>
      </w:r>
      <w:r w:rsidR="00B84A8B" w:rsidRPr="00263251">
        <w:rPr>
          <w:b/>
        </w:rPr>
        <w:t>Appendix F</w:t>
      </w:r>
      <w:r w:rsidR="005E63FF">
        <w:rPr>
          <w:b/>
        </w:rPr>
        <w:t xml:space="preserve"> (Assessment Matrices)</w:t>
      </w:r>
      <w:r w:rsidRPr="00E83A30">
        <w:t>.</w:t>
      </w:r>
    </w:p>
    <w:p w14:paraId="68375939" w14:textId="58BCCE9F" w:rsidR="000C6958" w:rsidRPr="00464C3B" w:rsidRDefault="000C6958" w:rsidP="001302FA">
      <w:pPr>
        <w:pStyle w:val="Heading2"/>
      </w:pPr>
      <w:bookmarkStart w:id="1773" w:name="_Ref90047361"/>
      <w:bookmarkStart w:id="1774" w:name="_Ref90047469"/>
      <w:bookmarkStart w:id="1775" w:name="_Toc121339137"/>
      <w:r w:rsidRPr="00464C3B">
        <w:lastRenderedPageBreak/>
        <w:t xml:space="preserve">Cumulative Effects </w:t>
      </w:r>
      <w:r w:rsidRPr="001F034F">
        <w:t>Assessment</w:t>
      </w:r>
      <w:bookmarkEnd w:id="1772"/>
      <w:bookmarkEnd w:id="1773"/>
      <w:bookmarkEnd w:id="1774"/>
      <w:bookmarkEnd w:id="1775"/>
    </w:p>
    <w:p w14:paraId="26F77A62" w14:textId="1B7446F6" w:rsidR="005C6EB8" w:rsidRDefault="005C6EB8" w:rsidP="00D93256">
      <w:pPr>
        <w:pStyle w:val="STPR2BodyText"/>
      </w:pPr>
      <w:r>
        <w:t>Annex I of the SEA Directive requires that the assessment of effects include secondary, cumulative, and synergistic effects (defined in</w:t>
      </w:r>
      <w:r w:rsidR="004F00A5">
        <w:t xml:space="preserve"> the Glossary at the start of th</w:t>
      </w:r>
      <w:r w:rsidR="007376E8">
        <w:t>is</w:t>
      </w:r>
      <w:r w:rsidR="004F00A5">
        <w:t xml:space="preserve"> report</w:t>
      </w:r>
      <w:r>
        <w:t>). Scottish SEA Guidance (2013) states that ‘Cumulative effects can be considered in terms of synergistic effects, additive and secondary effects.’ For the purposes of this SEA, the term ‘cumulative effects’ also encompasses synergistic effects.</w:t>
      </w:r>
      <w:r w:rsidR="00DF6ACA">
        <w:t xml:space="preserve"> </w:t>
      </w:r>
    </w:p>
    <w:p w14:paraId="5D8563DF" w14:textId="7C8DA234" w:rsidR="005C6EB8" w:rsidRDefault="005C6EB8" w:rsidP="00D93256">
      <w:pPr>
        <w:pStyle w:val="STPR2BodyText"/>
      </w:pPr>
      <w:r>
        <w:t>As stated in the UK Government SEA Guidance, ‘Cumulative effects arise, for instance, where several developments each have insignificant effects but together have a significant effect; or where several individual effects of the plan (</w:t>
      </w:r>
      <w:r w:rsidR="00167789">
        <w:t>for example,</w:t>
      </w:r>
      <w:r>
        <w:t xml:space="preserve"> noise, dust and visual) have a combined effect.’ (Office of the Deputy Prime Minister 2005). </w:t>
      </w:r>
    </w:p>
    <w:p w14:paraId="2E66DC77" w14:textId="4042EC4A" w:rsidR="000C6958" w:rsidRDefault="000C6958" w:rsidP="00D93256">
      <w:pPr>
        <w:pStyle w:val="STPR2BodyText"/>
      </w:pPr>
      <w:r w:rsidRPr="003D2805">
        <w:t xml:space="preserve">Cumulative </w:t>
      </w:r>
      <w:r>
        <w:t>effe</w:t>
      </w:r>
      <w:r w:rsidRPr="003D2805">
        <w:t xml:space="preserve">cts </w:t>
      </w:r>
      <w:r w:rsidR="00C8501B">
        <w:t>have been</w:t>
      </w:r>
      <w:r w:rsidRPr="003D2805">
        <w:t xml:space="preserve"> considered at both intra-plan (the impact of a combination of </w:t>
      </w:r>
      <w:r w:rsidR="0078376A" w:rsidRPr="0078376A">
        <w:t xml:space="preserve">the </w:t>
      </w:r>
      <w:r w:rsidR="00B85EEF">
        <w:t xml:space="preserve">STPR2 </w:t>
      </w:r>
      <w:r w:rsidRPr="003D2805">
        <w:t xml:space="preserve">interventions) and the inter-plan (the impact of the plan alongside other plans and policies). The inter-plan assessment </w:t>
      </w:r>
      <w:r>
        <w:t>has been</w:t>
      </w:r>
      <w:r w:rsidRPr="003D2805">
        <w:t xml:space="preserve"> undertaken towards the end of the assessment, when the final draft set of </w:t>
      </w:r>
      <w:r w:rsidR="0078376A" w:rsidRPr="0078376A">
        <w:t xml:space="preserve">the </w:t>
      </w:r>
      <w:r w:rsidR="00B85EEF">
        <w:t>STPR2 recommendations</w:t>
      </w:r>
      <w:r w:rsidRPr="003D2805">
        <w:t xml:space="preserve"> </w:t>
      </w:r>
      <w:r>
        <w:t>was</w:t>
      </w:r>
      <w:r w:rsidRPr="003D2805">
        <w:t xml:space="preserve"> available to consider alongside relevant national level policy/strategy, including </w:t>
      </w:r>
      <w:r w:rsidR="008530A8">
        <w:t xml:space="preserve">the </w:t>
      </w:r>
      <w:r w:rsidR="008538AA">
        <w:t xml:space="preserve">draft </w:t>
      </w:r>
      <w:r w:rsidR="005F5857">
        <w:t>NPF</w:t>
      </w:r>
      <w:r w:rsidRPr="003D2805">
        <w:t>4</w:t>
      </w:r>
      <w:r w:rsidR="00F07A91">
        <w:t xml:space="preserve"> </w:t>
      </w:r>
      <w:r w:rsidRPr="003D2805">
        <w:t xml:space="preserve">and </w:t>
      </w:r>
      <w:r w:rsidR="005F5857">
        <w:t xml:space="preserve">the </w:t>
      </w:r>
      <w:r w:rsidRPr="003D2805">
        <w:t>Climate Change Plan</w:t>
      </w:r>
      <w:r w:rsidR="005F5857">
        <w:t xml:space="preserve"> Update</w:t>
      </w:r>
      <w:r w:rsidRPr="003D2805">
        <w:t>.</w:t>
      </w:r>
    </w:p>
    <w:p w14:paraId="483CD362" w14:textId="59EF193E" w:rsidR="008D5BBB" w:rsidRPr="008D5BBB" w:rsidRDefault="008D5BBB" w:rsidP="00D93256">
      <w:pPr>
        <w:pStyle w:val="STPR2BodyText"/>
      </w:pPr>
      <w:r w:rsidRPr="008D5BBB">
        <w:t xml:space="preserve">The </w:t>
      </w:r>
      <w:r>
        <w:t xml:space="preserve">cumulative </w:t>
      </w:r>
      <w:r w:rsidRPr="008D5BBB">
        <w:t xml:space="preserve">assessment </w:t>
      </w:r>
      <w:r>
        <w:t>across all SEA topics</w:t>
      </w:r>
      <w:r w:rsidRPr="008D5BBB">
        <w:t xml:space="preserve"> used the following assessment approach to provide an average (modal) score for each </w:t>
      </w:r>
      <w:r>
        <w:t>package of interventions assessed</w:t>
      </w:r>
      <w:r w:rsidRPr="008D5BBB">
        <w:t>:</w:t>
      </w:r>
    </w:p>
    <w:p w14:paraId="608630E3" w14:textId="5D710ED5" w:rsidR="008D5BBB" w:rsidRPr="008D5BBB" w:rsidRDefault="008D5BBB" w:rsidP="00D93256">
      <w:pPr>
        <w:pStyle w:val="STPR2BulletsLevel1"/>
      </w:pPr>
      <w:r w:rsidRPr="008D5BBB">
        <w:t>If more</w:t>
      </w:r>
      <w:r w:rsidR="00BB174A">
        <w:t xml:space="preserve"> uncertain</w:t>
      </w:r>
      <w:r w:rsidRPr="008D5BBB">
        <w:t xml:space="preserve"> </w:t>
      </w:r>
      <w:r w:rsidR="00BB174A">
        <w:t>(</w:t>
      </w:r>
      <w:r w:rsidRPr="008D5BBB">
        <w:t>?</w:t>
      </w:r>
      <w:r w:rsidR="00BB174A">
        <w:t>)</w:t>
      </w:r>
      <w:r w:rsidRPr="008D5BBB">
        <w:t xml:space="preserve"> than + and – then the average score would be</w:t>
      </w:r>
      <w:r w:rsidR="007B1AD3">
        <w:t xml:space="preserve"> + o</w:t>
      </w:r>
      <w:r w:rsidR="0073545D">
        <w:t xml:space="preserve">r -, whichever has the next highest count after </w:t>
      </w:r>
      <w:r w:rsidRPr="008D5BBB">
        <w:t xml:space="preserve">? </w:t>
      </w:r>
    </w:p>
    <w:p w14:paraId="170E6FF3" w14:textId="32AA4700" w:rsidR="008D5BBB" w:rsidRPr="008D5BBB" w:rsidRDefault="008D5BBB" w:rsidP="00D93256">
      <w:pPr>
        <w:pStyle w:val="STPR2BulletsLevel1"/>
      </w:pPr>
      <w:r w:rsidRPr="008D5BBB">
        <w:t>If more</w:t>
      </w:r>
      <w:r w:rsidR="00966BF1">
        <w:t xml:space="preserve"> neutral (</w:t>
      </w:r>
      <w:r w:rsidRPr="008D5BBB">
        <w:t>0</w:t>
      </w:r>
      <w:r w:rsidR="00966BF1">
        <w:t>)</w:t>
      </w:r>
      <w:r w:rsidRPr="008D5BBB">
        <w:t xml:space="preserve"> than + and – then the average score would be 0</w:t>
      </w:r>
    </w:p>
    <w:p w14:paraId="1FE97DF1" w14:textId="77777777" w:rsidR="008D5BBB" w:rsidRPr="008D5BBB" w:rsidRDefault="008D5BBB" w:rsidP="00D93256">
      <w:pPr>
        <w:pStyle w:val="STPR2BulletsLevel1"/>
      </w:pPr>
      <w:r w:rsidRPr="008D5BBB">
        <w:t xml:space="preserve">If more + than – and ? then the average score would be + </w:t>
      </w:r>
    </w:p>
    <w:p w14:paraId="5B915706" w14:textId="77777777" w:rsidR="008D5BBB" w:rsidRPr="008D5BBB" w:rsidRDefault="008D5BBB" w:rsidP="00D93256">
      <w:pPr>
        <w:pStyle w:val="STPR2BulletsLevel1"/>
      </w:pPr>
      <w:r w:rsidRPr="008D5BBB">
        <w:t xml:space="preserve">If more – than + and ? then the average score would be - </w:t>
      </w:r>
    </w:p>
    <w:p w14:paraId="71C45E2A" w14:textId="77777777" w:rsidR="008D5BBB" w:rsidRPr="008D5BBB" w:rsidRDefault="008D5BBB" w:rsidP="00D93256">
      <w:pPr>
        <w:pStyle w:val="STPR2BulletsLevel1"/>
      </w:pPr>
      <w:r w:rsidRPr="008D5BBB">
        <w:t>If + or – is equal to ? or 0, then the average score would be + or -, as applicable.</w:t>
      </w:r>
    </w:p>
    <w:p w14:paraId="155D5B0F" w14:textId="6ED3FFAF" w:rsidR="008D5BBB" w:rsidRPr="008D5BBB" w:rsidRDefault="008D5BBB" w:rsidP="00D93256">
      <w:pPr>
        <w:pStyle w:val="STPR2BulletsLevel1"/>
      </w:pPr>
      <w:r w:rsidRPr="008D5BBB">
        <w:t xml:space="preserve">If more </w:t>
      </w:r>
      <w:r w:rsidR="00BB174A">
        <w:t>negligible (</w:t>
      </w:r>
      <w:r w:rsidRPr="008D5BBB">
        <w:t>~</w:t>
      </w:r>
      <w:r w:rsidR="00BB174A">
        <w:t>)</w:t>
      </w:r>
      <w:r w:rsidRPr="008D5BBB">
        <w:t xml:space="preserve"> than all other scores, then the average score would be whichever score has the next highest number count after ~ </w:t>
      </w:r>
    </w:p>
    <w:p w14:paraId="397B1435" w14:textId="77777777" w:rsidR="008D5BBB" w:rsidRPr="008D5BBB" w:rsidRDefault="008D5BBB" w:rsidP="00D93256">
      <w:pPr>
        <w:pStyle w:val="STPR2BulletsLevel1"/>
      </w:pPr>
      <w:r w:rsidRPr="008D5BBB">
        <w:t xml:space="preserve">If there are the same number of + and – with the highest equal count this would represent an exception and have a +/- rating </w:t>
      </w:r>
    </w:p>
    <w:p w14:paraId="3B248544" w14:textId="7326D286" w:rsidR="000C6958" w:rsidRDefault="000C6958" w:rsidP="00D93256">
      <w:pPr>
        <w:pStyle w:val="STPR2BodyText"/>
      </w:pPr>
      <w:r w:rsidRPr="00652854">
        <w:t xml:space="preserve">The assessment matrices </w:t>
      </w:r>
      <w:r w:rsidR="00652854" w:rsidRPr="00652854">
        <w:t xml:space="preserve">showing cumulative effects </w:t>
      </w:r>
      <w:r w:rsidRPr="00652854">
        <w:t xml:space="preserve">are provided in </w:t>
      </w:r>
      <w:r w:rsidRPr="005E63FF">
        <w:rPr>
          <w:b/>
          <w:bCs/>
        </w:rPr>
        <w:t xml:space="preserve">Appendix </w:t>
      </w:r>
      <w:r w:rsidR="00263E9A" w:rsidRPr="005E63FF">
        <w:rPr>
          <w:b/>
          <w:bCs/>
        </w:rPr>
        <w:t>F</w:t>
      </w:r>
      <w:r w:rsidR="005E63FF" w:rsidRPr="005E63FF">
        <w:rPr>
          <w:b/>
          <w:bCs/>
        </w:rPr>
        <w:t xml:space="preserve"> (Assessment Matrices)</w:t>
      </w:r>
      <w:r w:rsidR="00263E9A" w:rsidRPr="005E63FF">
        <w:rPr>
          <w:b/>
          <w:bCs/>
        </w:rPr>
        <w:t>.</w:t>
      </w:r>
      <w:r w:rsidR="008D5BBB">
        <w:rPr>
          <w:b/>
          <w:bCs/>
        </w:rPr>
        <w:t xml:space="preserve"> </w:t>
      </w:r>
      <w:r w:rsidR="008D5BBB" w:rsidRPr="008D5BBB">
        <w:t xml:space="preserve">This approach to deriving average scores has also been used for the final compatibility check of </w:t>
      </w:r>
      <w:r w:rsidR="0078376A" w:rsidRPr="0078376A">
        <w:t xml:space="preserve">the </w:t>
      </w:r>
      <w:r w:rsidR="008D5BBB" w:rsidRPr="008D5BBB">
        <w:t>STPR2 recommendations with the SEA objectives</w:t>
      </w:r>
      <w:r w:rsidR="008D5BBB">
        <w:t xml:space="preserve"> – see </w:t>
      </w:r>
      <w:r w:rsidR="008D5BBB" w:rsidRPr="003C06C1">
        <w:rPr>
          <w:b/>
          <w:bCs/>
        </w:rPr>
        <w:t>Section 8.4</w:t>
      </w:r>
      <w:r w:rsidR="008D5BBB" w:rsidRPr="008D5BBB">
        <w:t>.</w:t>
      </w:r>
    </w:p>
    <w:p w14:paraId="0AD9E541" w14:textId="59DEB3F6" w:rsidR="00906F31" w:rsidRDefault="00223828">
      <w:pPr>
        <w:spacing w:line="256" w:lineRule="auto"/>
        <w:rPr>
          <w:rFonts w:ascii="Arial" w:eastAsia="MS Mincho" w:hAnsi="Arial" w:cs="Arial"/>
          <w:sz w:val="24"/>
          <w:szCs w:val="24"/>
        </w:rPr>
      </w:pPr>
      <w:r>
        <w:rPr>
          <w:rFonts w:ascii="Arial" w:eastAsia="MS Mincho" w:hAnsi="Arial" w:cs="Arial"/>
          <w:sz w:val="24"/>
          <w:szCs w:val="24"/>
        </w:rPr>
        <w:t xml:space="preserve">To align with the </w:t>
      </w:r>
      <w:r w:rsidR="00BA26C4">
        <w:rPr>
          <w:rFonts w:ascii="Arial" w:eastAsia="MS Mincho" w:hAnsi="Arial" w:cs="Arial"/>
          <w:sz w:val="24"/>
          <w:szCs w:val="24"/>
        </w:rPr>
        <w:t>scoring used f</w:t>
      </w:r>
      <w:r w:rsidRPr="00223828">
        <w:rPr>
          <w:rFonts w:ascii="Arial" w:eastAsia="MS Mincho" w:hAnsi="Arial" w:cs="Arial"/>
          <w:sz w:val="24"/>
          <w:szCs w:val="24"/>
        </w:rPr>
        <w:t>or the detailed appraisal</w:t>
      </w:r>
      <w:r w:rsidR="00A476D2">
        <w:rPr>
          <w:rFonts w:ascii="Arial" w:eastAsia="MS Mincho" w:hAnsi="Arial" w:cs="Arial"/>
          <w:sz w:val="24"/>
          <w:szCs w:val="24"/>
        </w:rPr>
        <w:t xml:space="preserve"> of the 45 recommendations</w:t>
      </w:r>
      <w:r w:rsidR="0038025A">
        <w:rPr>
          <w:rFonts w:ascii="Arial" w:eastAsia="MS Mincho" w:hAnsi="Arial" w:cs="Arial"/>
          <w:sz w:val="24"/>
          <w:szCs w:val="24"/>
        </w:rPr>
        <w:t xml:space="preserve"> undertaken by the wider STPR2 team</w:t>
      </w:r>
      <w:r w:rsidRPr="00223828">
        <w:rPr>
          <w:rFonts w:ascii="Arial" w:eastAsia="MS Mincho" w:hAnsi="Arial" w:cs="Arial"/>
          <w:sz w:val="24"/>
          <w:szCs w:val="24"/>
        </w:rPr>
        <w:t>, it was agreed that the ‘uncertain’ category was no longer required</w:t>
      </w:r>
      <w:r w:rsidR="00B307F9">
        <w:rPr>
          <w:rFonts w:ascii="Arial" w:eastAsia="MS Mincho" w:hAnsi="Arial" w:cs="Arial"/>
          <w:sz w:val="24"/>
          <w:szCs w:val="24"/>
        </w:rPr>
        <w:t xml:space="preserve"> for </w:t>
      </w:r>
      <w:r w:rsidR="00876171">
        <w:rPr>
          <w:rFonts w:ascii="Arial" w:eastAsia="MS Mincho" w:hAnsi="Arial" w:cs="Arial"/>
          <w:sz w:val="24"/>
          <w:szCs w:val="24"/>
        </w:rPr>
        <w:t>the cumulative effects assessment in th</w:t>
      </w:r>
      <w:r w:rsidR="00817976">
        <w:rPr>
          <w:rFonts w:ascii="Arial" w:eastAsia="MS Mincho" w:hAnsi="Arial" w:cs="Arial"/>
          <w:sz w:val="24"/>
          <w:szCs w:val="24"/>
        </w:rPr>
        <w:t>is F</w:t>
      </w:r>
      <w:r w:rsidR="00145F8D">
        <w:rPr>
          <w:rFonts w:ascii="Arial" w:eastAsia="MS Mincho" w:hAnsi="Arial" w:cs="Arial"/>
          <w:sz w:val="24"/>
          <w:szCs w:val="24"/>
        </w:rPr>
        <w:t>inal Environmental Report</w:t>
      </w:r>
      <w:r w:rsidRPr="00223828">
        <w:rPr>
          <w:rFonts w:ascii="Arial" w:eastAsia="MS Mincho" w:hAnsi="Arial" w:cs="Arial"/>
          <w:sz w:val="24"/>
          <w:szCs w:val="24"/>
        </w:rPr>
        <w:t xml:space="preserve">. </w:t>
      </w:r>
      <w:r w:rsidR="00906F31">
        <w:rPr>
          <w:rFonts w:ascii="Arial" w:eastAsia="MS Mincho" w:hAnsi="Arial" w:cs="Arial"/>
          <w:sz w:val="24"/>
          <w:szCs w:val="24"/>
        </w:rPr>
        <w:t>Although there are</w:t>
      </w:r>
      <w:r w:rsidR="00540AE9">
        <w:rPr>
          <w:rFonts w:ascii="Arial" w:eastAsia="MS Mincho" w:hAnsi="Arial" w:cs="Arial"/>
          <w:sz w:val="24"/>
          <w:szCs w:val="24"/>
        </w:rPr>
        <w:t xml:space="preserve"> still many uncertainties </w:t>
      </w:r>
      <w:r w:rsidR="000B7DB9">
        <w:rPr>
          <w:rFonts w:ascii="Arial" w:eastAsia="MS Mincho" w:hAnsi="Arial" w:cs="Arial"/>
          <w:sz w:val="24"/>
          <w:szCs w:val="24"/>
        </w:rPr>
        <w:t>about</w:t>
      </w:r>
      <w:r w:rsidR="00540AE9">
        <w:rPr>
          <w:rFonts w:ascii="Arial" w:eastAsia="MS Mincho" w:hAnsi="Arial" w:cs="Arial"/>
          <w:sz w:val="24"/>
          <w:szCs w:val="24"/>
        </w:rPr>
        <w:t xml:space="preserve"> the environmental ef</w:t>
      </w:r>
      <w:r w:rsidR="004A1A44">
        <w:rPr>
          <w:rFonts w:ascii="Arial" w:eastAsia="MS Mincho" w:hAnsi="Arial" w:cs="Arial"/>
          <w:sz w:val="24"/>
          <w:szCs w:val="24"/>
        </w:rPr>
        <w:t xml:space="preserve">fects of </w:t>
      </w:r>
      <w:r w:rsidR="0078376A" w:rsidRPr="0078376A">
        <w:rPr>
          <w:rFonts w:ascii="Arial" w:eastAsia="MS Mincho" w:hAnsi="Arial" w:cs="Arial"/>
          <w:sz w:val="24"/>
          <w:szCs w:val="24"/>
        </w:rPr>
        <w:t xml:space="preserve">the </w:t>
      </w:r>
      <w:r w:rsidR="004A1A44">
        <w:rPr>
          <w:rFonts w:ascii="Arial" w:eastAsia="MS Mincho" w:hAnsi="Arial" w:cs="Arial"/>
          <w:sz w:val="24"/>
          <w:szCs w:val="24"/>
        </w:rPr>
        <w:t>STPR2, these</w:t>
      </w:r>
      <w:r w:rsidR="00994855">
        <w:rPr>
          <w:rFonts w:ascii="Arial" w:eastAsia="MS Mincho" w:hAnsi="Arial" w:cs="Arial"/>
          <w:sz w:val="24"/>
          <w:szCs w:val="24"/>
        </w:rPr>
        <w:t xml:space="preserve"> uncertainties</w:t>
      </w:r>
      <w:r w:rsidR="004A1A44">
        <w:rPr>
          <w:rFonts w:ascii="Arial" w:eastAsia="MS Mincho" w:hAnsi="Arial" w:cs="Arial"/>
          <w:sz w:val="24"/>
          <w:szCs w:val="24"/>
        </w:rPr>
        <w:t xml:space="preserve"> are described in the narrative associated with the scoring of</w:t>
      </w:r>
      <w:r w:rsidR="00994855">
        <w:rPr>
          <w:rFonts w:ascii="Arial" w:eastAsia="MS Mincho" w:hAnsi="Arial" w:cs="Arial"/>
          <w:sz w:val="24"/>
          <w:szCs w:val="24"/>
        </w:rPr>
        <w:t xml:space="preserve"> each of</w:t>
      </w:r>
      <w:r w:rsidR="004A1A44">
        <w:rPr>
          <w:rFonts w:ascii="Arial" w:eastAsia="MS Mincho" w:hAnsi="Arial" w:cs="Arial"/>
          <w:sz w:val="24"/>
          <w:szCs w:val="24"/>
        </w:rPr>
        <w:t xml:space="preserve"> the recommendations.</w:t>
      </w:r>
    </w:p>
    <w:p w14:paraId="2E1F8844" w14:textId="7B0F0904" w:rsidR="00223828" w:rsidRDefault="00223828" w:rsidP="00D27C04">
      <w:pPr>
        <w:spacing w:line="256" w:lineRule="auto"/>
        <w:rPr>
          <w:rFonts w:ascii="Arial" w:eastAsia="MS Mincho" w:hAnsi="Arial" w:cs="Arial"/>
          <w:sz w:val="24"/>
          <w:szCs w:val="24"/>
        </w:rPr>
      </w:pPr>
      <w:r w:rsidRPr="00223828">
        <w:rPr>
          <w:rFonts w:ascii="Arial" w:eastAsia="MS Mincho" w:hAnsi="Arial" w:cs="Arial"/>
          <w:sz w:val="24"/>
          <w:szCs w:val="24"/>
        </w:rPr>
        <w:t>The ‘no relationship’ category was combined with the ‘neutral’ category, such that where there was considered to be no relationship at detailed appraisal, then this was scored as neutral.</w:t>
      </w:r>
    </w:p>
    <w:p w14:paraId="3802CC22" w14:textId="77777777" w:rsidR="007632C6" w:rsidRPr="00D27C04" w:rsidRDefault="007632C6" w:rsidP="00D27C04">
      <w:pPr>
        <w:spacing w:line="256" w:lineRule="auto"/>
        <w:rPr>
          <w:rFonts w:eastAsia="MS Mincho"/>
          <w:szCs w:val="24"/>
        </w:rPr>
      </w:pPr>
    </w:p>
    <w:p w14:paraId="4D30D875" w14:textId="7B65D1E1" w:rsidR="00593EF4" w:rsidRPr="001302FA" w:rsidRDefault="00593EF4" w:rsidP="001302FA">
      <w:pPr>
        <w:pStyle w:val="Heading2"/>
      </w:pPr>
      <w:bookmarkStart w:id="1776" w:name="_Toc81993607"/>
      <w:bookmarkStart w:id="1777" w:name="_Toc121339138"/>
      <w:r w:rsidRPr="001302FA">
        <w:lastRenderedPageBreak/>
        <w:t xml:space="preserve">Climatic Factors </w:t>
      </w:r>
      <w:r w:rsidR="006D5120">
        <w:t>and</w:t>
      </w:r>
      <w:r w:rsidR="00C42987">
        <w:t xml:space="preserve"> </w:t>
      </w:r>
      <w:r w:rsidRPr="001302FA">
        <w:t>Carbon Assessment Approach</w:t>
      </w:r>
      <w:bookmarkEnd w:id="1776"/>
      <w:bookmarkEnd w:id="1777"/>
    </w:p>
    <w:p w14:paraId="65ECE595" w14:textId="6D0BE6C9" w:rsidR="00593EF4" w:rsidRDefault="00593EF4" w:rsidP="00D93256">
      <w:pPr>
        <w:pStyle w:val="STPR2BodyText"/>
      </w:pPr>
      <w:r w:rsidRPr="000145B1">
        <w:t>At a strategic level, assessing the carbon impact of multi-modal transport interventions would take the form of a qualitative assessment as opposed to quantitative calculations</w:t>
      </w:r>
      <w:r>
        <w:t>, which would not be accurate at the strategic planning stage</w:t>
      </w:r>
      <w:r w:rsidRPr="000145B1">
        <w:t xml:space="preserve">. To carry out a quantitative assessment on an intervention would require detailed information on </w:t>
      </w:r>
      <w:r w:rsidR="0096068D">
        <w:t xml:space="preserve">resource </w:t>
      </w:r>
      <w:r w:rsidRPr="000145B1">
        <w:t>requirements for construction materials, earthwork volumes</w:t>
      </w:r>
      <w:r w:rsidR="00D33E29">
        <w:t xml:space="preserve">, </w:t>
      </w:r>
      <w:r w:rsidRPr="000145B1">
        <w:t>construction methods</w:t>
      </w:r>
      <w:r w:rsidR="00D33E29">
        <w:t xml:space="preserve"> and expected levels of construction traffic</w:t>
      </w:r>
      <w:r w:rsidRPr="000145B1">
        <w:t xml:space="preserve">. This type of information does not tend to be available until any such </w:t>
      </w:r>
      <w:r>
        <w:t>intervention</w:t>
      </w:r>
      <w:r w:rsidRPr="000145B1">
        <w:t xml:space="preserve"> is at the preferred option stage</w:t>
      </w:r>
      <w:r>
        <w:t>,</w:t>
      </w:r>
      <w:r w:rsidRPr="000145B1">
        <w:t xml:space="preserve"> where designers are able to provide the level of detail that would feed into a carbon assessment tool.</w:t>
      </w:r>
      <w:r w:rsidR="00C16273">
        <w:t xml:space="preserve"> D</w:t>
      </w:r>
      <w:r w:rsidRPr="007135EE">
        <w:t xml:space="preserve">ue to the long lead in time of projects and the constantly evolving landscape, information can quickly become out of date, particularly now with the push for decarbonisation. With regard to </w:t>
      </w:r>
      <w:r w:rsidR="0078376A" w:rsidRPr="0078376A">
        <w:t xml:space="preserve">the </w:t>
      </w:r>
      <w:r w:rsidRPr="007135EE">
        <w:t xml:space="preserve">STPR2, this makes conducting assessments for a project that could be 20 years away from commencement unreliable and </w:t>
      </w:r>
      <w:r>
        <w:t>supports</w:t>
      </w:r>
      <w:r w:rsidRPr="007135EE">
        <w:t xml:space="preserve"> the approach to </w:t>
      </w:r>
      <w:r>
        <w:t xml:space="preserve">utilise </w:t>
      </w:r>
      <w:r w:rsidRPr="007135EE">
        <w:t>a qualitative method</w:t>
      </w:r>
      <w:r>
        <w:t>.</w:t>
      </w:r>
      <w:r w:rsidRPr="007135EE">
        <w:t xml:space="preserve"> </w:t>
      </w:r>
    </w:p>
    <w:p w14:paraId="4C30603E" w14:textId="117E9CF5" w:rsidR="00593EF4" w:rsidRDefault="001503E1" w:rsidP="00D93256">
      <w:pPr>
        <w:pStyle w:val="STPR2BodyText"/>
      </w:pPr>
      <w:r>
        <w:rPr>
          <w:b/>
          <w:highlight w:val="yellow"/>
        </w:rPr>
        <w:fldChar w:fldCharType="begin"/>
      </w:r>
      <w:r>
        <w:instrText xml:space="preserve"> REF _Ref92887841 \h </w:instrText>
      </w:r>
      <w:r>
        <w:rPr>
          <w:b/>
          <w:highlight w:val="yellow"/>
        </w:rPr>
      </w:r>
      <w:r>
        <w:rPr>
          <w:b/>
          <w:highlight w:val="yellow"/>
        </w:rPr>
        <w:fldChar w:fldCharType="separate"/>
      </w:r>
      <w:r w:rsidR="00C22A9E">
        <w:t xml:space="preserve">Figure </w:t>
      </w:r>
      <w:r w:rsidR="00C22A9E">
        <w:rPr>
          <w:noProof/>
        </w:rPr>
        <w:t>5</w:t>
      </w:r>
      <w:r>
        <w:rPr>
          <w:b/>
          <w:highlight w:val="yellow"/>
        </w:rPr>
        <w:fldChar w:fldCharType="end"/>
      </w:r>
      <w:r w:rsidR="00593EF4">
        <w:rPr>
          <w:b/>
        </w:rPr>
        <w:t xml:space="preserve"> </w:t>
      </w:r>
      <w:r w:rsidR="00593EF4">
        <w:t xml:space="preserve">shows that the accuracy of carbon assessment is lowest at the strategic planning stage while the ability to influence carbon reduction is </w:t>
      </w:r>
      <w:r w:rsidR="00593EF4" w:rsidRPr="001F3FDF">
        <w:t>highest</w:t>
      </w:r>
      <w:r w:rsidR="00593EF4" w:rsidRPr="00117CFC">
        <w:t>.</w:t>
      </w:r>
      <w:r w:rsidR="001D1449">
        <w:t xml:space="preserve"> </w:t>
      </w:r>
    </w:p>
    <w:p w14:paraId="7BD07509" w14:textId="77777777" w:rsidR="001503E1" w:rsidRDefault="00593EF4" w:rsidP="00D93256">
      <w:pPr>
        <w:pStyle w:val="STPR2BodyText"/>
      </w:pPr>
      <w:r w:rsidRPr="001302FA">
        <w:rPr>
          <w:noProof/>
        </w:rPr>
        <w:drawing>
          <wp:inline distT="0" distB="0" distL="0" distR="0" wp14:anchorId="4482AA2E" wp14:editId="1055F85C">
            <wp:extent cx="6120130" cy="3197860"/>
            <wp:effectExtent l="0" t="0" r="0" b="2540"/>
            <wp:docPr id="24" name="Picture 24" descr="Diagram that describes Timing of Carbon Assessment and Ability to Influence the carbon emissions of a project throughout its lifecycle. The ability to influence whole lifecycle carbon decreases over time, whereas the accuracy of carbon assessment increases as the project prog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that describes Timing of Carbon Assessment and Ability to Influence the carbon emissions of a project throughout its lifecycle. The ability to influence whole lifecycle carbon decreases over time, whereas the accuracy of carbon assessment increases as the project progresses."/>
                    <pic:cNvPicPr/>
                  </pic:nvPicPr>
                  <pic:blipFill>
                    <a:blip r:embed="rId32"/>
                    <a:stretch>
                      <a:fillRect/>
                    </a:stretch>
                  </pic:blipFill>
                  <pic:spPr>
                    <a:xfrm>
                      <a:off x="0" y="0"/>
                      <a:ext cx="6120130" cy="3197860"/>
                    </a:xfrm>
                    <a:prstGeom prst="rect">
                      <a:avLst/>
                    </a:prstGeom>
                  </pic:spPr>
                </pic:pic>
              </a:graphicData>
            </a:graphic>
          </wp:inline>
        </w:drawing>
      </w:r>
    </w:p>
    <w:p w14:paraId="2D57E023" w14:textId="5193F727" w:rsidR="001D1449" w:rsidRDefault="001503E1" w:rsidP="00D93256">
      <w:pPr>
        <w:pStyle w:val="STPR2CaptionFigures"/>
      </w:pPr>
      <w:bookmarkStart w:id="1778" w:name="_Ref92887841"/>
      <w:bookmarkStart w:id="1779" w:name="_Toc121231969"/>
      <w:r>
        <w:t xml:space="preserve">Figure </w:t>
      </w:r>
      <w:r>
        <w:fldChar w:fldCharType="begin"/>
      </w:r>
      <w:r>
        <w:instrText>SEQ Figure \* ARABIC</w:instrText>
      </w:r>
      <w:r>
        <w:fldChar w:fldCharType="separate"/>
      </w:r>
      <w:r w:rsidR="00C22A9E">
        <w:rPr>
          <w:noProof/>
        </w:rPr>
        <w:t>5</w:t>
      </w:r>
      <w:r>
        <w:fldChar w:fldCharType="end"/>
      </w:r>
      <w:bookmarkEnd w:id="1778"/>
      <w:r>
        <w:t xml:space="preserve">: </w:t>
      </w:r>
      <w:r w:rsidRPr="001042E5">
        <w:t xml:space="preserve">Timing of </w:t>
      </w:r>
      <w:r w:rsidR="004231C1">
        <w:t>c</w:t>
      </w:r>
      <w:r w:rsidRPr="001042E5">
        <w:t xml:space="preserve">arbon </w:t>
      </w:r>
      <w:r w:rsidR="004231C1">
        <w:t>a</w:t>
      </w:r>
      <w:r w:rsidRPr="001042E5">
        <w:t xml:space="preserve">ssessment and </w:t>
      </w:r>
      <w:r w:rsidR="004231C1">
        <w:t>a</w:t>
      </w:r>
      <w:r w:rsidRPr="001042E5">
        <w:t xml:space="preserve">bility to </w:t>
      </w:r>
      <w:r w:rsidR="004231C1">
        <w:t>i</w:t>
      </w:r>
      <w:r w:rsidRPr="001042E5">
        <w:t>nfluence (The Fifth Estate,</w:t>
      </w:r>
      <w:r w:rsidR="0080407C">
        <w:t> </w:t>
      </w:r>
      <w:r w:rsidRPr="001042E5">
        <w:t>2020)</w:t>
      </w:r>
      <w:bookmarkEnd w:id="1779"/>
    </w:p>
    <w:p w14:paraId="3BCA2A0B" w14:textId="70E49097" w:rsidR="00593EF4" w:rsidRDefault="00593EF4" w:rsidP="00D93256">
      <w:pPr>
        <w:pStyle w:val="STPR2BodyText"/>
      </w:pPr>
      <w:r>
        <w:t xml:space="preserve">The assessment of transport interventions for the Climatic Factors topic follows the same objective-led approach as for the other SEA topics, as described in </w:t>
      </w:r>
      <w:r w:rsidRPr="003C06C1">
        <w:rPr>
          <w:b/>
          <w:bCs/>
        </w:rPr>
        <w:t xml:space="preserve">Section </w:t>
      </w:r>
      <w:r w:rsidR="00DA4FCA" w:rsidRPr="003C06C1">
        <w:rPr>
          <w:b/>
          <w:bCs/>
        </w:rPr>
        <w:fldChar w:fldCharType="begin"/>
      </w:r>
      <w:r w:rsidR="00DA4FCA" w:rsidRPr="003C06C1">
        <w:rPr>
          <w:b/>
          <w:bCs/>
        </w:rPr>
        <w:instrText xml:space="preserve"> REF _Ref90565219 \r \h </w:instrText>
      </w:r>
      <w:r w:rsidR="003C06C1">
        <w:rPr>
          <w:b/>
          <w:bCs/>
        </w:rPr>
        <w:instrText xml:space="preserve"> \* MERGEFORMAT </w:instrText>
      </w:r>
      <w:r w:rsidR="00DA4FCA" w:rsidRPr="003C06C1">
        <w:rPr>
          <w:b/>
          <w:bCs/>
        </w:rPr>
      </w:r>
      <w:r w:rsidR="00DA4FCA" w:rsidRPr="003C06C1">
        <w:rPr>
          <w:b/>
          <w:bCs/>
        </w:rPr>
        <w:fldChar w:fldCharType="separate"/>
      </w:r>
      <w:r w:rsidR="00C22A9E">
        <w:rPr>
          <w:b/>
          <w:bCs/>
        </w:rPr>
        <w:t>0</w:t>
      </w:r>
      <w:r w:rsidR="00DA4FCA" w:rsidRPr="003C06C1">
        <w:rPr>
          <w:b/>
          <w:bCs/>
        </w:rPr>
        <w:fldChar w:fldCharType="end"/>
      </w:r>
      <w:r>
        <w:t xml:space="preserve">. However, detailed mitigation and enhancement measures in relation to Climatic Factors are provided in </w:t>
      </w:r>
      <w:r w:rsidRPr="008F683D">
        <w:rPr>
          <w:b/>
        </w:rPr>
        <w:t xml:space="preserve">Chapter </w:t>
      </w:r>
      <w:r w:rsidR="00DA4FCA">
        <w:rPr>
          <w:b/>
        </w:rPr>
        <w:fldChar w:fldCharType="begin"/>
      </w:r>
      <w:r w:rsidR="00DA4FCA">
        <w:rPr>
          <w:b/>
        </w:rPr>
        <w:instrText xml:space="preserve"> REF _Ref90565227 \r \h </w:instrText>
      </w:r>
      <w:r w:rsidR="00DA4FCA">
        <w:rPr>
          <w:b/>
        </w:rPr>
      </w:r>
      <w:r w:rsidR="00DA4FCA">
        <w:rPr>
          <w:b/>
        </w:rPr>
        <w:fldChar w:fldCharType="separate"/>
      </w:r>
      <w:r w:rsidR="00C22A9E">
        <w:rPr>
          <w:b/>
        </w:rPr>
        <w:t>9</w:t>
      </w:r>
      <w:r w:rsidR="00DA4FCA">
        <w:rPr>
          <w:b/>
        </w:rPr>
        <w:fldChar w:fldCharType="end"/>
      </w:r>
      <w:r w:rsidR="001818F1">
        <w:rPr>
          <w:b/>
        </w:rPr>
        <w:t xml:space="preserve"> (Strategic Mitigation and Enhancement)</w:t>
      </w:r>
      <w:r w:rsidRPr="008F683D">
        <w:t>.</w:t>
      </w:r>
    </w:p>
    <w:p w14:paraId="164B1F52" w14:textId="5873FB24" w:rsidR="000D5EA1" w:rsidRDefault="005B27F3" w:rsidP="000C6958">
      <w:pPr>
        <w:rPr>
          <w:rFonts w:ascii="Arial" w:hAnsi="Arial" w:cs="Arial"/>
          <w:color w:val="000000"/>
          <w:sz w:val="24"/>
        </w:rPr>
      </w:pPr>
      <w:r w:rsidRPr="00860B65">
        <w:rPr>
          <w:rFonts w:ascii="Arial" w:hAnsi="Arial" w:cs="Arial"/>
          <w:color w:val="000000"/>
          <w:sz w:val="24"/>
        </w:rPr>
        <w:t xml:space="preserve">Carbon modelling </w:t>
      </w:r>
      <w:r w:rsidR="000D5EA1" w:rsidRPr="00860B65">
        <w:rPr>
          <w:rFonts w:ascii="Arial" w:hAnsi="Arial" w:cs="Arial"/>
          <w:color w:val="000000"/>
          <w:sz w:val="24"/>
        </w:rPr>
        <w:t xml:space="preserve">has also been undertaken for </w:t>
      </w:r>
      <w:r w:rsidR="0078376A" w:rsidRPr="0078376A">
        <w:rPr>
          <w:rFonts w:ascii="Arial" w:hAnsi="Arial" w:cs="Arial"/>
          <w:color w:val="000000"/>
          <w:sz w:val="24"/>
        </w:rPr>
        <w:t xml:space="preserve">the </w:t>
      </w:r>
      <w:r w:rsidR="000D5EA1" w:rsidRPr="00860B65">
        <w:rPr>
          <w:rFonts w:ascii="Arial" w:hAnsi="Arial" w:cs="Arial"/>
          <w:color w:val="000000"/>
          <w:sz w:val="24"/>
        </w:rPr>
        <w:t>STPR2</w:t>
      </w:r>
      <w:r w:rsidR="004E78AC">
        <w:rPr>
          <w:rFonts w:ascii="Arial" w:hAnsi="Arial" w:cs="Arial"/>
          <w:color w:val="000000"/>
          <w:sz w:val="24"/>
        </w:rPr>
        <w:t xml:space="preserve"> in relation to different transport modes</w:t>
      </w:r>
      <w:r w:rsidR="001B133A">
        <w:rPr>
          <w:rFonts w:ascii="Arial" w:hAnsi="Arial" w:cs="Arial"/>
          <w:color w:val="000000"/>
          <w:sz w:val="24"/>
        </w:rPr>
        <w:t xml:space="preserve">, as described in Section </w:t>
      </w:r>
      <w:r w:rsidR="006B49DE">
        <w:rPr>
          <w:rFonts w:ascii="Arial" w:hAnsi="Arial" w:cs="Arial"/>
          <w:color w:val="000000"/>
          <w:sz w:val="24"/>
        </w:rPr>
        <w:t>7.10</w:t>
      </w:r>
      <w:r w:rsidR="004E78AC">
        <w:rPr>
          <w:rFonts w:ascii="Arial" w:hAnsi="Arial" w:cs="Arial"/>
          <w:color w:val="000000"/>
          <w:sz w:val="24"/>
        </w:rPr>
        <w:t xml:space="preserve">. </w:t>
      </w:r>
    </w:p>
    <w:p w14:paraId="4B26975C" w14:textId="0853223D" w:rsidR="006B49DE" w:rsidRPr="00860B65" w:rsidRDefault="006B49DE" w:rsidP="0033560A">
      <w:pPr>
        <w:pStyle w:val="Heading2"/>
      </w:pPr>
      <w:bookmarkStart w:id="1780" w:name="_Toc121339139"/>
      <w:r w:rsidRPr="00860B65">
        <w:t>Carbon Modelling</w:t>
      </w:r>
      <w:bookmarkEnd w:id="1780"/>
    </w:p>
    <w:p w14:paraId="7C7FB794" w14:textId="3F1610FC" w:rsidR="000870D3" w:rsidRPr="000870D3" w:rsidRDefault="000870D3" w:rsidP="000870D3">
      <w:pPr>
        <w:rPr>
          <w:rFonts w:ascii="Arial" w:hAnsi="Arial" w:cs="Arial"/>
          <w:color w:val="000000"/>
          <w:sz w:val="24"/>
        </w:rPr>
      </w:pPr>
      <w:r w:rsidRPr="000870D3">
        <w:rPr>
          <w:rFonts w:ascii="Arial" w:hAnsi="Arial" w:cs="Arial"/>
          <w:color w:val="000000"/>
          <w:sz w:val="24"/>
        </w:rPr>
        <w:t>In 2021, the Scottish Government commissioned Element Energy</w:t>
      </w:r>
      <w:r w:rsidR="006379ED">
        <w:rPr>
          <w:rFonts w:ascii="Arial" w:hAnsi="Arial" w:cs="Arial"/>
          <w:color w:val="000000"/>
          <w:sz w:val="24"/>
        </w:rPr>
        <w:t xml:space="preserve"> (2021)</w:t>
      </w:r>
      <w:r w:rsidRPr="000870D3">
        <w:rPr>
          <w:rFonts w:ascii="Arial" w:hAnsi="Arial" w:cs="Arial"/>
          <w:color w:val="000000"/>
          <w:sz w:val="24"/>
        </w:rPr>
        <w:t xml:space="preserve"> to model the policy scenarios needed to achieve the emissions reductions necessary from the transport </w:t>
      </w:r>
      <w:r w:rsidRPr="000870D3">
        <w:rPr>
          <w:rFonts w:ascii="Arial" w:hAnsi="Arial" w:cs="Arial"/>
          <w:color w:val="000000"/>
          <w:sz w:val="24"/>
        </w:rPr>
        <w:lastRenderedPageBreak/>
        <w:t>sector to meet the net-zero by 2045 target</w:t>
      </w:r>
      <w:r w:rsidR="00AE78A9">
        <w:rPr>
          <w:rFonts w:ascii="Arial" w:hAnsi="Arial" w:cs="Arial"/>
          <w:color w:val="000000"/>
          <w:sz w:val="24"/>
        </w:rPr>
        <w:t>, which is</w:t>
      </w:r>
      <w:r w:rsidR="00CC1522">
        <w:rPr>
          <w:rFonts w:ascii="Arial" w:hAnsi="Arial" w:cs="Arial"/>
          <w:color w:val="000000"/>
          <w:sz w:val="24"/>
        </w:rPr>
        <w:t xml:space="preserve"> included in the SEA Objective </w:t>
      </w:r>
      <w:r w:rsidR="006379ED">
        <w:rPr>
          <w:rFonts w:ascii="Arial" w:hAnsi="Arial" w:cs="Arial"/>
          <w:color w:val="000000"/>
          <w:sz w:val="24"/>
        </w:rPr>
        <w:t xml:space="preserve">1 </w:t>
      </w:r>
      <w:r w:rsidR="00CC1522">
        <w:rPr>
          <w:rFonts w:ascii="Arial" w:hAnsi="Arial" w:cs="Arial"/>
          <w:color w:val="000000"/>
          <w:sz w:val="24"/>
        </w:rPr>
        <w:t>criteria</w:t>
      </w:r>
      <w:r w:rsidR="00740539">
        <w:rPr>
          <w:rFonts w:ascii="Arial" w:hAnsi="Arial" w:cs="Arial"/>
          <w:color w:val="000000"/>
          <w:sz w:val="24"/>
        </w:rPr>
        <w:t xml:space="preserve"> for </w:t>
      </w:r>
      <w:r w:rsidR="006379ED">
        <w:rPr>
          <w:rFonts w:ascii="Arial" w:hAnsi="Arial" w:cs="Arial"/>
          <w:color w:val="000000"/>
          <w:sz w:val="24"/>
        </w:rPr>
        <w:t>reducing greenhouse gases (see Table 3)</w:t>
      </w:r>
      <w:r w:rsidRPr="000870D3">
        <w:rPr>
          <w:rFonts w:ascii="Arial" w:hAnsi="Arial" w:cs="Arial"/>
          <w:color w:val="000000"/>
          <w:sz w:val="24"/>
        </w:rPr>
        <w:t>. Element Energy modelled four policy scenarios. Of these, only Policy Scenario 3 (PS3) achieved the net-zero by 2045 target. PS3 includes:</w:t>
      </w:r>
    </w:p>
    <w:p w14:paraId="4AB2976F" w14:textId="04D3CCA7" w:rsidR="000870D3" w:rsidRPr="000870D3" w:rsidRDefault="000870D3" w:rsidP="00D93256">
      <w:pPr>
        <w:pStyle w:val="STPR2BulletsLevel1"/>
      </w:pPr>
      <w:r w:rsidRPr="000870D3">
        <w:t>Rapid introduction of low and zero-emission technologies</w:t>
      </w:r>
      <w:r w:rsidR="00EE7466">
        <w:t>;</w:t>
      </w:r>
      <w:r w:rsidRPr="000870D3">
        <w:t xml:space="preserve"> </w:t>
      </w:r>
    </w:p>
    <w:p w14:paraId="4068621A" w14:textId="4937E2F0" w:rsidR="000870D3" w:rsidRPr="000870D3" w:rsidRDefault="000870D3" w:rsidP="00D93256">
      <w:pPr>
        <w:pStyle w:val="STPR2BulletsLevel1"/>
      </w:pPr>
      <w:r w:rsidRPr="000870D3">
        <w:t>Reduction in vehicle kilometres through modal shift to public and active transport</w:t>
      </w:r>
      <w:r w:rsidR="00EE7466">
        <w:t xml:space="preserve">; </w:t>
      </w:r>
    </w:p>
    <w:p w14:paraId="79004911" w14:textId="087F9FD3" w:rsidR="006B49DE" w:rsidRPr="00A76F4E" w:rsidRDefault="000870D3" w:rsidP="00D93256">
      <w:pPr>
        <w:pStyle w:val="STPR2BulletsLevel1"/>
      </w:pPr>
      <w:r w:rsidRPr="000870D3">
        <w:t>Reduced demand through trip shortening and trip avoidance.</w:t>
      </w:r>
    </w:p>
    <w:p w14:paraId="1670E675" w14:textId="3C21AC91" w:rsidR="000E633A" w:rsidRDefault="00922A70" w:rsidP="000C6958">
      <w:pPr>
        <w:rPr>
          <w:rFonts w:ascii="Arial" w:hAnsi="Arial" w:cs="Arial"/>
          <w:color w:val="000000"/>
          <w:sz w:val="24"/>
        </w:rPr>
      </w:pPr>
      <w:r w:rsidRPr="00860B65">
        <w:rPr>
          <w:rFonts w:ascii="Arial" w:hAnsi="Arial" w:cs="Arial"/>
          <w:color w:val="000000"/>
          <w:sz w:val="24"/>
        </w:rPr>
        <w:t>The policy outcomes within the Element Energy</w:t>
      </w:r>
      <w:r w:rsidR="005925FC">
        <w:rPr>
          <w:rFonts w:ascii="Arial" w:hAnsi="Arial" w:cs="Arial"/>
          <w:color w:val="000000"/>
          <w:sz w:val="24"/>
        </w:rPr>
        <w:t xml:space="preserve"> (2021)</w:t>
      </w:r>
      <w:r w:rsidRPr="00860B65">
        <w:rPr>
          <w:rFonts w:ascii="Arial" w:hAnsi="Arial" w:cs="Arial"/>
          <w:color w:val="000000"/>
          <w:sz w:val="24"/>
        </w:rPr>
        <w:t xml:space="preserve"> report are reflected in the STPR2 both in the high and low </w:t>
      </w:r>
      <w:r w:rsidR="00F00E94">
        <w:rPr>
          <w:rFonts w:ascii="Arial" w:hAnsi="Arial" w:cs="Arial"/>
          <w:color w:val="000000"/>
          <w:sz w:val="24"/>
        </w:rPr>
        <w:t xml:space="preserve">Transport </w:t>
      </w:r>
      <w:r w:rsidR="001D47FD" w:rsidRPr="001D47FD">
        <w:rPr>
          <w:rFonts w:ascii="Arial" w:hAnsi="Arial" w:cs="Arial"/>
          <w:color w:val="000000"/>
          <w:sz w:val="24"/>
        </w:rPr>
        <w:t xml:space="preserve">Behaviour </w:t>
      </w:r>
      <w:r w:rsidR="00F00E94">
        <w:rPr>
          <w:rFonts w:ascii="Arial" w:hAnsi="Arial" w:cs="Arial"/>
          <w:color w:val="000000"/>
          <w:sz w:val="24"/>
        </w:rPr>
        <w:t>Scenarios</w:t>
      </w:r>
      <w:r w:rsidRPr="00860B65">
        <w:rPr>
          <w:rFonts w:ascii="Arial" w:hAnsi="Arial" w:cs="Arial"/>
          <w:color w:val="000000"/>
          <w:sz w:val="24"/>
        </w:rPr>
        <w:t xml:space="preserve"> considered and among the </w:t>
      </w:r>
      <w:r w:rsidR="00764A0D">
        <w:rPr>
          <w:rFonts w:ascii="Arial" w:hAnsi="Arial" w:cs="Arial"/>
          <w:color w:val="000000"/>
          <w:sz w:val="24"/>
        </w:rPr>
        <w:t>G</w:t>
      </w:r>
      <w:r w:rsidRPr="00860B65">
        <w:rPr>
          <w:rFonts w:ascii="Arial" w:hAnsi="Arial" w:cs="Arial"/>
          <w:color w:val="000000"/>
          <w:sz w:val="24"/>
        </w:rPr>
        <w:t>roupings taken forward</w:t>
      </w:r>
      <w:r w:rsidR="00BA610A">
        <w:rPr>
          <w:rFonts w:ascii="Arial" w:hAnsi="Arial" w:cs="Arial"/>
          <w:color w:val="000000"/>
          <w:sz w:val="24"/>
        </w:rPr>
        <w:t xml:space="preserve"> to the Detailed Appraisal stage</w:t>
      </w:r>
      <w:r w:rsidR="00710B8B" w:rsidRPr="00860B65">
        <w:rPr>
          <w:rFonts w:ascii="Arial" w:hAnsi="Arial" w:cs="Arial"/>
          <w:color w:val="000000"/>
          <w:sz w:val="24"/>
        </w:rPr>
        <w:t xml:space="preserve">. As part of </w:t>
      </w:r>
      <w:r w:rsidR="0078376A" w:rsidRPr="0078376A">
        <w:rPr>
          <w:rFonts w:ascii="Arial" w:hAnsi="Arial" w:cs="Arial"/>
          <w:color w:val="000000"/>
          <w:sz w:val="24"/>
        </w:rPr>
        <w:t xml:space="preserve">the </w:t>
      </w:r>
      <w:r w:rsidR="00710B8B" w:rsidRPr="00860B65">
        <w:rPr>
          <w:rFonts w:ascii="Arial" w:hAnsi="Arial" w:cs="Arial"/>
          <w:color w:val="000000"/>
          <w:sz w:val="24"/>
        </w:rPr>
        <w:t>STPR2, Jacobs and AECOM were required to estimate the carbon emissions for potential</w:t>
      </w:r>
      <w:r w:rsidR="004D32F8">
        <w:rPr>
          <w:rFonts w:ascii="Arial" w:hAnsi="Arial" w:cs="Arial"/>
          <w:color w:val="000000"/>
          <w:sz w:val="24"/>
        </w:rPr>
        <w:t xml:space="preserve"> future</w:t>
      </w:r>
      <w:r w:rsidR="00710B8B" w:rsidRPr="00860B65">
        <w:rPr>
          <w:rFonts w:ascii="Arial" w:hAnsi="Arial" w:cs="Arial"/>
          <w:color w:val="000000"/>
          <w:sz w:val="24"/>
        </w:rPr>
        <w:t xml:space="preserve"> transport interventions – consistent with Element Energy’s PS3.</w:t>
      </w:r>
      <w:r w:rsidR="00526941" w:rsidRPr="00526941">
        <w:t xml:space="preserve"> </w:t>
      </w:r>
      <w:r w:rsidR="002B397A" w:rsidRPr="00860B65">
        <w:rPr>
          <w:rFonts w:ascii="Arial" w:hAnsi="Arial" w:cs="Arial"/>
          <w:color w:val="000000"/>
          <w:sz w:val="24"/>
        </w:rPr>
        <w:t>This covered buses and coaches, rail and road-based emissions generally.</w:t>
      </w:r>
      <w:r w:rsidR="002B397A" w:rsidRPr="002B397A">
        <w:rPr>
          <w:rFonts w:ascii="Arial" w:hAnsi="Arial" w:cs="Arial"/>
          <w:color w:val="000000"/>
          <w:sz w:val="24"/>
        </w:rPr>
        <w:t xml:space="preserve"> </w:t>
      </w:r>
      <w:r w:rsidR="002B397A" w:rsidRPr="00526941">
        <w:rPr>
          <w:rFonts w:ascii="Arial" w:hAnsi="Arial" w:cs="Arial"/>
          <w:color w:val="000000"/>
          <w:sz w:val="24"/>
        </w:rPr>
        <w:t>The forecasted change in yearly</w:t>
      </w:r>
      <w:r w:rsidR="002B397A" w:rsidRPr="00334C63">
        <w:t xml:space="preserve"> </w:t>
      </w:r>
      <w:r w:rsidR="002B397A" w:rsidRPr="00334C63">
        <w:rPr>
          <w:rFonts w:ascii="Arial" w:hAnsi="Arial" w:cs="Arial"/>
          <w:color w:val="000000"/>
          <w:sz w:val="24"/>
        </w:rPr>
        <w:t>Carbon Dioxide Equivalent</w:t>
      </w:r>
      <w:r w:rsidR="002B397A" w:rsidRPr="00526941">
        <w:rPr>
          <w:rFonts w:ascii="Arial" w:hAnsi="Arial" w:cs="Arial"/>
          <w:color w:val="000000"/>
          <w:sz w:val="24"/>
        </w:rPr>
        <w:t xml:space="preserve"> </w:t>
      </w:r>
      <w:r w:rsidR="002B397A">
        <w:rPr>
          <w:rFonts w:ascii="Arial" w:hAnsi="Arial" w:cs="Arial"/>
          <w:color w:val="000000"/>
          <w:sz w:val="24"/>
        </w:rPr>
        <w:t>(</w:t>
      </w:r>
      <w:r w:rsidR="002B397A" w:rsidRPr="00526941">
        <w:rPr>
          <w:rFonts w:ascii="Arial" w:hAnsi="Arial" w:cs="Arial"/>
          <w:color w:val="000000"/>
          <w:sz w:val="24"/>
        </w:rPr>
        <w:t>CO</w:t>
      </w:r>
      <w:r w:rsidR="002B397A" w:rsidRPr="00897454">
        <w:rPr>
          <w:rFonts w:ascii="Arial" w:hAnsi="Arial" w:cs="Arial"/>
          <w:color w:val="000000"/>
          <w:sz w:val="24"/>
          <w:vertAlign w:val="subscript"/>
        </w:rPr>
        <w:t>2</w:t>
      </w:r>
      <w:r w:rsidR="002B397A" w:rsidRPr="00526941">
        <w:rPr>
          <w:rFonts w:ascii="Arial" w:hAnsi="Arial" w:cs="Arial"/>
          <w:color w:val="000000"/>
          <w:sz w:val="24"/>
        </w:rPr>
        <w:t>e</w:t>
      </w:r>
      <w:r w:rsidR="002B397A">
        <w:rPr>
          <w:rFonts w:ascii="Arial" w:hAnsi="Arial" w:cs="Arial"/>
          <w:color w:val="000000"/>
          <w:sz w:val="24"/>
        </w:rPr>
        <w:t>)</w:t>
      </w:r>
      <w:r w:rsidR="002B397A" w:rsidRPr="00526941">
        <w:rPr>
          <w:rFonts w:ascii="Arial" w:hAnsi="Arial" w:cs="Arial"/>
          <w:color w:val="000000"/>
          <w:sz w:val="24"/>
        </w:rPr>
        <w:t xml:space="preserve"> emissions from buses and coaches</w:t>
      </w:r>
      <w:r w:rsidR="002B397A">
        <w:rPr>
          <w:rFonts w:ascii="Arial" w:hAnsi="Arial" w:cs="Arial"/>
          <w:color w:val="000000"/>
          <w:sz w:val="24"/>
        </w:rPr>
        <w:t xml:space="preserve"> and rail</w:t>
      </w:r>
      <w:r w:rsidR="002B397A" w:rsidRPr="00526941">
        <w:rPr>
          <w:rFonts w:ascii="Arial" w:hAnsi="Arial" w:cs="Arial"/>
          <w:color w:val="000000"/>
          <w:sz w:val="24"/>
        </w:rPr>
        <w:t xml:space="preserve"> between 2022 and 2045</w:t>
      </w:r>
      <w:r w:rsidR="002B397A">
        <w:rPr>
          <w:rFonts w:ascii="Arial" w:hAnsi="Arial" w:cs="Arial"/>
          <w:color w:val="000000"/>
          <w:sz w:val="24"/>
        </w:rPr>
        <w:t xml:space="preserve"> were estimated.</w:t>
      </w:r>
    </w:p>
    <w:p w14:paraId="3E35A511" w14:textId="0F4AB445" w:rsidR="000D449A" w:rsidRDefault="000D449A" w:rsidP="000C6958">
      <w:pPr>
        <w:rPr>
          <w:rFonts w:ascii="Arial" w:hAnsi="Arial" w:cs="Arial"/>
          <w:color w:val="000000"/>
          <w:sz w:val="24"/>
        </w:rPr>
      </w:pPr>
      <w:r w:rsidRPr="000D449A">
        <w:rPr>
          <w:rFonts w:ascii="Arial" w:hAnsi="Arial" w:cs="Arial"/>
          <w:color w:val="000000"/>
          <w:sz w:val="24"/>
        </w:rPr>
        <w:t xml:space="preserve">The steps taken to achieve CO2e emissions forecast for 2022, 2030 and 2045 involved first considering transport demand projections, before constructing </w:t>
      </w:r>
      <w:r w:rsidR="004B1409">
        <w:rPr>
          <w:rFonts w:ascii="Arial" w:hAnsi="Arial" w:cs="Arial"/>
          <w:color w:val="000000"/>
          <w:sz w:val="24"/>
        </w:rPr>
        <w:t xml:space="preserve">six </w:t>
      </w:r>
      <w:r w:rsidRPr="000D449A">
        <w:rPr>
          <w:rFonts w:ascii="Arial" w:hAnsi="Arial" w:cs="Arial"/>
          <w:color w:val="000000"/>
          <w:sz w:val="24"/>
        </w:rPr>
        <w:t>technology transition scenarios based on government net-zero targets and available information on uptake of electricity and hydrogen technology</w:t>
      </w:r>
      <w:r>
        <w:rPr>
          <w:rFonts w:ascii="Arial" w:hAnsi="Arial" w:cs="Arial"/>
          <w:color w:val="000000"/>
          <w:sz w:val="24"/>
        </w:rPr>
        <w:t xml:space="preserve">. </w:t>
      </w:r>
      <w:r w:rsidR="004B1409">
        <w:rPr>
          <w:rFonts w:ascii="Arial" w:hAnsi="Arial" w:cs="Arial"/>
          <w:color w:val="000000"/>
          <w:sz w:val="24"/>
        </w:rPr>
        <w:t xml:space="preserve">The </w:t>
      </w:r>
      <w:r w:rsidR="004B1409" w:rsidRPr="004B1409">
        <w:rPr>
          <w:rFonts w:ascii="Arial" w:hAnsi="Arial" w:cs="Arial"/>
          <w:color w:val="000000"/>
          <w:sz w:val="24"/>
        </w:rPr>
        <w:t>six technology transition scenarios</w:t>
      </w:r>
      <w:r w:rsidR="004B1409">
        <w:rPr>
          <w:rFonts w:ascii="Arial" w:hAnsi="Arial" w:cs="Arial"/>
          <w:color w:val="000000"/>
          <w:sz w:val="24"/>
        </w:rPr>
        <w:t xml:space="preserve"> are:</w:t>
      </w:r>
    </w:p>
    <w:p w14:paraId="3FF283F9" w14:textId="2FC3996A" w:rsidR="004B1409" w:rsidRDefault="00615D6B" w:rsidP="00615D6B">
      <w:pPr>
        <w:pStyle w:val="ListParagraph"/>
        <w:numPr>
          <w:ilvl w:val="0"/>
          <w:numId w:val="47"/>
        </w:numPr>
        <w:rPr>
          <w:rFonts w:cs="Arial"/>
          <w:color w:val="000000"/>
        </w:rPr>
      </w:pPr>
      <w:r>
        <w:rPr>
          <w:rFonts w:cs="Arial"/>
          <w:color w:val="000000"/>
        </w:rPr>
        <w:t>Low transition to electric, high transition to hydrogen</w:t>
      </w:r>
    </w:p>
    <w:p w14:paraId="3B006BB0" w14:textId="1809A96D" w:rsidR="00A844C1" w:rsidRDefault="00A844C1" w:rsidP="00A844C1">
      <w:pPr>
        <w:pStyle w:val="ListParagraph"/>
        <w:numPr>
          <w:ilvl w:val="0"/>
          <w:numId w:val="47"/>
        </w:numPr>
        <w:rPr>
          <w:rFonts w:cs="Arial"/>
          <w:color w:val="000000"/>
        </w:rPr>
      </w:pPr>
      <w:r>
        <w:rPr>
          <w:rFonts w:cs="Arial"/>
          <w:color w:val="000000"/>
        </w:rPr>
        <w:t xml:space="preserve">Medium </w:t>
      </w:r>
      <w:r w:rsidRPr="00A844C1">
        <w:rPr>
          <w:rFonts w:cs="Arial"/>
          <w:color w:val="000000"/>
        </w:rPr>
        <w:t xml:space="preserve">transition to electric, </w:t>
      </w:r>
      <w:r>
        <w:rPr>
          <w:rFonts w:cs="Arial"/>
          <w:color w:val="000000"/>
        </w:rPr>
        <w:t>low</w:t>
      </w:r>
      <w:r w:rsidRPr="00A844C1">
        <w:rPr>
          <w:rFonts w:cs="Arial"/>
          <w:color w:val="000000"/>
        </w:rPr>
        <w:t xml:space="preserve"> transition to hydrogen</w:t>
      </w:r>
    </w:p>
    <w:p w14:paraId="3901A829" w14:textId="3C96E399" w:rsidR="00A844C1" w:rsidRPr="00A844C1" w:rsidRDefault="00A844C1" w:rsidP="00A844C1">
      <w:pPr>
        <w:pStyle w:val="ListParagraph"/>
        <w:numPr>
          <w:ilvl w:val="0"/>
          <w:numId w:val="47"/>
        </w:numPr>
        <w:rPr>
          <w:rFonts w:cs="Arial"/>
          <w:color w:val="000000"/>
        </w:rPr>
      </w:pPr>
      <w:r>
        <w:rPr>
          <w:rFonts w:cs="Arial"/>
          <w:color w:val="000000"/>
        </w:rPr>
        <w:t>Medium</w:t>
      </w:r>
      <w:r w:rsidRPr="00A844C1">
        <w:rPr>
          <w:rFonts w:cs="Arial"/>
          <w:color w:val="000000"/>
        </w:rPr>
        <w:t xml:space="preserve"> transition to electric</w:t>
      </w:r>
      <w:r w:rsidR="00545C8C">
        <w:rPr>
          <w:rFonts w:cs="Arial"/>
          <w:color w:val="000000"/>
        </w:rPr>
        <w:t xml:space="preserve">, </w:t>
      </w:r>
      <w:r w:rsidRPr="00A844C1">
        <w:rPr>
          <w:rFonts w:cs="Arial"/>
          <w:color w:val="000000"/>
        </w:rPr>
        <w:t>high transition to hydrogen</w:t>
      </w:r>
    </w:p>
    <w:p w14:paraId="6766BAFB" w14:textId="63763DCA" w:rsidR="00A844C1" w:rsidRPr="00A844C1" w:rsidRDefault="00545C8C" w:rsidP="00A844C1">
      <w:pPr>
        <w:pStyle w:val="ListParagraph"/>
        <w:numPr>
          <w:ilvl w:val="0"/>
          <w:numId w:val="47"/>
        </w:numPr>
        <w:rPr>
          <w:rFonts w:cs="Arial"/>
          <w:color w:val="000000"/>
        </w:rPr>
      </w:pPr>
      <w:r>
        <w:rPr>
          <w:rFonts w:cs="Arial"/>
          <w:color w:val="000000"/>
        </w:rPr>
        <w:t>High</w:t>
      </w:r>
      <w:r w:rsidR="00A844C1" w:rsidRPr="00A844C1">
        <w:rPr>
          <w:rFonts w:cs="Arial"/>
          <w:color w:val="000000"/>
        </w:rPr>
        <w:t xml:space="preserve"> transition to electric, </w:t>
      </w:r>
      <w:r>
        <w:rPr>
          <w:rFonts w:cs="Arial"/>
          <w:color w:val="000000"/>
        </w:rPr>
        <w:t>low</w:t>
      </w:r>
      <w:r w:rsidR="00A844C1" w:rsidRPr="00A844C1">
        <w:rPr>
          <w:rFonts w:cs="Arial"/>
          <w:color w:val="000000"/>
        </w:rPr>
        <w:t xml:space="preserve"> transition to hydrogen</w:t>
      </w:r>
    </w:p>
    <w:p w14:paraId="0250AFF6" w14:textId="26F7D57A" w:rsidR="00A844C1" w:rsidRPr="00A844C1" w:rsidRDefault="00545C8C" w:rsidP="00A844C1">
      <w:pPr>
        <w:pStyle w:val="ListParagraph"/>
        <w:numPr>
          <w:ilvl w:val="0"/>
          <w:numId w:val="47"/>
        </w:numPr>
        <w:rPr>
          <w:rFonts w:cs="Arial"/>
          <w:color w:val="000000"/>
        </w:rPr>
      </w:pPr>
      <w:r>
        <w:rPr>
          <w:rFonts w:cs="Arial"/>
          <w:color w:val="000000"/>
        </w:rPr>
        <w:t>High</w:t>
      </w:r>
      <w:r w:rsidR="00A844C1" w:rsidRPr="00A844C1">
        <w:rPr>
          <w:rFonts w:cs="Arial"/>
          <w:color w:val="000000"/>
        </w:rPr>
        <w:t xml:space="preserve"> transition to electric, high transition to hydrogen</w:t>
      </w:r>
    </w:p>
    <w:p w14:paraId="023369B6" w14:textId="7BCA2FB8" w:rsidR="00A844C1" w:rsidRPr="00823832" w:rsidRDefault="00FB7AFB">
      <w:pPr>
        <w:pStyle w:val="ListParagraph"/>
        <w:numPr>
          <w:ilvl w:val="0"/>
          <w:numId w:val="47"/>
        </w:numPr>
        <w:rPr>
          <w:rFonts w:cs="Arial"/>
          <w:color w:val="000000"/>
        </w:rPr>
      </w:pPr>
      <w:r>
        <w:rPr>
          <w:rFonts w:cs="Arial"/>
          <w:color w:val="000000"/>
        </w:rPr>
        <w:t>Medium</w:t>
      </w:r>
      <w:r w:rsidR="00A844C1" w:rsidRPr="00A844C1">
        <w:rPr>
          <w:rFonts w:cs="Arial"/>
          <w:color w:val="000000"/>
        </w:rPr>
        <w:t xml:space="preserve"> transition to electric, </w:t>
      </w:r>
      <w:r>
        <w:rPr>
          <w:rFonts w:cs="Arial"/>
          <w:color w:val="000000"/>
        </w:rPr>
        <w:t>medium</w:t>
      </w:r>
      <w:r w:rsidR="00A844C1" w:rsidRPr="00A844C1">
        <w:rPr>
          <w:rFonts w:cs="Arial"/>
          <w:color w:val="000000"/>
        </w:rPr>
        <w:t xml:space="preserve"> transition to hydrogen</w:t>
      </w:r>
    </w:p>
    <w:p w14:paraId="63A06279" w14:textId="77777777" w:rsidR="000E633A" w:rsidRDefault="000E633A" w:rsidP="00115E65">
      <w:pPr>
        <w:pStyle w:val="Heading3"/>
      </w:pPr>
      <w:bookmarkStart w:id="1781" w:name="_Toc119589296"/>
      <w:bookmarkStart w:id="1782" w:name="_Toc121339140"/>
      <w:bookmarkEnd w:id="1781"/>
      <w:r>
        <w:t>Buses and Coaches</w:t>
      </w:r>
      <w:bookmarkEnd w:id="1782"/>
      <w:r>
        <w:t xml:space="preserve"> </w:t>
      </w:r>
    </w:p>
    <w:p w14:paraId="7090E614" w14:textId="53563228" w:rsidR="00FC0652" w:rsidRDefault="00C42DE0" w:rsidP="000C6958">
      <w:pPr>
        <w:rPr>
          <w:rFonts w:ascii="Arial" w:hAnsi="Arial" w:cs="Arial"/>
          <w:color w:val="000000"/>
          <w:sz w:val="24"/>
        </w:rPr>
      </w:pPr>
      <w:r>
        <w:rPr>
          <w:rFonts w:ascii="Arial" w:hAnsi="Arial" w:cs="Arial"/>
          <w:color w:val="000000"/>
          <w:sz w:val="24"/>
        </w:rPr>
        <w:t xml:space="preserve">For </w:t>
      </w:r>
      <w:r w:rsidR="00C476C8">
        <w:rPr>
          <w:rFonts w:ascii="Arial" w:hAnsi="Arial" w:cs="Arial"/>
          <w:color w:val="000000"/>
          <w:sz w:val="24"/>
        </w:rPr>
        <w:t>buses and coaches,</w:t>
      </w:r>
      <w:r w:rsidR="002B66DB" w:rsidRPr="002B66DB">
        <w:t xml:space="preserve"> </w:t>
      </w:r>
      <w:r w:rsidR="002B66DB" w:rsidRPr="002B66DB">
        <w:rPr>
          <w:rFonts w:ascii="Arial" w:hAnsi="Arial" w:cs="Arial"/>
          <w:color w:val="000000"/>
          <w:sz w:val="24"/>
        </w:rPr>
        <w:t xml:space="preserve">emissions in </w:t>
      </w:r>
      <w:r w:rsidR="00591D58">
        <w:rPr>
          <w:rFonts w:ascii="Arial" w:hAnsi="Arial" w:cs="Arial"/>
          <w:color w:val="000000"/>
          <w:sz w:val="24"/>
        </w:rPr>
        <w:t xml:space="preserve">most </w:t>
      </w:r>
      <w:r w:rsidR="00CB7CA4" w:rsidRPr="00CB7CA4">
        <w:rPr>
          <w:rFonts w:ascii="Arial" w:hAnsi="Arial" w:cs="Arial"/>
          <w:color w:val="000000"/>
          <w:sz w:val="24"/>
        </w:rPr>
        <w:t xml:space="preserve">technology transition </w:t>
      </w:r>
      <w:r w:rsidR="00591D58">
        <w:rPr>
          <w:rFonts w:ascii="Arial" w:hAnsi="Arial" w:cs="Arial"/>
          <w:color w:val="000000"/>
          <w:sz w:val="24"/>
        </w:rPr>
        <w:t>scenarios</w:t>
      </w:r>
      <w:r w:rsidR="00F10595">
        <w:rPr>
          <w:rFonts w:ascii="Arial" w:hAnsi="Arial" w:cs="Arial"/>
          <w:color w:val="000000"/>
          <w:sz w:val="24"/>
        </w:rPr>
        <w:t xml:space="preserve"> significantly decrease </w:t>
      </w:r>
      <w:r w:rsidR="00817F7F">
        <w:rPr>
          <w:rFonts w:ascii="Arial" w:hAnsi="Arial" w:cs="Arial"/>
          <w:color w:val="000000"/>
          <w:sz w:val="24"/>
        </w:rPr>
        <w:t>at</w:t>
      </w:r>
      <w:r w:rsidR="00F10595">
        <w:rPr>
          <w:rFonts w:ascii="Arial" w:hAnsi="Arial" w:cs="Arial"/>
          <w:color w:val="000000"/>
          <w:sz w:val="24"/>
        </w:rPr>
        <w:t xml:space="preserve"> around 2028.</w:t>
      </w:r>
      <w:r w:rsidR="007B24B0" w:rsidRPr="00860B65">
        <w:rPr>
          <w:rFonts w:ascii="Arial" w:hAnsi="Arial" w:cs="Arial"/>
          <w:color w:val="000000"/>
          <w:sz w:val="24"/>
        </w:rPr>
        <w:t xml:space="preserve"> </w:t>
      </w:r>
      <w:r w:rsidR="008D594A" w:rsidRPr="00860B65">
        <w:rPr>
          <w:rFonts w:ascii="Arial" w:hAnsi="Arial" w:cs="Arial"/>
          <w:color w:val="000000"/>
          <w:sz w:val="24"/>
        </w:rPr>
        <w:t xml:space="preserve">The decrease in emissions is driven by </w:t>
      </w:r>
      <w:r w:rsidR="002F5266">
        <w:rPr>
          <w:rFonts w:ascii="Arial" w:hAnsi="Arial" w:cs="Arial"/>
          <w:color w:val="000000"/>
          <w:sz w:val="24"/>
        </w:rPr>
        <w:t>a</w:t>
      </w:r>
      <w:r w:rsidR="008D594A" w:rsidRPr="00860B65">
        <w:rPr>
          <w:rFonts w:ascii="Arial" w:hAnsi="Arial" w:cs="Arial"/>
          <w:color w:val="000000"/>
          <w:sz w:val="24"/>
        </w:rPr>
        <w:t xml:space="preserve"> reduction in demand for diesel powered buses and coaches. </w:t>
      </w:r>
      <w:r w:rsidR="00273222">
        <w:rPr>
          <w:rFonts w:ascii="Arial" w:hAnsi="Arial" w:cs="Arial"/>
          <w:color w:val="000000"/>
          <w:sz w:val="24"/>
        </w:rPr>
        <w:t>A</w:t>
      </w:r>
      <w:r w:rsidR="0036165E" w:rsidRPr="0036165E">
        <w:rPr>
          <w:rFonts w:ascii="Arial" w:hAnsi="Arial" w:cs="Arial"/>
          <w:color w:val="000000"/>
          <w:sz w:val="24"/>
        </w:rPr>
        <w:t xml:space="preserve">verage diesel emissions </w:t>
      </w:r>
      <w:r w:rsidR="00273222">
        <w:rPr>
          <w:rFonts w:ascii="Arial" w:hAnsi="Arial" w:cs="Arial"/>
          <w:color w:val="000000"/>
          <w:sz w:val="24"/>
        </w:rPr>
        <w:t xml:space="preserve">for buses and coaches </w:t>
      </w:r>
      <w:r w:rsidR="0036165E" w:rsidRPr="0036165E">
        <w:rPr>
          <w:rFonts w:ascii="Arial" w:hAnsi="Arial" w:cs="Arial"/>
          <w:color w:val="000000"/>
          <w:sz w:val="24"/>
        </w:rPr>
        <w:t xml:space="preserve">reach zero in 2043. </w:t>
      </w:r>
      <w:r w:rsidR="00FC0652" w:rsidRPr="00FC0652">
        <w:rPr>
          <w:rFonts w:ascii="Arial" w:hAnsi="Arial" w:cs="Arial"/>
          <w:color w:val="000000"/>
          <w:sz w:val="24"/>
        </w:rPr>
        <w:t xml:space="preserve">The remaining emissions from </w:t>
      </w:r>
      <w:r w:rsidR="00A8241F">
        <w:rPr>
          <w:rFonts w:ascii="Arial" w:hAnsi="Arial" w:cs="Arial"/>
          <w:color w:val="000000"/>
          <w:sz w:val="24"/>
        </w:rPr>
        <w:t xml:space="preserve">the </w:t>
      </w:r>
      <w:r w:rsidR="00FC0652" w:rsidRPr="00FC0652">
        <w:rPr>
          <w:rFonts w:ascii="Arial" w:hAnsi="Arial" w:cs="Arial"/>
          <w:color w:val="000000"/>
          <w:sz w:val="24"/>
        </w:rPr>
        <w:t>bus and coach fleet in 2045 consists mostly of B</w:t>
      </w:r>
      <w:r w:rsidR="00D658B7">
        <w:rPr>
          <w:rFonts w:ascii="Arial" w:hAnsi="Arial" w:cs="Arial"/>
          <w:color w:val="000000"/>
          <w:sz w:val="24"/>
        </w:rPr>
        <w:t xml:space="preserve">attery Electric Vehicle </w:t>
      </w:r>
      <w:r w:rsidR="00FC0652" w:rsidRPr="00FC0652">
        <w:rPr>
          <w:rFonts w:ascii="Arial" w:hAnsi="Arial" w:cs="Arial"/>
          <w:color w:val="000000"/>
          <w:sz w:val="24"/>
        </w:rPr>
        <w:t>emissions, contributing 60</w:t>
      </w:r>
      <w:r w:rsidR="007527C5">
        <w:rPr>
          <w:rFonts w:ascii="Arial" w:hAnsi="Arial" w:cs="Arial"/>
          <w:color w:val="000000"/>
          <w:sz w:val="24"/>
        </w:rPr>
        <w:t xml:space="preserve"> </w:t>
      </w:r>
      <w:r w:rsidR="00D81E71">
        <w:rPr>
          <w:rFonts w:ascii="Arial" w:hAnsi="Arial" w:cs="Arial"/>
          <w:color w:val="000000"/>
          <w:sz w:val="24"/>
        </w:rPr>
        <w:t>percent</w:t>
      </w:r>
      <w:r w:rsidR="00FC0652" w:rsidRPr="00FC0652">
        <w:rPr>
          <w:rFonts w:ascii="Arial" w:hAnsi="Arial" w:cs="Arial"/>
          <w:color w:val="000000"/>
          <w:sz w:val="24"/>
        </w:rPr>
        <w:t xml:space="preserve"> of emissions due to the grid failing to reach net-zero in the same year. </w:t>
      </w:r>
      <w:r w:rsidR="00D658B7">
        <w:rPr>
          <w:rFonts w:ascii="Arial" w:hAnsi="Arial" w:cs="Arial"/>
          <w:color w:val="000000"/>
          <w:sz w:val="24"/>
        </w:rPr>
        <w:t>Forty percent</w:t>
      </w:r>
      <w:r w:rsidR="00FC0652" w:rsidRPr="00FC0652">
        <w:rPr>
          <w:rFonts w:ascii="Arial" w:hAnsi="Arial" w:cs="Arial"/>
          <w:color w:val="000000"/>
          <w:sz w:val="24"/>
        </w:rPr>
        <w:t xml:space="preserve"> of emissions are contributed by </w:t>
      </w:r>
      <w:r w:rsidR="008A42EA">
        <w:rPr>
          <w:rFonts w:ascii="Arial" w:hAnsi="Arial" w:cs="Arial"/>
          <w:color w:val="000000"/>
          <w:sz w:val="24"/>
        </w:rPr>
        <w:t>F</w:t>
      </w:r>
      <w:r w:rsidR="001932ED">
        <w:rPr>
          <w:rFonts w:ascii="Arial" w:hAnsi="Arial" w:cs="Arial"/>
          <w:color w:val="000000"/>
          <w:sz w:val="24"/>
        </w:rPr>
        <w:t xml:space="preserve">uel </w:t>
      </w:r>
      <w:r w:rsidR="008A42EA">
        <w:rPr>
          <w:rFonts w:ascii="Arial" w:hAnsi="Arial" w:cs="Arial"/>
          <w:color w:val="000000"/>
          <w:sz w:val="24"/>
        </w:rPr>
        <w:t>C</w:t>
      </w:r>
      <w:r w:rsidR="001932ED">
        <w:rPr>
          <w:rFonts w:ascii="Arial" w:hAnsi="Arial" w:cs="Arial"/>
          <w:color w:val="000000"/>
          <w:sz w:val="24"/>
        </w:rPr>
        <w:t xml:space="preserve">ell </w:t>
      </w:r>
      <w:r w:rsidR="008A42EA">
        <w:rPr>
          <w:rFonts w:ascii="Arial" w:hAnsi="Arial" w:cs="Arial"/>
          <w:color w:val="000000"/>
          <w:sz w:val="24"/>
        </w:rPr>
        <w:t>E</w:t>
      </w:r>
      <w:r w:rsidR="001932ED">
        <w:rPr>
          <w:rFonts w:ascii="Arial" w:hAnsi="Arial" w:cs="Arial"/>
          <w:color w:val="000000"/>
          <w:sz w:val="24"/>
        </w:rPr>
        <w:t xml:space="preserve">lectric </w:t>
      </w:r>
      <w:r w:rsidR="008A42EA">
        <w:rPr>
          <w:rFonts w:ascii="Arial" w:hAnsi="Arial" w:cs="Arial"/>
          <w:color w:val="000000"/>
          <w:sz w:val="24"/>
        </w:rPr>
        <w:t>V</w:t>
      </w:r>
      <w:r w:rsidR="001932ED">
        <w:rPr>
          <w:rFonts w:ascii="Arial" w:hAnsi="Arial" w:cs="Arial"/>
          <w:color w:val="000000"/>
          <w:sz w:val="24"/>
        </w:rPr>
        <w:t>ehicle</w:t>
      </w:r>
      <w:r w:rsidR="00FC0652" w:rsidRPr="00FC0652">
        <w:rPr>
          <w:rFonts w:ascii="Arial" w:hAnsi="Arial" w:cs="Arial"/>
          <w:color w:val="000000"/>
          <w:sz w:val="24"/>
        </w:rPr>
        <w:t xml:space="preserve"> emissions, mostly due to upstream emissions from blue hydrogen production, in addition to a contribution from grid emissions </w:t>
      </w:r>
      <w:r w:rsidR="000F70C3">
        <w:rPr>
          <w:rFonts w:ascii="Arial" w:hAnsi="Arial" w:cs="Arial"/>
          <w:color w:val="000000"/>
          <w:sz w:val="24"/>
        </w:rPr>
        <w:t>via the</w:t>
      </w:r>
      <w:r w:rsidR="00FC0652" w:rsidRPr="00FC0652">
        <w:rPr>
          <w:rFonts w:ascii="Arial" w:hAnsi="Arial" w:cs="Arial"/>
          <w:color w:val="000000"/>
          <w:sz w:val="24"/>
        </w:rPr>
        <w:t xml:space="preserve"> production of green hydrogen.</w:t>
      </w:r>
    </w:p>
    <w:p w14:paraId="44ED8AA0" w14:textId="77777777" w:rsidR="00607BE0" w:rsidRDefault="007B24B0" w:rsidP="000C6958">
      <w:pPr>
        <w:rPr>
          <w:rFonts w:ascii="Arial" w:hAnsi="Arial" w:cs="Arial"/>
          <w:color w:val="000000"/>
          <w:sz w:val="24"/>
        </w:rPr>
        <w:sectPr w:rsidR="00607BE0" w:rsidSect="000C6958">
          <w:headerReference w:type="default" r:id="rId33"/>
          <w:footerReference w:type="default" r:id="rId34"/>
          <w:pgSz w:w="11906" w:h="16838" w:code="9"/>
          <w:pgMar w:top="1701" w:right="1134" w:bottom="1134" w:left="1134" w:header="454" w:footer="567" w:gutter="0"/>
          <w:cols w:space="720"/>
          <w:noEndnote/>
          <w:docGrid w:linePitch="299"/>
        </w:sectPr>
      </w:pPr>
      <w:r w:rsidRPr="007B24B0">
        <w:rPr>
          <w:rFonts w:ascii="Arial" w:hAnsi="Arial" w:cs="Arial"/>
          <w:color w:val="000000"/>
          <w:sz w:val="24"/>
        </w:rPr>
        <w:t>Coach emissions decrease at a slower rate</w:t>
      </w:r>
      <w:r w:rsidR="006A705E">
        <w:rPr>
          <w:rFonts w:ascii="Arial" w:hAnsi="Arial" w:cs="Arial"/>
          <w:color w:val="000000"/>
          <w:sz w:val="24"/>
        </w:rPr>
        <w:t xml:space="preserve"> than buses</w:t>
      </w:r>
      <w:r w:rsidRPr="007B24B0">
        <w:rPr>
          <w:rFonts w:ascii="Arial" w:hAnsi="Arial" w:cs="Arial"/>
          <w:color w:val="000000"/>
          <w:sz w:val="24"/>
        </w:rPr>
        <w:t xml:space="preserve">, as it was assumed in all </w:t>
      </w:r>
      <w:r w:rsidR="00CB7CA4" w:rsidRPr="00CB7CA4">
        <w:rPr>
          <w:rFonts w:ascii="Arial" w:hAnsi="Arial" w:cs="Arial"/>
          <w:color w:val="000000"/>
          <w:sz w:val="24"/>
        </w:rPr>
        <w:t xml:space="preserve">technology transition </w:t>
      </w:r>
      <w:r w:rsidRPr="007B24B0">
        <w:rPr>
          <w:rFonts w:ascii="Arial" w:hAnsi="Arial" w:cs="Arial"/>
          <w:color w:val="000000"/>
          <w:sz w:val="24"/>
        </w:rPr>
        <w:t>scenarios that they take longer to replace than buses</w:t>
      </w:r>
      <w:r>
        <w:rPr>
          <w:rFonts w:ascii="Arial" w:hAnsi="Arial" w:cs="Arial"/>
          <w:color w:val="000000"/>
          <w:sz w:val="24"/>
        </w:rPr>
        <w:t>.</w:t>
      </w:r>
      <w:r w:rsidR="00743028" w:rsidRPr="00743028">
        <w:t xml:space="preserve"> </w:t>
      </w:r>
      <w:r w:rsidR="00743028" w:rsidRPr="00743028">
        <w:rPr>
          <w:rFonts w:ascii="Arial" w:hAnsi="Arial" w:cs="Arial"/>
          <w:color w:val="000000"/>
          <w:sz w:val="24"/>
        </w:rPr>
        <w:t>Emissions in 2045 are comparable across all scenarios, ranging from 6.1 to 8.3 ktCO</w:t>
      </w:r>
      <w:r w:rsidR="00743028" w:rsidRPr="00860B65">
        <w:rPr>
          <w:rFonts w:ascii="Arial" w:hAnsi="Arial" w:cs="Arial"/>
          <w:color w:val="000000"/>
          <w:sz w:val="24"/>
          <w:vertAlign w:val="subscript"/>
        </w:rPr>
        <w:t>2</w:t>
      </w:r>
      <w:r w:rsidR="00743028" w:rsidRPr="00743028">
        <w:rPr>
          <w:rFonts w:ascii="Arial" w:hAnsi="Arial" w:cs="Arial"/>
          <w:color w:val="000000"/>
          <w:sz w:val="24"/>
        </w:rPr>
        <w:t>e, with an average of 7.1 ktCO</w:t>
      </w:r>
      <w:r w:rsidR="00743028" w:rsidRPr="00860B65">
        <w:rPr>
          <w:rFonts w:ascii="Arial" w:hAnsi="Arial" w:cs="Arial"/>
          <w:color w:val="000000"/>
          <w:sz w:val="24"/>
          <w:vertAlign w:val="subscript"/>
        </w:rPr>
        <w:t>2</w:t>
      </w:r>
      <w:r w:rsidR="00743028" w:rsidRPr="00743028">
        <w:rPr>
          <w:rFonts w:ascii="Arial" w:hAnsi="Arial" w:cs="Arial"/>
          <w:color w:val="000000"/>
          <w:sz w:val="24"/>
        </w:rPr>
        <w:t xml:space="preserve">e. No scenarios </w:t>
      </w:r>
      <w:r w:rsidR="000F70C3">
        <w:rPr>
          <w:rFonts w:ascii="Arial" w:hAnsi="Arial" w:cs="Arial"/>
          <w:color w:val="000000"/>
          <w:sz w:val="24"/>
        </w:rPr>
        <w:t xml:space="preserve">for buses and coaches </w:t>
      </w:r>
      <w:r w:rsidR="00743028" w:rsidRPr="00743028">
        <w:rPr>
          <w:rFonts w:ascii="Arial" w:hAnsi="Arial" w:cs="Arial"/>
          <w:color w:val="000000"/>
          <w:sz w:val="24"/>
        </w:rPr>
        <w:t>are forecast to reach net-zero by 2045.</w:t>
      </w:r>
    </w:p>
    <w:p w14:paraId="503D0A87" w14:textId="07FD80E0" w:rsidR="000E633A" w:rsidRPr="00860B65" w:rsidRDefault="000E633A" w:rsidP="00115E65">
      <w:pPr>
        <w:pStyle w:val="Heading3"/>
      </w:pPr>
      <w:bookmarkStart w:id="1783" w:name="_Toc121339141"/>
      <w:r w:rsidRPr="00860B65">
        <w:lastRenderedPageBreak/>
        <w:t>Rail</w:t>
      </w:r>
      <w:bookmarkEnd w:id="1783"/>
    </w:p>
    <w:p w14:paraId="77F74C4E" w14:textId="1DBFFAFF" w:rsidR="000E0DEB" w:rsidRPr="000E0DEB" w:rsidRDefault="00C476C8" w:rsidP="000E0DEB">
      <w:pPr>
        <w:rPr>
          <w:rFonts w:ascii="Arial" w:hAnsi="Arial" w:cs="Arial"/>
          <w:color w:val="000000"/>
          <w:sz w:val="24"/>
        </w:rPr>
      </w:pPr>
      <w:r>
        <w:rPr>
          <w:rFonts w:ascii="Arial" w:hAnsi="Arial" w:cs="Arial"/>
          <w:color w:val="000000"/>
          <w:sz w:val="24"/>
        </w:rPr>
        <w:t>For rail, t</w:t>
      </w:r>
      <w:r w:rsidRPr="00C476C8">
        <w:rPr>
          <w:rFonts w:ascii="Arial" w:hAnsi="Arial" w:cs="Arial"/>
          <w:color w:val="000000"/>
          <w:sz w:val="24"/>
        </w:rPr>
        <w:t>otal CO</w:t>
      </w:r>
      <w:r w:rsidRPr="00860B65">
        <w:rPr>
          <w:rFonts w:ascii="Arial" w:hAnsi="Arial" w:cs="Arial"/>
          <w:color w:val="000000"/>
          <w:sz w:val="24"/>
          <w:vertAlign w:val="subscript"/>
        </w:rPr>
        <w:t>2</w:t>
      </w:r>
      <w:r w:rsidRPr="00C476C8">
        <w:rPr>
          <w:rFonts w:ascii="Arial" w:hAnsi="Arial" w:cs="Arial"/>
          <w:color w:val="000000"/>
          <w:sz w:val="24"/>
        </w:rPr>
        <w:t>e emissions fall at a slow rate between 2022 and 2029, before decreasing more rapidly between 2029 and 2035. The rate of emissions reduction slows from 2035 to 2045. Average yearly CO</w:t>
      </w:r>
      <w:r w:rsidRPr="00860B65">
        <w:rPr>
          <w:rFonts w:ascii="Arial" w:hAnsi="Arial" w:cs="Arial"/>
          <w:color w:val="000000"/>
          <w:sz w:val="24"/>
          <w:vertAlign w:val="subscript"/>
        </w:rPr>
        <w:t>2</w:t>
      </w:r>
      <w:r w:rsidRPr="00C476C8">
        <w:rPr>
          <w:rFonts w:ascii="Arial" w:hAnsi="Arial" w:cs="Arial"/>
          <w:color w:val="000000"/>
          <w:sz w:val="24"/>
        </w:rPr>
        <w:t>e emissions reduce by 40</w:t>
      </w:r>
      <w:r w:rsidR="00BA2A8D">
        <w:rPr>
          <w:rFonts w:ascii="Arial" w:hAnsi="Arial" w:cs="Arial"/>
          <w:color w:val="000000"/>
          <w:sz w:val="24"/>
        </w:rPr>
        <w:t xml:space="preserve"> </w:t>
      </w:r>
      <w:r w:rsidR="00D81E71">
        <w:rPr>
          <w:rFonts w:ascii="Arial" w:hAnsi="Arial" w:cs="Arial"/>
          <w:color w:val="000000"/>
          <w:sz w:val="24"/>
        </w:rPr>
        <w:t>percent</w:t>
      </w:r>
      <w:r w:rsidRPr="00C476C8">
        <w:rPr>
          <w:rFonts w:ascii="Arial" w:hAnsi="Arial" w:cs="Arial"/>
          <w:color w:val="000000"/>
          <w:sz w:val="24"/>
        </w:rPr>
        <w:t xml:space="preserve"> between 2022 and 2030, with an 86</w:t>
      </w:r>
      <w:r w:rsidR="00FB5407">
        <w:rPr>
          <w:rFonts w:ascii="Arial" w:hAnsi="Arial" w:cs="Arial"/>
          <w:color w:val="000000"/>
          <w:sz w:val="24"/>
        </w:rPr>
        <w:t xml:space="preserve"> percent</w:t>
      </w:r>
      <w:r w:rsidRPr="00C476C8">
        <w:rPr>
          <w:rFonts w:ascii="Arial" w:hAnsi="Arial" w:cs="Arial"/>
          <w:color w:val="000000"/>
          <w:sz w:val="24"/>
        </w:rPr>
        <w:t xml:space="preserve"> decrease between 2030 and 2045. This results in CO</w:t>
      </w:r>
      <w:r w:rsidRPr="00860B65">
        <w:rPr>
          <w:rFonts w:ascii="Arial" w:hAnsi="Arial" w:cs="Arial"/>
          <w:color w:val="000000"/>
          <w:sz w:val="24"/>
          <w:vertAlign w:val="subscript"/>
        </w:rPr>
        <w:t>2</w:t>
      </w:r>
      <w:r w:rsidRPr="00C476C8">
        <w:rPr>
          <w:rFonts w:ascii="Arial" w:hAnsi="Arial" w:cs="Arial"/>
          <w:color w:val="000000"/>
          <w:sz w:val="24"/>
        </w:rPr>
        <w:t>e emissions of 24,303 tonnes in 2045. Emissions do not reach zero in 2045 across any of the six technology transition scenarios.</w:t>
      </w:r>
      <w:r w:rsidR="000E0DEB" w:rsidRPr="000E0DEB">
        <w:t xml:space="preserve"> </w:t>
      </w:r>
      <w:r w:rsidR="000E0DEB" w:rsidRPr="000E0DEB">
        <w:rPr>
          <w:rFonts w:ascii="Arial" w:hAnsi="Arial" w:cs="Arial"/>
          <w:color w:val="000000"/>
          <w:sz w:val="24"/>
        </w:rPr>
        <w:t>Due to the major decrease in CO</w:t>
      </w:r>
      <w:r w:rsidR="000E0DEB" w:rsidRPr="00860B65">
        <w:rPr>
          <w:rFonts w:ascii="Arial" w:hAnsi="Arial" w:cs="Arial"/>
          <w:color w:val="000000"/>
          <w:sz w:val="24"/>
          <w:vertAlign w:val="subscript"/>
        </w:rPr>
        <w:t>2</w:t>
      </w:r>
      <w:r w:rsidR="000E0DEB" w:rsidRPr="000E0DEB">
        <w:rPr>
          <w:rFonts w:ascii="Arial" w:hAnsi="Arial" w:cs="Arial"/>
          <w:color w:val="000000"/>
          <w:sz w:val="24"/>
        </w:rPr>
        <w:t xml:space="preserve">e emissions from diesel between 2028 and 2032, emissions from electricity consumption comprise around half of total emissions in 2030, increasing until 2045. The contribution to emissions from hydrogen are zero until 2028, with a relatively minor contribution between 2028 and 2045 as hydrogen demand increases. </w:t>
      </w:r>
    </w:p>
    <w:p w14:paraId="3BFB03D6" w14:textId="5EE0122B" w:rsidR="005160CF" w:rsidRPr="00860B65" w:rsidRDefault="000E0DEB" w:rsidP="000E0DEB">
      <w:pPr>
        <w:rPr>
          <w:rFonts w:ascii="Arial" w:hAnsi="Arial" w:cs="Arial"/>
          <w:color w:val="000000"/>
          <w:sz w:val="24"/>
        </w:rPr>
      </w:pPr>
      <w:r w:rsidRPr="000E0DEB">
        <w:rPr>
          <w:rFonts w:ascii="Arial" w:hAnsi="Arial" w:cs="Arial"/>
          <w:color w:val="000000"/>
          <w:sz w:val="24"/>
        </w:rPr>
        <w:t>Diesel emissions</w:t>
      </w:r>
      <w:r w:rsidR="005C4B3E">
        <w:rPr>
          <w:rFonts w:ascii="Arial" w:hAnsi="Arial" w:cs="Arial"/>
          <w:color w:val="000000"/>
          <w:sz w:val="24"/>
        </w:rPr>
        <w:t xml:space="preserve"> from rail</w:t>
      </w:r>
      <w:r w:rsidRPr="000E0DEB">
        <w:rPr>
          <w:rFonts w:ascii="Arial" w:hAnsi="Arial" w:cs="Arial"/>
          <w:color w:val="000000"/>
          <w:sz w:val="24"/>
        </w:rPr>
        <w:t xml:space="preserve"> reduce to zero by 2045 across all scenarios. The total emissions from rail in 2045 are composed almost entirely </w:t>
      </w:r>
      <w:r w:rsidR="00922C47">
        <w:rPr>
          <w:rFonts w:ascii="Arial" w:hAnsi="Arial" w:cs="Arial"/>
          <w:color w:val="000000"/>
          <w:sz w:val="24"/>
        </w:rPr>
        <w:t>of</w:t>
      </w:r>
      <w:r w:rsidRPr="000E0DEB">
        <w:rPr>
          <w:rFonts w:ascii="Arial" w:hAnsi="Arial" w:cs="Arial"/>
          <w:color w:val="000000"/>
          <w:sz w:val="24"/>
        </w:rPr>
        <w:t xml:space="preserve"> emissions from electricity consumption, due to the inability of the grid to fully decarbonize by 2045. Ten percent of total emissions come from upstream emissions released in </w:t>
      </w:r>
      <w:r w:rsidR="00611EB4">
        <w:rPr>
          <w:rFonts w:ascii="Arial" w:hAnsi="Arial" w:cs="Arial"/>
          <w:color w:val="000000"/>
          <w:sz w:val="24"/>
        </w:rPr>
        <w:t xml:space="preserve">the </w:t>
      </w:r>
      <w:r w:rsidRPr="000E0DEB">
        <w:rPr>
          <w:rFonts w:ascii="Arial" w:hAnsi="Arial" w:cs="Arial"/>
          <w:color w:val="000000"/>
          <w:sz w:val="24"/>
        </w:rPr>
        <w:t>production of blue hydrogen.</w:t>
      </w:r>
    </w:p>
    <w:p w14:paraId="103C69D3" w14:textId="690CBD4F" w:rsidR="000C6958" w:rsidRDefault="00A467CA" w:rsidP="00115E65">
      <w:pPr>
        <w:pStyle w:val="Heading3"/>
      </w:pPr>
      <w:bookmarkStart w:id="1784" w:name="_Toc121339142"/>
      <w:r>
        <w:t>Road-based emissions</w:t>
      </w:r>
      <w:bookmarkEnd w:id="1784"/>
    </w:p>
    <w:p w14:paraId="5F52B103" w14:textId="77777777" w:rsidR="005812CF" w:rsidRDefault="00EB257C" w:rsidP="000C6958">
      <w:pPr>
        <w:rPr>
          <w:rFonts w:ascii="Arial" w:hAnsi="Arial" w:cs="Arial"/>
          <w:color w:val="000000"/>
          <w:sz w:val="24"/>
        </w:rPr>
      </w:pPr>
      <w:r w:rsidRPr="00860B65">
        <w:rPr>
          <w:rFonts w:ascii="Arial" w:hAnsi="Arial" w:cs="Arial"/>
          <w:color w:val="000000"/>
          <w:sz w:val="24"/>
        </w:rPr>
        <w:t>The Scottish national road transport model was used to calculate annual total emissions, and the associated economic valuations for local air quality and CO</w:t>
      </w:r>
      <w:r w:rsidRPr="00860B65">
        <w:rPr>
          <w:rFonts w:ascii="Arial" w:hAnsi="Arial" w:cs="Arial"/>
          <w:color w:val="000000"/>
          <w:sz w:val="24"/>
          <w:vertAlign w:val="subscript"/>
        </w:rPr>
        <w:t>2</w:t>
      </w:r>
      <w:r w:rsidRPr="00860B65">
        <w:rPr>
          <w:rFonts w:ascii="Arial" w:hAnsi="Arial" w:cs="Arial"/>
          <w:color w:val="000000"/>
          <w:sz w:val="24"/>
        </w:rPr>
        <w:t xml:space="preserve"> damage costs. Both local and greenhouse gas pollutants were quantified and compared to the projected baseline conditions and proposed future scenarios in 2030 and 2045 to inform the evidence-base used in the update to the STPR2.  </w:t>
      </w:r>
    </w:p>
    <w:p w14:paraId="025DAA31" w14:textId="02B18902" w:rsidR="005812CF" w:rsidRPr="00860B65" w:rsidRDefault="005812CF" w:rsidP="005812CF">
      <w:pPr>
        <w:pStyle w:val="BodyText"/>
        <w:rPr>
          <w:rFonts w:ascii="Arial" w:hAnsi="Arial" w:cs="Arial"/>
          <w:color w:val="000000"/>
          <w:sz w:val="24"/>
        </w:rPr>
      </w:pPr>
      <w:r w:rsidRPr="00860B65">
        <w:rPr>
          <w:rFonts w:ascii="Arial" w:hAnsi="Arial" w:cs="Arial"/>
          <w:color w:val="000000"/>
          <w:sz w:val="24"/>
        </w:rPr>
        <w:t>Traffic flow data for the following scenarios was used to calculate emissions wherein the ‘high’ and ‘low’ scenarios incorporate both different traffic flow data with corresponding projected fleet fuel technology profiles for each package:</w:t>
      </w:r>
    </w:p>
    <w:p w14:paraId="5E56D511" w14:textId="15D477D9" w:rsidR="005812CF" w:rsidRDefault="005812CF" w:rsidP="00D93256">
      <w:pPr>
        <w:pStyle w:val="STPR2BulletsLevel1"/>
      </w:pPr>
      <w:r>
        <w:t xml:space="preserve">2030 Baseline High Travel Demand </w:t>
      </w:r>
      <w:r w:rsidR="00CF6B12">
        <w:t xml:space="preserve">(HTD) </w:t>
      </w:r>
      <w:r>
        <w:t>Scenario</w:t>
      </w:r>
    </w:p>
    <w:p w14:paraId="4438E104" w14:textId="7D2E0BE5" w:rsidR="005812CF" w:rsidRDefault="005812CF" w:rsidP="00D93256">
      <w:pPr>
        <w:pStyle w:val="STPR2BulletsLevel1"/>
      </w:pPr>
      <w:r>
        <w:t xml:space="preserve">2030 Do-Something </w:t>
      </w:r>
      <w:r w:rsidR="00FD3F5D">
        <w:t>HTD</w:t>
      </w:r>
      <w:r>
        <w:t xml:space="preserve"> Scenario</w:t>
      </w:r>
    </w:p>
    <w:p w14:paraId="551D4040" w14:textId="3163A7EA" w:rsidR="005812CF" w:rsidRDefault="005812CF" w:rsidP="00D93256">
      <w:pPr>
        <w:pStyle w:val="STPR2BulletsLevel1"/>
      </w:pPr>
      <w:r>
        <w:t>2030 Baseline Low Travel Demand</w:t>
      </w:r>
      <w:r w:rsidR="00CF6B12">
        <w:t xml:space="preserve"> (LTD)</w:t>
      </w:r>
      <w:r>
        <w:t xml:space="preserve"> Scenario</w:t>
      </w:r>
    </w:p>
    <w:p w14:paraId="5E36C35F" w14:textId="4EF4D1D3" w:rsidR="005812CF" w:rsidRDefault="005812CF" w:rsidP="00D93256">
      <w:pPr>
        <w:pStyle w:val="STPR2BulletsLevel1"/>
      </w:pPr>
      <w:r>
        <w:t xml:space="preserve">2030 Do-Something </w:t>
      </w:r>
      <w:r w:rsidR="00FD3F5D">
        <w:t>LTD</w:t>
      </w:r>
      <w:r>
        <w:t xml:space="preserve"> Scenario</w:t>
      </w:r>
    </w:p>
    <w:p w14:paraId="75F1F178" w14:textId="0565A374" w:rsidR="005812CF" w:rsidRDefault="005812CF" w:rsidP="00D93256">
      <w:pPr>
        <w:pStyle w:val="STPR2BulletsLevel1"/>
      </w:pPr>
      <w:r>
        <w:t xml:space="preserve">2045 Baseline </w:t>
      </w:r>
      <w:r w:rsidR="00FD3F5D">
        <w:t xml:space="preserve">HTD </w:t>
      </w:r>
      <w:r>
        <w:t>Scenario</w:t>
      </w:r>
    </w:p>
    <w:p w14:paraId="5DC98041" w14:textId="31475204" w:rsidR="005812CF" w:rsidRDefault="005812CF" w:rsidP="00D93256">
      <w:pPr>
        <w:pStyle w:val="STPR2BulletsLevel1"/>
      </w:pPr>
      <w:r>
        <w:t xml:space="preserve">2045 Do-Something </w:t>
      </w:r>
      <w:r w:rsidR="00FD3F5D">
        <w:t>HTD</w:t>
      </w:r>
      <w:r>
        <w:t xml:space="preserve"> Scenario</w:t>
      </w:r>
    </w:p>
    <w:p w14:paraId="164A1A9A" w14:textId="67AA342A" w:rsidR="005812CF" w:rsidRDefault="005812CF" w:rsidP="00D93256">
      <w:pPr>
        <w:pStyle w:val="STPR2BulletsLevel1"/>
      </w:pPr>
      <w:r>
        <w:t xml:space="preserve">2045 Baseline </w:t>
      </w:r>
      <w:r w:rsidR="00FD3F5D">
        <w:t>LTD</w:t>
      </w:r>
      <w:r>
        <w:t xml:space="preserve"> Scenario</w:t>
      </w:r>
    </w:p>
    <w:p w14:paraId="33EB4962" w14:textId="4342D18D" w:rsidR="005812CF" w:rsidRDefault="005812CF" w:rsidP="00D93256">
      <w:pPr>
        <w:pStyle w:val="STPR2BulletsLevel1"/>
      </w:pPr>
      <w:r>
        <w:t xml:space="preserve">2045 Do-Something </w:t>
      </w:r>
      <w:r w:rsidR="00FD3F5D">
        <w:t>LTD</w:t>
      </w:r>
      <w:r>
        <w:t xml:space="preserve"> Scenario</w:t>
      </w:r>
    </w:p>
    <w:p w14:paraId="646AFA5C" w14:textId="5EA41FA9" w:rsidR="005812CF" w:rsidRPr="00860B65" w:rsidRDefault="005812CF" w:rsidP="005812CF">
      <w:pPr>
        <w:pStyle w:val="BodyText"/>
        <w:rPr>
          <w:rFonts w:ascii="Arial" w:hAnsi="Arial" w:cs="Arial"/>
          <w:color w:val="000000"/>
          <w:sz w:val="24"/>
        </w:rPr>
      </w:pPr>
      <w:r w:rsidRPr="00860B65">
        <w:rPr>
          <w:rFonts w:ascii="Arial" w:hAnsi="Arial" w:cs="Arial"/>
          <w:color w:val="000000"/>
          <w:sz w:val="24"/>
        </w:rPr>
        <w:t>These data comprised annual average daily traffic (AADT), divided into car,</w:t>
      </w:r>
      <w:r w:rsidR="00FD3F5D">
        <w:rPr>
          <w:rFonts w:ascii="Arial" w:hAnsi="Arial" w:cs="Arial"/>
          <w:color w:val="000000"/>
          <w:sz w:val="24"/>
        </w:rPr>
        <w:t xml:space="preserve"> Light Goods Vehicles</w:t>
      </w:r>
      <w:r w:rsidRPr="00860B65">
        <w:rPr>
          <w:rFonts w:ascii="Arial" w:hAnsi="Arial" w:cs="Arial"/>
          <w:color w:val="000000"/>
          <w:sz w:val="24"/>
        </w:rPr>
        <w:t xml:space="preserve"> </w:t>
      </w:r>
      <w:r w:rsidR="00FD3F5D">
        <w:rPr>
          <w:rFonts w:ascii="Arial" w:hAnsi="Arial" w:cs="Arial"/>
          <w:color w:val="000000"/>
          <w:sz w:val="24"/>
        </w:rPr>
        <w:t>(</w:t>
      </w:r>
      <w:r w:rsidRPr="00860B65">
        <w:rPr>
          <w:rFonts w:ascii="Arial" w:hAnsi="Arial" w:cs="Arial"/>
          <w:color w:val="000000"/>
          <w:sz w:val="24"/>
        </w:rPr>
        <w:t>LGV</w:t>
      </w:r>
      <w:r w:rsidR="00FD3F5D">
        <w:rPr>
          <w:rFonts w:ascii="Arial" w:hAnsi="Arial" w:cs="Arial"/>
          <w:color w:val="000000"/>
          <w:sz w:val="24"/>
        </w:rPr>
        <w:t>)</w:t>
      </w:r>
      <w:r w:rsidRPr="00860B65">
        <w:rPr>
          <w:rFonts w:ascii="Arial" w:hAnsi="Arial" w:cs="Arial"/>
          <w:color w:val="000000"/>
          <w:sz w:val="24"/>
        </w:rPr>
        <w:t>,</w:t>
      </w:r>
      <w:r w:rsidR="00FD3F5D">
        <w:rPr>
          <w:rFonts w:ascii="Arial" w:hAnsi="Arial" w:cs="Arial"/>
          <w:color w:val="000000"/>
          <w:sz w:val="24"/>
        </w:rPr>
        <w:t xml:space="preserve"> Heavy Goods Vehicles</w:t>
      </w:r>
      <w:r w:rsidRPr="00860B65">
        <w:rPr>
          <w:rFonts w:ascii="Arial" w:hAnsi="Arial" w:cs="Arial"/>
          <w:color w:val="000000"/>
          <w:sz w:val="24"/>
        </w:rPr>
        <w:t xml:space="preserve"> </w:t>
      </w:r>
      <w:r w:rsidR="00FD3F5D">
        <w:rPr>
          <w:rFonts w:ascii="Arial" w:hAnsi="Arial" w:cs="Arial"/>
          <w:color w:val="000000"/>
          <w:sz w:val="24"/>
        </w:rPr>
        <w:t>(</w:t>
      </w:r>
      <w:r w:rsidRPr="00860B65">
        <w:rPr>
          <w:rFonts w:ascii="Arial" w:hAnsi="Arial" w:cs="Arial"/>
          <w:color w:val="000000"/>
          <w:sz w:val="24"/>
        </w:rPr>
        <w:t>HGV</w:t>
      </w:r>
      <w:r w:rsidR="00FD3F5D">
        <w:rPr>
          <w:rFonts w:ascii="Arial" w:hAnsi="Arial" w:cs="Arial"/>
          <w:color w:val="000000"/>
          <w:sz w:val="24"/>
        </w:rPr>
        <w:t>)</w:t>
      </w:r>
      <w:r w:rsidRPr="00860B65">
        <w:rPr>
          <w:rFonts w:ascii="Arial" w:hAnsi="Arial" w:cs="Arial"/>
          <w:color w:val="000000"/>
          <w:sz w:val="24"/>
        </w:rPr>
        <w:t xml:space="preserve"> and bus, average speed, region and road classification (urban, rural or motorway) for individual road links representing the extent of the entire road network in the</w:t>
      </w:r>
      <w:r w:rsidR="00F86FDB">
        <w:rPr>
          <w:rFonts w:ascii="Arial" w:hAnsi="Arial" w:cs="Arial"/>
          <w:color w:val="000000"/>
          <w:sz w:val="24"/>
        </w:rPr>
        <w:t xml:space="preserve"> Transport Model for Scotland</w:t>
      </w:r>
      <w:r w:rsidR="00505399">
        <w:rPr>
          <w:rFonts w:ascii="Arial" w:hAnsi="Arial" w:cs="Arial"/>
          <w:color w:val="000000"/>
          <w:sz w:val="24"/>
        </w:rPr>
        <w:t xml:space="preserve"> (TMfS)</w:t>
      </w:r>
      <w:r w:rsidRPr="00860B65">
        <w:rPr>
          <w:rFonts w:ascii="Arial" w:hAnsi="Arial" w:cs="Arial"/>
          <w:color w:val="000000"/>
          <w:sz w:val="24"/>
        </w:rPr>
        <w:t>.</w:t>
      </w:r>
    </w:p>
    <w:p w14:paraId="77137961" w14:textId="0B968E46" w:rsidR="005812CF" w:rsidRDefault="005812CF" w:rsidP="005812CF">
      <w:pPr>
        <w:pStyle w:val="BodyText"/>
        <w:rPr>
          <w:rFonts w:ascii="Arial" w:hAnsi="Arial" w:cs="Arial"/>
          <w:color w:val="000000"/>
          <w:sz w:val="24"/>
        </w:rPr>
      </w:pPr>
      <w:r w:rsidRPr="00860B65">
        <w:rPr>
          <w:rFonts w:ascii="Arial" w:hAnsi="Arial" w:cs="Arial"/>
          <w:color w:val="000000"/>
          <w:sz w:val="24"/>
        </w:rPr>
        <w:t>The projected fleet fuel technology profiles were provided by Element Energy</w:t>
      </w:r>
      <w:r w:rsidR="00712FB0">
        <w:rPr>
          <w:rFonts w:ascii="Arial" w:hAnsi="Arial" w:cs="Arial"/>
          <w:color w:val="000000"/>
          <w:sz w:val="24"/>
        </w:rPr>
        <w:t xml:space="preserve"> (2021)</w:t>
      </w:r>
      <w:r w:rsidRPr="00860B65">
        <w:rPr>
          <w:rFonts w:ascii="Arial" w:hAnsi="Arial" w:cs="Arial"/>
          <w:color w:val="000000"/>
          <w:sz w:val="24"/>
        </w:rPr>
        <w:t xml:space="preserve"> and represent the different levels of adoption of alternative fuel technologies associated with the package for the High and Low Travel Demand scenarios. Therefore, no ‘central’ projection was appraised. </w:t>
      </w:r>
    </w:p>
    <w:p w14:paraId="5DDEBCDB" w14:textId="7AA8CFB3" w:rsidR="000E180C" w:rsidRPr="000E180C" w:rsidRDefault="00FD3F5D" w:rsidP="000E180C">
      <w:pPr>
        <w:rPr>
          <w:rFonts w:ascii="Arial" w:hAnsi="Arial" w:cs="Arial"/>
          <w:color w:val="000000"/>
          <w:sz w:val="24"/>
        </w:rPr>
      </w:pPr>
      <w:r>
        <w:rPr>
          <w:rFonts w:ascii="Arial" w:hAnsi="Arial" w:cs="Arial"/>
          <w:color w:val="000000"/>
          <w:sz w:val="24"/>
        </w:rPr>
        <w:t>The results show that t</w:t>
      </w:r>
      <w:r w:rsidR="000E180C" w:rsidRPr="000E180C">
        <w:rPr>
          <w:rFonts w:ascii="Arial" w:hAnsi="Arial" w:cs="Arial"/>
          <w:color w:val="000000"/>
          <w:sz w:val="24"/>
        </w:rPr>
        <w:t>otal CO</w:t>
      </w:r>
      <w:r w:rsidR="000E180C" w:rsidRPr="00860B65">
        <w:rPr>
          <w:rFonts w:ascii="Arial" w:hAnsi="Arial" w:cs="Arial"/>
          <w:color w:val="000000"/>
          <w:sz w:val="24"/>
          <w:vertAlign w:val="subscript"/>
        </w:rPr>
        <w:t>2</w:t>
      </w:r>
      <w:r w:rsidR="000E180C" w:rsidRPr="000E180C">
        <w:rPr>
          <w:rFonts w:ascii="Arial" w:hAnsi="Arial" w:cs="Arial"/>
          <w:color w:val="000000"/>
          <w:sz w:val="24"/>
        </w:rPr>
        <w:t xml:space="preserve">e emissions are greatest for the HTD scenarios in 2030 (approx. 5.7 Mt/year), followed by the 2030 LTD scenarios (approx. 4.6 Mt/year). The 2045 HTD scenarios represent a substantial decrease in total emissions relative to 2030 HTD, </w:t>
      </w:r>
      <w:r w:rsidR="000E180C" w:rsidRPr="000E180C">
        <w:rPr>
          <w:rFonts w:ascii="Arial" w:hAnsi="Arial" w:cs="Arial"/>
          <w:color w:val="000000"/>
          <w:sz w:val="24"/>
        </w:rPr>
        <w:lastRenderedPageBreak/>
        <w:t>although this decrease is not nearly as large as the change from the 2030 LTD scenarios to 2045 LTD scenarios. In each case, there are minor decreases in emissions in the Do Something scenario compared to the baseline. For the 2030 HTD scenarios, HGVs and car</w:t>
      </w:r>
      <w:r w:rsidR="00762777">
        <w:rPr>
          <w:rFonts w:ascii="Arial" w:hAnsi="Arial" w:cs="Arial"/>
          <w:color w:val="000000"/>
          <w:sz w:val="24"/>
        </w:rPr>
        <w:t>s</w:t>
      </w:r>
      <w:r w:rsidR="000E180C" w:rsidRPr="000E180C">
        <w:rPr>
          <w:rFonts w:ascii="Arial" w:hAnsi="Arial" w:cs="Arial"/>
          <w:color w:val="000000"/>
          <w:sz w:val="24"/>
        </w:rPr>
        <w:t xml:space="preserve"> produce approximately equal majorities of the total, with LGVs contributing a smaller but still significant amount to the total, and Buses provide a minor contribution. In 2045, cars and LGVs contribute a smaller amount and proportion of the total, while HGVs and Buses contribute a greater proportion of the total.</w:t>
      </w:r>
    </w:p>
    <w:p w14:paraId="051B2D12" w14:textId="07EB02EA" w:rsidR="00B725E6" w:rsidRPr="00860B65" w:rsidRDefault="000E180C" w:rsidP="000E180C">
      <w:pPr>
        <w:rPr>
          <w:rFonts w:ascii="Arial" w:hAnsi="Arial" w:cs="Arial"/>
          <w:color w:val="000000"/>
          <w:sz w:val="24"/>
        </w:rPr>
      </w:pPr>
      <w:r w:rsidRPr="000E180C">
        <w:rPr>
          <w:rFonts w:ascii="Arial" w:hAnsi="Arial" w:cs="Arial"/>
          <w:color w:val="000000"/>
          <w:sz w:val="24"/>
        </w:rPr>
        <w:t>Total CO</w:t>
      </w:r>
      <w:r w:rsidRPr="00860B65">
        <w:rPr>
          <w:rFonts w:ascii="Arial" w:hAnsi="Arial" w:cs="Arial"/>
          <w:color w:val="000000"/>
          <w:sz w:val="24"/>
          <w:vertAlign w:val="subscript"/>
        </w:rPr>
        <w:t>2</w:t>
      </w:r>
      <w:r w:rsidRPr="000E180C">
        <w:rPr>
          <w:rFonts w:ascii="Arial" w:hAnsi="Arial" w:cs="Arial"/>
          <w:color w:val="000000"/>
          <w:sz w:val="24"/>
        </w:rPr>
        <w:t>e emissions for the 2030 LTD scenarios are approx</w:t>
      </w:r>
      <w:r w:rsidR="00C968E8">
        <w:rPr>
          <w:rFonts w:ascii="Arial" w:hAnsi="Arial" w:cs="Arial"/>
          <w:color w:val="000000"/>
          <w:sz w:val="24"/>
        </w:rPr>
        <w:t>imately</w:t>
      </w:r>
      <w:r w:rsidRPr="000E180C">
        <w:rPr>
          <w:rFonts w:ascii="Arial" w:hAnsi="Arial" w:cs="Arial"/>
          <w:color w:val="000000"/>
          <w:sz w:val="24"/>
        </w:rPr>
        <w:t xml:space="preserve"> 4.2 Mt/year, falling sharply to approx. 0.4 Mt/year in the 2045 LTD scenarios. For both years, there is a small decrease in emissions in the Do-Something scenario relative to the baseline. HGVs account for approx</w:t>
      </w:r>
      <w:r w:rsidR="00B42D9E">
        <w:rPr>
          <w:rFonts w:ascii="Arial" w:hAnsi="Arial" w:cs="Arial"/>
          <w:color w:val="000000"/>
          <w:sz w:val="24"/>
        </w:rPr>
        <w:t>imately</w:t>
      </w:r>
      <w:r w:rsidRPr="000E180C">
        <w:rPr>
          <w:rFonts w:ascii="Arial" w:hAnsi="Arial" w:cs="Arial"/>
          <w:color w:val="000000"/>
          <w:sz w:val="24"/>
        </w:rPr>
        <w:t xml:space="preserve"> half of total emissions in 2030, with much of the remainder from cars, </w:t>
      </w:r>
      <w:r w:rsidR="00B404BB">
        <w:rPr>
          <w:rFonts w:ascii="Arial" w:hAnsi="Arial" w:cs="Arial"/>
          <w:color w:val="000000"/>
          <w:sz w:val="24"/>
        </w:rPr>
        <w:t>and</w:t>
      </w:r>
      <w:r w:rsidRPr="000E180C">
        <w:rPr>
          <w:rFonts w:ascii="Arial" w:hAnsi="Arial" w:cs="Arial"/>
          <w:color w:val="000000"/>
          <w:sz w:val="24"/>
        </w:rPr>
        <w:t xml:space="preserve"> progressively smaller contributions from LGVs and then Buses. In 2045, </w:t>
      </w:r>
      <w:r w:rsidR="007541F7">
        <w:rPr>
          <w:rFonts w:ascii="Arial" w:hAnsi="Arial" w:cs="Arial"/>
          <w:color w:val="000000"/>
          <w:sz w:val="24"/>
        </w:rPr>
        <w:t>most</w:t>
      </w:r>
      <w:r w:rsidRPr="000E180C">
        <w:rPr>
          <w:rFonts w:ascii="Arial" w:hAnsi="Arial" w:cs="Arial"/>
          <w:color w:val="000000"/>
          <w:sz w:val="24"/>
        </w:rPr>
        <w:t xml:space="preserve"> of</w:t>
      </w:r>
      <w:r w:rsidR="007541F7">
        <w:rPr>
          <w:rFonts w:ascii="Arial" w:hAnsi="Arial" w:cs="Arial"/>
          <w:color w:val="000000"/>
          <w:sz w:val="24"/>
        </w:rPr>
        <w:t xml:space="preserve"> the</w:t>
      </w:r>
      <w:r w:rsidRPr="000E180C">
        <w:rPr>
          <w:rFonts w:ascii="Arial" w:hAnsi="Arial" w:cs="Arial"/>
          <w:color w:val="000000"/>
          <w:sz w:val="24"/>
        </w:rPr>
        <w:t xml:space="preserve"> remaining emissions are from cars, with </w:t>
      </w:r>
      <w:r w:rsidR="00B404BB">
        <w:rPr>
          <w:rFonts w:ascii="Arial" w:hAnsi="Arial" w:cs="Arial"/>
          <w:color w:val="000000"/>
          <w:sz w:val="24"/>
        </w:rPr>
        <w:t xml:space="preserve">a </w:t>
      </w:r>
      <w:r w:rsidRPr="000E180C">
        <w:rPr>
          <w:rFonts w:ascii="Arial" w:hAnsi="Arial" w:cs="Arial"/>
          <w:color w:val="000000"/>
          <w:sz w:val="24"/>
        </w:rPr>
        <w:t>small contribution from LGVs, and virtually zero emissions from HGVs and Buses.</w:t>
      </w:r>
      <w:r w:rsidR="00EB257C" w:rsidRPr="00860B65">
        <w:rPr>
          <w:rFonts w:ascii="Arial" w:hAnsi="Arial" w:cs="Arial"/>
          <w:color w:val="000000"/>
          <w:sz w:val="24"/>
        </w:rPr>
        <w:t xml:space="preserve"> </w:t>
      </w:r>
    </w:p>
    <w:p w14:paraId="5E6CED38" w14:textId="77777777" w:rsidR="00B725E6" w:rsidRDefault="00B725E6" w:rsidP="000C6958"/>
    <w:p w14:paraId="6E9C3C5C" w14:textId="7E9CBF89" w:rsidR="00B725E6" w:rsidRDefault="00B725E6" w:rsidP="000C6958">
      <w:pPr>
        <w:sectPr w:rsidR="00B725E6" w:rsidSect="000C6958">
          <w:pgSz w:w="11906" w:h="16838" w:code="9"/>
          <w:pgMar w:top="1701" w:right="1134" w:bottom="1134" w:left="1134" w:header="454" w:footer="567" w:gutter="0"/>
          <w:cols w:space="720"/>
          <w:noEndnote/>
          <w:docGrid w:linePitch="299"/>
        </w:sectPr>
      </w:pPr>
    </w:p>
    <w:p w14:paraId="52E3544C" w14:textId="6E0A7B56" w:rsidR="009F17F5" w:rsidRDefault="000C6958" w:rsidP="001302FA">
      <w:pPr>
        <w:pStyle w:val="Heading1"/>
      </w:pPr>
      <w:bookmarkStart w:id="1785" w:name="_Toc22026433"/>
      <w:bookmarkStart w:id="1786" w:name="_Toc22027429"/>
      <w:bookmarkStart w:id="1787" w:name="_Toc22026434"/>
      <w:bookmarkStart w:id="1788" w:name="_Toc22027430"/>
      <w:bookmarkStart w:id="1789" w:name="_Toc22026435"/>
      <w:bookmarkStart w:id="1790" w:name="_Toc22027431"/>
      <w:bookmarkStart w:id="1791" w:name="_Toc19797343"/>
      <w:bookmarkStart w:id="1792" w:name="_Toc19797396"/>
      <w:bookmarkStart w:id="1793" w:name="_Toc19797496"/>
      <w:bookmarkStart w:id="1794" w:name="_Toc19802875"/>
      <w:bookmarkStart w:id="1795" w:name="_Toc19872000"/>
      <w:bookmarkStart w:id="1796" w:name="_Toc19882183"/>
      <w:bookmarkStart w:id="1797" w:name="_Toc19882348"/>
      <w:bookmarkStart w:id="1798" w:name="_Toc19889670"/>
      <w:bookmarkStart w:id="1799" w:name="_Toc20124069"/>
      <w:bookmarkStart w:id="1800" w:name="_Toc20124201"/>
      <w:bookmarkStart w:id="1801" w:name="_Toc20124990"/>
      <w:bookmarkStart w:id="1802" w:name="_Toc20127044"/>
      <w:bookmarkStart w:id="1803" w:name="_Toc20381012"/>
      <w:bookmarkStart w:id="1804" w:name="_Toc20484759"/>
      <w:bookmarkStart w:id="1805" w:name="_Toc20485004"/>
      <w:bookmarkStart w:id="1806" w:name="_Toc20487952"/>
      <w:bookmarkStart w:id="1807" w:name="_Toc20488146"/>
      <w:bookmarkStart w:id="1808" w:name="_Toc20744761"/>
      <w:bookmarkStart w:id="1809" w:name="_Toc20754244"/>
      <w:bookmarkStart w:id="1810" w:name="_Toc20756501"/>
      <w:bookmarkStart w:id="1811" w:name="_Toc20758934"/>
      <w:bookmarkStart w:id="1812" w:name="_Toc20759007"/>
      <w:bookmarkStart w:id="1813" w:name="_Toc20759078"/>
      <w:bookmarkStart w:id="1814" w:name="_Toc20759270"/>
      <w:bookmarkStart w:id="1815" w:name="_Toc20898761"/>
      <w:bookmarkStart w:id="1816" w:name="_Toc20899042"/>
      <w:bookmarkStart w:id="1817" w:name="_Toc20903700"/>
      <w:bookmarkStart w:id="1818" w:name="_Toc20903812"/>
      <w:bookmarkStart w:id="1819" w:name="_Toc20903932"/>
      <w:bookmarkStart w:id="1820" w:name="_Toc21078580"/>
      <w:bookmarkStart w:id="1821" w:name="_Toc21080207"/>
      <w:bookmarkStart w:id="1822" w:name="_Toc21353826"/>
      <w:bookmarkStart w:id="1823" w:name="_Toc21354291"/>
      <w:bookmarkStart w:id="1824" w:name="_Toc21446956"/>
      <w:bookmarkStart w:id="1825" w:name="_Toc21447212"/>
      <w:bookmarkStart w:id="1826" w:name="_Toc21447326"/>
      <w:bookmarkStart w:id="1827" w:name="_Toc21447571"/>
      <w:bookmarkStart w:id="1828" w:name="_Toc21447705"/>
      <w:bookmarkStart w:id="1829" w:name="_Toc21510464"/>
      <w:bookmarkStart w:id="1830" w:name="_Toc21511066"/>
      <w:bookmarkStart w:id="1831" w:name="_Toc21523135"/>
      <w:bookmarkStart w:id="1832" w:name="_Toc19797344"/>
      <w:bookmarkStart w:id="1833" w:name="_Toc19797397"/>
      <w:bookmarkStart w:id="1834" w:name="_Toc19797497"/>
      <w:bookmarkStart w:id="1835" w:name="_Toc19802876"/>
      <w:bookmarkStart w:id="1836" w:name="_Toc19872001"/>
      <w:bookmarkStart w:id="1837" w:name="_Toc19882184"/>
      <w:bookmarkStart w:id="1838" w:name="_Toc19882349"/>
      <w:bookmarkStart w:id="1839" w:name="_Toc19889671"/>
      <w:bookmarkStart w:id="1840" w:name="_Toc20124070"/>
      <w:bookmarkStart w:id="1841" w:name="_Toc20124202"/>
      <w:bookmarkStart w:id="1842" w:name="_Toc20124991"/>
      <w:bookmarkStart w:id="1843" w:name="_Toc20127045"/>
      <w:bookmarkStart w:id="1844" w:name="_Toc20381013"/>
      <w:bookmarkStart w:id="1845" w:name="_Toc20484760"/>
      <w:bookmarkStart w:id="1846" w:name="_Toc20485005"/>
      <w:bookmarkStart w:id="1847" w:name="_Toc20487953"/>
      <w:bookmarkStart w:id="1848" w:name="_Toc20488147"/>
      <w:bookmarkStart w:id="1849" w:name="_Toc20744762"/>
      <w:bookmarkStart w:id="1850" w:name="_Toc20754245"/>
      <w:bookmarkStart w:id="1851" w:name="_Toc20756502"/>
      <w:bookmarkStart w:id="1852" w:name="_Toc20758935"/>
      <w:bookmarkStart w:id="1853" w:name="_Toc20759008"/>
      <w:bookmarkStart w:id="1854" w:name="_Toc20759079"/>
      <w:bookmarkStart w:id="1855" w:name="_Toc20759271"/>
      <w:bookmarkStart w:id="1856" w:name="_Toc20898762"/>
      <w:bookmarkStart w:id="1857" w:name="_Toc20899043"/>
      <w:bookmarkStart w:id="1858" w:name="_Toc20903701"/>
      <w:bookmarkStart w:id="1859" w:name="_Toc20903813"/>
      <w:bookmarkStart w:id="1860" w:name="_Toc20903933"/>
      <w:bookmarkStart w:id="1861" w:name="_Toc21078581"/>
      <w:bookmarkStart w:id="1862" w:name="_Toc21080208"/>
      <w:bookmarkStart w:id="1863" w:name="_Toc21353827"/>
      <w:bookmarkStart w:id="1864" w:name="_Toc21354292"/>
      <w:bookmarkStart w:id="1865" w:name="_Toc21446957"/>
      <w:bookmarkStart w:id="1866" w:name="_Toc21447213"/>
      <w:bookmarkStart w:id="1867" w:name="_Toc21447327"/>
      <w:bookmarkStart w:id="1868" w:name="_Toc21447572"/>
      <w:bookmarkStart w:id="1869" w:name="_Toc21447706"/>
      <w:bookmarkStart w:id="1870" w:name="_Toc21510465"/>
      <w:bookmarkStart w:id="1871" w:name="_Toc21511067"/>
      <w:bookmarkStart w:id="1872" w:name="_Toc21523136"/>
      <w:bookmarkStart w:id="1873" w:name="_Toc81993612"/>
      <w:bookmarkStart w:id="1874" w:name="_Ref90564653"/>
      <w:bookmarkStart w:id="1875" w:name="_Ref90565189"/>
      <w:bookmarkStart w:id="1876" w:name="_Ref90565566"/>
      <w:bookmarkStart w:id="1877" w:name="_Ref90565706"/>
      <w:bookmarkStart w:id="1878" w:name="_Toc121339143"/>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1302FA">
        <w:lastRenderedPageBreak/>
        <w:t>Assessment</w:t>
      </w:r>
      <w:r>
        <w:t xml:space="preserve"> </w:t>
      </w:r>
      <w:r w:rsidRPr="00EF172D">
        <w:t>Results</w:t>
      </w:r>
      <w:bookmarkEnd w:id="1873"/>
      <w:bookmarkEnd w:id="1874"/>
      <w:bookmarkEnd w:id="1875"/>
      <w:bookmarkEnd w:id="1876"/>
      <w:bookmarkEnd w:id="1877"/>
      <w:bookmarkEnd w:id="1878"/>
    </w:p>
    <w:p w14:paraId="0BDED51C" w14:textId="7374B2D9" w:rsidR="00FA7C40" w:rsidRPr="00FA7C40" w:rsidRDefault="00CE355E" w:rsidP="001302FA">
      <w:pPr>
        <w:pStyle w:val="Heading2"/>
      </w:pPr>
      <w:bookmarkStart w:id="1879" w:name="_Toc121339144"/>
      <w:r>
        <w:t>SEA Findings</w:t>
      </w:r>
      <w:bookmarkEnd w:id="1879"/>
    </w:p>
    <w:p w14:paraId="3AE7D5BE" w14:textId="23026C08" w:rsidR="00815202" w:rsidRPr="009F6CA2" w:rsidRDefault="00815202" w:rsidP="00D93256">
      <w:pPr>
        <w:pStyle w:val="STPR2BodyText"/>
      </w:pPr>
      <w:r w:rsidRPr="009F6CA2">
        <w:t xml:space="preserve">In order to assess and finalise options for assessment as potential Phase 1 measures, a proportionate approach was developed, considering options that could potentially meet the short-term requirements, whilst being guided by the overall STPR2 options list. </w:t>
      </w:r>
      <w:r w:rsidR="00B81FB6">
        <w:t xml:space="preserve">As stated in </w:t>
      </w:r>
      <w:r w:rsidR="00B81FB6" w:rsidRPr="00234759">
        <w:rPr>
          <w:b/>
          <w:bCs/>
        </w:rPr>
        <w:t>Chapter 1</w:t>
      </w:r>
      <w:r w:rsidR="003C1BA3" w:rsidRPr="00234759">
        <w:rPr>
          <w:b/>
          <w:bCs/>
        </w:rPr>
        <w:t xml:space="preserve"> (Introduction)</w:t>
      </w:r>
      <w:r w:rsidR="00B81FB6">
        <w:t xml:space="preserve">, </w:t>
      </w:r>
      <w:r w:rsidR="00B81FB6" w:rsidRPr="00B81FB6">
        <w:t>Phase 1 was introduced in order to help expedite the development of interventions that could embed, support and extend the increase in travel by sustainable travel modes, and those that could be brought forward to support economic recovery</w:t>
      </w:r>
      <w:r w:rsidR="00B81FB6">
        <w:t xml:space="preserve">. </w:t>
      </w:r>
      <w:r w:rsidRPr="009F6CA2">
        <w:t xml:space="preserve">The assessment approach was based on STAG, adopting a multi-criteria assessment based on each option’s: </w:t>
      </w:r>
    </w:p>
    <w:p w14:paraId="6AFF9B5C" w14:textId="31EA10B3" w:rsidR="00815202" w:rsidRPr="009F6CA2" w:rsidRDefault="00815202" w:rsidP="00D93256">
      <w:pPr>
        <w:pStyle w:val="STPR2BulletsLevel1"/>
      </w:pPr>
      <w:r w:rsidRPr="009F6CA2">
        <w:t xml:space="preserve">Contribution to </w:t>
      </w:r>
      <w:r w:rsidR="001F6502" w:rsidRPr="001F6502">
        <w:t xml:space="preserve">the </w:t>
      </w:r>
      <w:r w:rsidRPr="009F6CA2">
        <w:t>ST</w:t>
      </w:r>
      <w:r w:rsidR="003C2ADA">
        <w:t>P</w:t>
      </w:r>
      <w:r w:rsidRPr="009F6CA2">
        <w:t xml:space="preserve">R2 Objectives (including Environmental and Equality objectives); </w:t>
      </w:r>
    </w:p>
    <w:p w14:paraId="6AF8013F" w14:textId="0009E14A" w:rsidR="00815202" w:rsidRPr="009F6CA2" w:rsidRDefault="00815202" w:rsidP="00D93256">
      <w:pPr>
        <w:pStyle w:val="STPR2BulletsLevel1"/>
      </w:pPr>
      <w:r w:rsidRPr="009F6CA2">
        <w:t xml:space="preserve">Performance against the COVID-19 priorities for short-term measures; </w:t>
      </w:r>
    </w:p>
    <w:p w14:paraId="4754AC39" w14:textId="77777777" w:rsidR="008C7263" w:rsidRPr="009F6CA2" w:rsidRDefault="00815202" w:rsidP="00D93256">
      <w:pPr>
        <w:pStyle w:val="STPR2BulletsLevel1"/>
      </w:pPr>
      <w:r w:rsidRPr="009F6CA2">
        <w:t>Performance of Deliverability criteria (feasibility, affordability and public acceptability).</w:t>
      </w:r>
    </w:p>
    <w:p w14:paraId="165FD48F" w14:textId="77777777" w:rsidR="00815202" w:rsidRPr="009F6CA2" w:rsidRDefault="00815202" w:rsidP="00D93256">
      <w:pPr>
        <w:pStyle w:val="STPR2BodyText"/>
      </w:pPr>
      <w:r w:rsidRPr="009F6CA2">
        <w:t xml:space="preserve">Following this approach, the Phase 1 process resulted in 20 interventions being recommended, against eight themes. </w:t>
      </w:r>
    </w:p>
    <w:p w14:paraId="412BDDF8" w14:textId="2A21060E" w:rsidR="00815202" w:rsidRPr="009F6CA2" w:rsidRDefault="00815202" w:rsidP="00D93256">
      <w:pPr>
        <w:pStyle w:val="STPR2BodyText"/>
      </w:pPr>
      <w:r w:rsidRPr="009F6CA2">
        <w:t xml:space="preserve">A summary of the eight themes and associated interventions recommended from the Phase 1 process is set out within </w:t>
      </w:r>
      <w:r w:rsidR="00531AA2">
        <w:fldChar w:fldCharType="begin"/>
      </w:r>
      <w:r w:rsidR="00531AA2">
        <w:instrText xml:space="preserve"> REF _Ref92991424 \h </w:instrText>
      </w:r>
      <w:r w:rsidR="00531AA2">
        <w:fldChar w:fldCharType="separate"/>
      </w:r>
      <w:r w:rsidR="00C22A9E" w:rsidRPr="00B92CDC">
        <w:t xml:space="preserve">Table </w:t>
      </w:r>
      <w:r w:rsidR="00C22A9E">
        <w:rPr>
          <w:noProof/>
        </w:rPr>
        <w:t>6</w:t>
      </w:r>
      <w:r w:rsidR="00531AA2">
        <w:fldChar w:fldCharType="end"/>
      </w:r>
      <w:r w:rsidRPr="009F6CA2">
        <w:t>. Further details can be found within the STPR2 Update and Phase 1 Recommendations Report</w:t>
      </w:r>
      <w:r w:rsidR="00063908">
        <w:t xml:space="preserve"> </w:t>
      </w:r>
      <w:r w:rsidR="009D10C7">
        <w:t xml:space="preserve">(Jacobs </w:t>
      </w:r>
      <w:r w:rsidR="007F59CB">
        <w:t>AECOM</w:t>
      </w:r>
      <w:r w:rsidR="009D10C7">
        <w:t xml:space="preserve"> 2021a).</w:t>
      </w:r>
    </w:p>
    <w:p w14:paraId="4AEF39D3" w14:textId="7001B156" w:rsidR="00815202" w:rsidRPr="00815202" w:rsidRDefault="00815202" w:rsidP="00D93256">
      <w:pPr>
        <w:pStyle w:val="STPR2Caption"/>
      </w:pPr>
      <w:bookmarkStart w:id="1880" w:name="_Ref84238061"/>
      <w:bookmarkStart w:id="1881" w:name="_Ref92991424"/>
      <w:bookmarkStart w:id="1882" w:name="_Toc121231977"/>
      <w:r w:rsidRPr="00B92CDC">
        <w:t xml:space="preserve">Table </w:t>
      </w:r>
      <w:bookmarkEnd w:id="1880"/>
      <w:r w:rsidR="00E428D4">
        <w:fldChar w:fldCharType="begin"/>
      </w:r>
      <w:r w:rsidR="00E428D4">
        <w:instrText xml:space="preserve"> SEQ Table \* ARABIC </w:instrText>
      </w:r>
      <w:r w:rsidR="00E428D4">
        <w:fldChar w:fldCharType="separate"/>
      </w:r>
      <w:r w:rsidR="00C22A9E">
        <w:rPr>
          <w:noProof/>
        </w:rPr>
        <w:t>6</w:t>
      </w:r>
      <w:r w:rsidR="00E428D4">
        <w:fldChar w:fldCharType="end"/>
      </w:r>
      <w:bookmarkEnd w:id="1881"/>
      <w:r w:rsidR="005679D0">
        <w:t>:</w:t>
      </w:r>
      <w:r w:rsidRPr="00815202">
        <w:t xml:space="preserve"> STPR2 Phase 1 Themes and Recommendations</w:t>
      </w:r>
      <w:bookmarkEnd w:id="1882"/>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01"/>
        <w:gridCol w:w="3757"/>
        <w:gridCol w:w="3370"/>
      </w:tblGrid>
      <w:tr w:rsidR="001302FA" w:rsidRPr="001302FA" w14:paraId="78CFBFB9" w14:textId="77777777" w:rsidTr="001302FA">
        <w:trPr>
          <w:cantSplit/>
          <w:tblHeader/>
        </w:trPr>
        <w:tc>
          <w:tcPr>
            <w:tcW w:w="1299" w:type="pct"/>
            <w:shd w:val="clear" w:color="auto" w:fill="007D55"/>
          </w:tcPr>
          <w:p w14:paraId="568A3F79" w14:textId="77777777" w:rsidR="00815202" w:rsidRPr="001302FA" w:rsidRDefault="00815202" w:rsidP="00D93256">
            <w:pPr>
              <w:pStyle w:val="STPR2WhiteTableHeading"/>
            </w:pPr>
            <w:r w:rsidRPr="001302FA">
              <w:t>STPR2 PHASE 1 THEME</w:t>
            </w:r>
          </w:p>
        </w:tc>
        <w:tc>
          <w:tcPr>
            <w:tcW w:w="1951" w:type="pct"/>
            <w:shd w:val="clear" w:color="auto" w:fill="007D55"/>
          </w:tcPr>
          <w:p w14:paraId="10B1ED69" w14:textId="77777777" w:rsidR="00815202" w:rsidRPr="001302FA" w:rsidRDefault="00815202" w:rsidP="00D93256">
            <w:pPr>
              <w:pStyle w:val="STPR2WhiteTableHeading"/>
            </w:pPr>
            <w:r w:rsidRPr="001302FA">
              <w:t>THEME DESCRIPTION</w:t>
            </w:r>
          </w:p>
        </w:tc>
        <w:tc>
          <w:tcPr>
            <w:tcW w:w="1750" w:type="pct"/>
            <w:shd w:val="clear" w:color="auto" w:fill="007D55"/>
          </w:tcPr>
          <w:p w14:paraId="14ED9091" w14:textId="77777777" w:rsidR="00815202" w:rsidRPr="001302FA" w:rsidRDefault="00815202" w:rsidP="00D93256">
            <w:pPr>
              <w:pStyle w:val="STPR2WhiteTableHeading"/>
            </w:pPr>
            <w:r w:rsidRPr="001302FA">
              <w:t>RECOMMENDATIONS</w:t>
            </w:r>
          </w:p>
        </w:tc>
      </w:tr>
      <w:tr w:rsidR="00815202" w:rsidRPr="00815202" w14:paraId="4033E4AB" w14:textId="77777777" w:rsidTr="00F5199B">
        <w:trPr>
          <w:cantSplit/>
        </w:trPr>
        <w:tc>
          <w:tcPr>
            <w:tcW w:w="1299" w:type="pct"/>
            <w:shd w:val="clear" w:color="auto" w:fill="DCEDC6"/>
          </w:tcPr>
          <w:p w14:paraId="54FB0D1F" w14:textId="77777777" w:rsidR="00815202" w:rsidRPr="009F6CA2" w:rsidRDefault="00815202" w:rsidP="00D93256">
            <w:pPr>
              <w:pStyle w:val="STPR2TableBody"/>
            </w:pPr>
            <w:r w:rsidRPr="009F6CA2">
              <w:t>Supporting smart and sustainable travel across Scotland</w:t>
            </w:r>
          </w:p>
        </w:tc>
        <w:tc>
          <w:tcPr>
            <w:tcW w:w="1951" w:type="pct"/>
            <w:shd w:val="clear" w:color="auto" w:fill="DCEDC6"/>
          </w:tcPr>
          <w:p w14:paraId="3E335446" w14:textId="77777777" w:rsidR="00815202" w:rsidRPr="009F6CA2" w:rsidRDefault="00815202" w:rsidP="00D93256">
            <w:pPr>
              <w:pStyle w:val="STPR2TableBody"/>
            </w:pPr>
            <w:r w:rsidRPr="009F6CA2">
              <w:t>National measures that will support active and sustainable travel choices and placemaking principles</w:t>
            </w:r>
          </w:p>
        </w:tc>
        <w:tc>
          <w:tcPr>
            <w:tcW w:w="1750" w:type="pct"/>
            <w:shd w:val="clear" w:color="auto" w:fill="DCEDC6"/>
          </w:tcPr>
          <w:p w14:paraId="5234DE7D" w14:textId="736892AF" w:rsidR="00815202" w:rsidRPr="009F6CA2" w:rsidRDefault="00815202" w:rsidP="00D93256">
            <w:pPr>
              <w:pStyle w:val="STPR2TableBody"/>
            </w:pPr>
            <w:r w:rsidRPr="009F6CA2">
              <w:t>Development and delivery of</w:t>
            </w:r>
            <w:r w:rsidR="00F5199B">
              <w:t> </w:t>
            </w:r>
            <w:r w:rsidRPr="009F6CA2">
              <w:t>Active Freeways</w:t>
            </w:r>
          </w:p>
          <w:p w14:paraId="5148522D" w14:textId="77777777" w:rsidR="00815202" w:rsidRPr="009F6CA2" w:rsidRDefault="00815202" w:rsidP="00D93256">
            <w:pPr>
              <w:pStyle w:val="STPR2TableBody"/>
            </w:pPr>
            <w:r w:rsidRPr="009F6CA2">
              <w:t>Expansion of 20mph zones</w:t>
            </w:r>
          </w:p>
          <w:p w14:paraId="5E857059" w14:textId="77777777" w:rsidR="00815202" w:rsidRPr="009F6CA2" w:rsidRDefault="00815202" w:rsidP="00D93256">
            <w:pPr>
              <w:pStyle w:val="STPR2TableBody"/>
            </w:pPr>
            <w:r w:rsidRPr="009F6CA2">
              <w:t>Influencing travel choices</w:t>
            </w:r>
          </w:p>
        </w:tc>
      </w:tr>
      <w:tr w:rsidR="00815202" w:rsidRPr="00815202" w14:paraId="67E28A82" w14:textId="77777777" w:rsidTr="00F5199B">
        <w:trPr>
          <w:cantSplit/>
        </w:trPr>
        <w:tc>
          <w:tcPr>
            <w:tcW w:w="1299" w:type="pct"/>
            <w:shd w:val="clear" w:color="auto" w:fill="DCEDC6"/>
          </w:tcPr>
          <w:p w14:paraId="21D841E6" w14:textId="77777777" w:rsidR="00815202" w:rsidRPr="009F6CA2" w:rsidRDefault="00815202" w:rsidP="00D93256">
            <w:pPr>
              <w:pStyle w:val="STPR2TableBody"/>
            </w:pPr>
            <w:r w:rsidRPr="009F6CA2">
              <w:t>Creating smart and sustainable towns and villages</w:t>
            </w:r>
          </w:p>
        </w:tc>
        <w:tc>
          <w:tcPr>
            <w:tcW w:w="1951" w:type="pct"/>
            <w:shd w:val="clear" w:color="auto" w:fill="DCEDC6"/>
          </w:tcPr>
          <w:p w14:paraId="0064DCDD" w14:textId="77777777" w:rsidR="00815202" w:rsidRPr="009F6CA2" w:rsidRDefault="00815202" w:rsidP="00D93256">
            <w:pPr>
              <w:pStyle w:val="STPR2TableBody"/>
            </w:pPr>
            <w:r w:rsidRPr="009F6CA2">
              <w:t>Packages of sustainable transport improvements to enhance attractiveness and sustainability of our towns and villages</w:t>
            </w:r>
          </w:p>
        </w:tc>
        <w:tc>
          <w:tcPr>
            <w:tcW w:w="1750" w:type="pct"/>
            <w:shd w:val="clear" w:color="auto" w:fill="DCEDC6"/>
          </w:tcPr>
          <w:p w14:paraId="3879C8A0" w14:textId="77777777" w:rsidR="00815202" w:rsidRPr="009F6CA2" w:rsidRDefault="00815202" w:rsidP="00D93256">
            <w:pPr>
              <w:pStyle w:val="STPR2TableBody"/>
            </w:pPr>
            <w:r w:rsidRPr="009F6CA2">
              <w:t>Transport’s contribution to placemaking principles in neighbourhoods</w:t>
            </w:r>
          </w:p>
          <w:p w14:paraId="331280C3" w14:textId="77777777" w:rsidR="00815202" w:rsidRPr="009F6CA2" w:rsidRDefault="00815202" w:rsidP="00D93256">
            <w:pPr>
              <w:pStyle w:val="STPR2TableBody"/>
            </w:pPr>
            <w:r w:rsidRPr="009F6CA2">
              <w:t>Guidance and framework for delivering mobility hubs</w:t>
            </w:r>
          </w:p>
        </w:tc>
      </w:tr>
      <w:tr w:rsidR="00815202" w:rsidRPr="00815202" w14:paraId="43965D88" w14:textId="77777777" w:rsidTr="00F5199B">
        <w:trPr>
          <w:cantSplit/>
        </w:trPr>
        <w:tc>
          <w:tcPr>
            <w:tcW w:w="1299" w:type="pct"/>
            <w:shd w:val="clear" w:color="auto" w:fill="DCEDC6"/>
          </w:tcPr>
          <w:p w14:paraId="78E89CFA" w14:textId="77777777" w:rsidR="00815202" w:rsidRPr="009F6CA2" w:rsidRDefault="00815202" w:rsidP="00D93256">
            <w:pPr>
              <w:pStyle w:val="STPR2TableBody"/>
            </w:pPr>
            <w:r w:rsidRPr="009F6CA2">
              <w:t>Improving accessibility in rural and peripheral areas and for vulnerable groups</w:t>
            </w:r>
          </w:p>
        </w:tc>
        <w:tc>
          <w:tcPr>
            <w:tcW w:w="1951" w:type="pct"/>
            <w:shd w:val="clear" w:color="auto" w:fill="DCEDC6"/>
          </w:tcPr>
          <w:p w14:paraId="0EDB1769" w14:textId="77777777" w:rsidR="00815202" w:rsidRPr="009F6CA2" w:rsidRDefault="00815202" w:rsidP="00D93256">
            <w:pPr>
              <w:pStyle w:val="STPR2TableBody"/>
            </w:pPr>
            <w:r w:rsidRPr="009F6CA2">
              <w:t>Improved public transport offering where fixed timetable services do not satisfactorily cover the needs of individuals, including consideration of demand responsive travel</w:t>
            </w:r>
          </w:p>
        </w:tc>
        <w:tc>
          <w:tcPr>
            <w:tcW w:w="1750" w:type="pct"/>
            <w:shd w:val="clear" w:color="auto" w:fill="DCEDC6"/>
          </w:tcPr>
          <w:p w14:paraId="061DE2E7" w14:textId="77777777" w:rsidR="00815202" w:rsidRPr="009F6CA2" w:rsidRDefault="00815202" w:rsidP="00D93256">
            <w:pPr>
              <w:pStyle w:val="STPR2TableBody"/>
            </w:pPr>
            <w:r w:rsidRPr="009F6CA2">
              <w:t>Investment in Demand Responsive Transport and Mobility as a Service</w:t>
            </w:r>
          </w:p>
        </w:tc>
      </w:tr>
      <w:tr w:rsidR="00815202" w:rsidRPr="00815202" w14:paraId="523FB889" w14:textId="77777777" w:rsidTr="00F5199B">
        <w:trPr>
          <w:cantSplit/>
          <w:trHeight w:val="58"/>
        </w:trPr>
        <w:tc>
          <w:tcPr>
            <w:tcW w:w="1299" w:type="pct"/>
            <w:shd w:val="clear" w:color="auto" w:fill="DCEDC6"/>
          </w:tcPr>
          <w:p w14:paraId="7A8F0B49" w14:textId="77777777" w:rsidR="00815202" w:rsidRPr="009F6CA2" w:rsidRDefault="00815202" w:rsidP="00D93256">
            <w:pPr>
              <w:pStyle w:val="STPR2TableBody"/>
            </w:pPr>
            <w:r w:rsidRPr="009F6CA2">
              <w:lastRenderedPageBreak/>
              <w:t>Transforming Cities</w:t>
            </w:r>
          </w:p>
        </w:tc>
        <w:tc>
          <w:tcPr>
            <w:tcW w:w="1951" w:type="pct"/>
            <w:shd w:val="clear" w:color="auto" w:fill="DCEDC6"/>
          </w:tcPr>
          <w:p w14:paraId="5CB0EA67" w14:textId="66CEB607" w:rsidR="00815202" w:rsidRPr="009F6CA2" w:rsidRDefault="00815202" w:rsidP="00D93256">
            <w:pPr>
              <w:pStyle w:val="STPR2TableBody"/>
            </w:pPr>
            <w:r w:rsidRPr="009F6CA2">
              <w:t>Measures that will support active and sustainable travel alongside placemaking principles to help transform cities and neighbourhood centres</w:t>
            </w:r>
          </w:p>
        </w:tc>
        <w:tc>
          <w:tcPr>
            <w:tcW w:w="1750" w:type="pct"/>
            <w:shd w:val="clear" w:color="auto" w:fill="DCEDC6"/>
          </w:tcPr>
          <w:p w14:paraId="0A1D4711" w14:textId="77777777" w:rsidR="00815202" w:rsidRPr="009F6CA2" w:rsidRDefault="00815202" w:rsidP="00D93256">
            <w:pPr>
              <w:pStyle w:val="STPR2TableBody"/>
            </w:pPr>
            <w:r w:rsidRPr="009F6CA2">
              <w:t>Reallocation of road space for active travel</w:t>
            </w:r>
          </w:p>
          <w:p w14:paraId="203BFBE5" w14:textId="77777777" w:rsidR="00815202" w:rsidRPr="009F6CA2" w:rsidRDefault="00815202" w:rsidP="00D93256">
            <w:pPr>
              <w:pStyle w:val="STPR2TableBody"/>
            </w:pPr>
            <w:r w:rsidRPr="009F6CA2">
              <w:t>Enhancing facilities at major rail stations (Rail Station Redevelopment)</w:t>
            </w:r>
          </w:p>
          <w:p w14:paraId="383B33D1" w14:textId="6D1788BB" w:rsidR="00815202" w:rsidRPr="009F6CA2" w:rsidRDefault="00815202" w:rsidP="00D93256">
            <w:pPr>
              <w:pStyle w:val="STPR2TableBody"/>
            </w:pPr>
            <w:r w:rsidRPr="009F6CA2">
              <w:t xml:space="preserve">Development of Glasgow Metro </w:t>
            </w:r>
            <w:r w:rsidR="00FE0420">
              <w:t>and</w:t>
            </w:r>
            <w:r w:rsidRPr="009F6CA2">
              <w:t xml:space="preserve"> Edinburgh Mass Transit strategies</w:t>
            </w:r>
          </w:p>
        </w:tc>
      </w:tr>
      <w:tr w:rsidR="00815202" w:rsidRPr="00815202" w14:paraId="10F529B1" w14:textId="77777777" w:rsidTr="00F5199B">
        <w:trPr>
          <w:cantSplit/>
        </w:trPr>
        <w:tc>
          <w:tcPr>
            <w:tcW w:w="1299" w:type="pct"/>
            <w:shd w:val="clear" w:color="auto" w:fill="DCEDC6"/>
          </w:tcPr>
          <w:p w14:paraId="719730EA" w14:textId="77777777" w:rsidR="00815202" w:rsidRPr="009F6CA2" w:rsidRDefault="00815202" w:rsidP="00D93256">
            <w:pPr>
              <w:pStyle w:val="STPR2TableBody"/>
            </w:pPr>
            <w:r w:rsidRPr="009F6CA2">
              <w:t>Enhancing public transport provision</w:t>
            </w:r>
          </w:p>
        </w:tc>
        <w:tc>
          <w:tcPr>
            <w:tcW w:w="1951" w:type="pct"/>
            <w:shd w:val="clear" w:color="auto" w:fill="DCEDC6"/>
          </w:tcPr>
          <w:p w14:paraId="503C7658" w14:textId="0BA29FE3" w:rsidR="00815202" w:rsidRPr="009F6CA2" w:rsidRDefault="00815202" w:rsidP="00D93256">
            <w:pPr>
              <w:pStyle w:val="STPR2TableBody"/>
            </w:pPr>
            <w:r w:rsidRPr="009F6CA2">
              <w:t>A range of measures to improve the accessibility and reliability of public transport and stimulate a sustainable recovery post COVID</w:t>
            </w:r>
            <w:r w:rsidR="007171A6">
              <w:noBreakHyphen/>
            </w:r>
            <w:r w:rsidRPr="009F6CA2">
              <w:t>19</w:t>
            </w:r>
          </w:p>
        </w:tc>
        <w:tc>
          <w:tcPr>
            <w:tcW w:w="1750" w:type="pct"/>
            <w:shd w:val="clear" w:color="auto" w:fill="DCEDC6"/>
          </w:tcPr>
          <w:p w14:paraId="3A94F931" w14:textId="548E01D5" w:rsidR="00815202" w:rsidRPr="009F6CA2" w:rsidRDefault="00815202" w:rsidP="00D93256">
            <w:pPr>
              <w:pStyle w:val="STPR2TableBody"/>
            </w:pPr>
            <w:r w:rsidRPr="009F6CA2">
              <w:t>Reallocation of road</w:t>
            </w:r>
            <w:r w:rsidR="005C7BB6" w:rsidRPr="009F6CA2">
              <w:t xml:space="preserve"> </w:t>
            </w:r>
            <w:r w:rsidRPr="009F6CA2">
              <w:t>space for buses</w:t>
            </w:r>
          </w:p>
          <w:p w14:paraId="0028A3DF" w14:textId="77777777" w:rsidR="00815202" w:rsidRPr="009F6CA2" w:rsidRDefault="00815202" w:rsidP="00D93256">
            <w:pPr>
              <w:pStyle w:val="STPR2TableBody"/>
            </w:pPr>
            <w:r w:rsidRPr="009F6CA2">
              <w:t>Supporting integrated journeys at ferry terminals</w:t>
            </w:r>
          </w:p>
          <w:p w14:paraId="32235809" w14:textId="77777777" w:rsidR="00815202" w:rsidRPr="009F6CA2" w:rsidRDefault="00815202" w:rsidP="00D93256">
            <w:pPr>
              <w:pStyle w:val="STPR2TableBody"/>
            </w:pPr>
            <w:r w:rsidRPr="009F6CA2">
              <w:t>Infrastructure to provide access for all at rail stations</w:t>
            </w:r>
          </w:p>
        </w:tc>
      </w:tr>
      <w:tr w:rsidR="00815202" w:rsidRPr="00815202" w14:paraId="1E0FFD8E" w14:textId="77777777" w:rsidTr="00F5199B">
        <w:trPr>
          <w:cantSplit/>
        </w:trPr>
        <w:tc>
          <w:tcPr>
            <w:tcW w:w="1299" w:type="pct"/>
            <w:shd w:val="clear" w:color="auto" w:fill="DCEDC6"/>
          </w:tcPr>
          <w:p w14:paraId="284D13B0" w14:textId="77777777" w:rsidR="00815202" w:rsidRPr="009F6CA2" w:rsidRDefault="00815202" w:rsidP="00D93256">
            <w:pPr>
              <w:pStyle w:val="STPR2TableBody"/>
            </w:pPr>
            <w:r w:rsidRPr="009F6CA2">
              <w:t>Supporting transition to low-carbon transport</w:t>
            </w:r>
          </w:p>
        </w:tc>
        <w:tc>
          <w:tcPr>
            <w:tcW w:w="1951" w:type="pct"/>
            <w:shd w:val="clear" w:color="auto" w:fill="DCEDC6"/>
          </w:tcPr>
          <w:p w14:paraId="2FF91D1B" w14:textId="77777777" w:rsidR="00815202" w:rsidRPr="009F6CA2" w:rsidRDefault="00815202" w:rsidP="00D93256">
            <w:pPr>
              <w:pStyle w:val="STPR2TableBody"/>
            </w:pPr>
            <w:r w:rsidRPr="009F6CA2">
              <w:t>Measures that will increase the development and further transition of Scotland’s transport fleet to low carbon</w:t>
            </w:r>
          </w:p>
        </w:tc>
        <w:tc>
          <w:tcPr>
            <w:tcW w:w="1750" w:type="pct"/>
            <w:shd w:val="clear" w:color="auto" w:fill="DCEDC6"/>
          </w:tcPr>
          <w:p w14:paraId="02DE6A4E" w14:textId="77777777" w:rsidR="00815202" w:rsidRPr="009F6CA2" w:rsidRDefault="00815202" w:rsidP="00D93256">
            <w:pPr>
              <w:pStyle w:val="STPR2TableBody"/>
            </w:pPr>
            <w:r w:rsidRPr="009F6CA2">
              <w:t>Investment in low carbon and alternative fuel transport systems</w:t>
            </w:r>
          </w:p>
          <w:p w14:paraId="29A0EF7B" w14:textId="77777777" w:rsidR="00815202" w:rsidRPr="009F6CA2" w:rsidRDefault="00815202" w:rsidP="00D93256">
            <w:pPr>
              <w:pStyle w:val="STPR2TableBody"/>
            </w:pPr>
            <w:r w:rsidRPr="009F6CA2">
              <w:t>Delivery of Rail Decarbonisation Programme (Phase 1)</w:t>
            </w:r>
          </w:p>
        </w:tc>
      </w:tr>
      <w:tr w:rsidR="00815202" w:rsidRPr="00815202" w14:paraId="14A993C5" w14:textId="77777777" w:rsidTr="00F5199B">
        <w:trPr>
          <w:cantSplit/>
        </w:trPr>
        <w:tc>
          <w:tcPr>
            <w:tcW w:w="1299" w:type="pct"/>
            <w:shd w:val="clear" w:color="auto" w:fill="DCEDC6"/>
          </w:tcPr>
          <w:p w14:paraId="667F0015" w14:textId="77777777" w:rsidR="00815202" w:rsidRPr="009F6CA2" w:rsidRDefault="00815202" w:rsidP="00D93256">
            <w:pPr>
              <w:pStyle w:val="STPR2TableBody"/>
            </w:pPr>
            <w:r w:rsidRPr="009F6CA2">
              <w:t>Supporting a viable freight industry</w:t>
            </w:r>
          </w:p>
        </w:tc>
        <w:tc>
          <w:tcPr>
            <w:tcW w:w="1951" w:type="pct"/>
            <w:shd w:val="clear" w:color="auto" w:fill="DCEDC6"/>
          </w:tcPr>
          <w:p w14:paraId="31331B1E" w14:textId="77777777" w:rsidR="00815202" w:rsidRPr="009F6CA2" w:rsidRDefault="00815202" w:rsidP="00D93256">
            <w:pPr>
              <w:pStyle w:val="STPR2TableBody"/>
            </w:pPr>
            <w:r w:rsidRPr="009F6CA2">
              <w:t>Measures to improve conditions for the freight and haulage industry to deliver a modal shift</w:t>
            </w:r>
          </w:p>
        </w:tc>
        <w:tc>
          <w:tcPr>
            <w:tcW w:w="1750" w:type="pct"/>
            <w:shd w:val="clear" w:color="auto" w:fill="DCEDC6"/>
          </w:tcPr>
          <w:p w14:paraId="10A4208C" w14:textId="4AC1C8E7" w:rsidR="00815202" w:rsidRPr="009F6CA2" w:rsidRDefault="00815202" w:rsidP="00D93256">
            <w:pPr>
              <w:pStyle w:val="STPR2TableBody"/>
            </w:pPr>
            <w:r w:rsidRPr="009F6CA2">
              <w:t>Strategy for improving rest and welfare facilities for</w:t>
            </w:r>
            <w:r w:rsidR="007171A6">
              <w:t> </w:t>
            </w:r>
            <w:r w:rsidRPr="009F6CA2">
              <w:t>hauliers</w:t>
            </w:r>
          </w:p>
          <w:p w14:paraId="03815BC0" w14:textId="77777777" w:rsidR="00815202" w:rsidRPr="009F6CA2" w:rsidRDefault="00815202" w:rsidP="00D93256">
            <w:pPr>
              <w:pStyle w:val="STPR2TableBody"/>
            </w:pPr>
            <w:r w:rsidRPr="009F6CA2">
              <w:t>Infrastructure to encourage rail freight</w:t>
            </w:r>
          </w:p>
        </w:tc>
      </w:tr>
      <w:tr w:rsidR="00815202" w:rsidRPr="00815202" w14:paraId="6B504652" w14:textId="77777777" w:rsidTr="00F5199B">
        <w:trPr>
          <w:cantSplit/>
        </w:trPr>
        <w:tc>
          <w:tcPr>
            <w:tcW w:w="1299" w:type="pct"/>
            <w:shd w:val="clear" w:color="auto" w:fill="DCEDC6"/>
          </w:tcPr>
          <w:p w14:paraId="489696D3" w14:textId="77777777" w:rsidR="00815202" w:rsidRPr="009F6CA2" w:rsidRDefault="00815202" w:rsidP="00D93256">
            <w:pPr>
              <w:pStyle w:val="STPR2TableBody"/>
            </w:pPr>
            <w:r w:rsidRPr="009F6CA2">
              <w:t>Enhancing safety and resilience on the strategic transport network</w:t>
            </w:r>
          </w:p>
        </w:tc>
        <w:tc>
          <w:tcPr>
            <w:tcW w:w="1951" w:type="pct"/>
            <w:shd w:val="clear" w:color="auto" w:fill="DCEDC6"/>
          </w:tcPr>
          <w:p w14:paraId="54250793" w14:textId="77777777" w:rsidR="00815202" w:rsidRPr="009F6CA2" w:rsidRDefault="00815202" w:rsidP="00D93256">
            <w:pPr>
              <w:pStyle w:val="STPR2TableBody"/>
            </w:pPr>
            <w:r w:rsidRPr="009F6CA2">
              <w:t>Package of measures on the strategic transport network focusing on improving safety and resilience</w:t>
            </w:r>
          </w:p>
        </w:tc>
        <w:tc>
          <w:tcPr>
            <w:tcW w:w="1750" w:type="pct"/>
            <w:shd w:val="clear" w:color="auto" w:fill="DCEDC6"/>
          </w:tcPr>
          <w:p w14:paraId="2BA073F6" w14:textId="77777777" w:rsidR="00815202" w:rsidRPr="009F6CA2" w:rsidRDefault="00815202" w:rsidP="00D93256">
            <w:pPr>
              <w:pStyle w:val="STPR2TableBody"/>
            </w:pPr>
            <w:r w:rsidRPr="009F6CA2">
              <w:t>Investment in the trunk road network asset</w:t>
            </w:r>
          </w:p>
          <w:p w14:paraId="458D6AE0" w14:textId="77777777" w:rsidR="00815202" w:rsidRPr="009F6CA2" w:rsidRDefault="00815202" w:rsidP="00D93256">
            <w:pPr>
              <w:pStyle w:val="STPR2TableBody"/>
            </w:pPr>
            <w:r w:rsidRPr="009F6CA2">
              <w:t>Access to Argyll and Bute (A83)</w:t>
            </w:r>
          </w:p>
          <w:p w14:paraId="5D49EA4A" w14:textId="7F84824E" w:rsidR="00815202" w:rsidRPr="009F6CA2" w:rsidRDefault="00815202" w:rsidP="00D93256">
            <w:pPr>
              <w:pStyle w:val="STPR2TableBody"/>
            </w:pPr>
            <w:r w:rsidRPr="009F6CA2">
              <w:t>Investment in ferries and</w:t>
            </w:r>
            <w:r w:rsidR="007171A6">
              <w:t> </w:t>
            </w:r>
            <w:r w:rsidRPr="009F6CA2">
              <w:t>ports</w:t>
            </w:r>
          </w:p>
          <w:p w14:paraId="77AE0DB1" w14:textId="77777777" w:rsidR="00815202" w:rsidRPr="009F6CA2" w:rsidRDefault="00815202" w:rsidP="00D93256">
            <w:pPr>
              <w:pStyle w:val="STPR2TableBody"/>
            </w:pPr>
            <w:r w:rsidRPr="009F6CA2">
              <w:t>Speed Management Plan</w:t>
            </w:r>
          </w:p>
        </w:tc>
      </w:tr>
    </w:tbl>
    <w:p w14:paraId="70050A06" w14:textId="700D6162" w:rsidR="00815202" w:rsidRPr="009F6CA2" w:rsidRDefault="00815202" w:rsidP="00D93256">
      <w:pPr>
        <w:pStyle w:val="STPR2BodyText"/>
      </w:pPr>
      <w:r w:rsidRPr="009F6CA2">
        <w:t>Since the publication of the Phase 1 Report, further work has been carried out to provide additional detail against some of the recommendations list</w:t>
      </w:r>
      <w:r w:rsidR="005A7910" w:rsidRPr="009F6CA2">
        <w:t>ed</w:t>
      </w:r>
      <w:r w:rsidRPr="009F6CA2">
        <w:t xml:space="preserve"> above, and </w:t>
      </w:r>
      <w:r w:rsidR="00ED4E5F" w:rsidRPr="009F6CA2">
        <w:t>these have been considered</w:t>
      </w:r>
      <w:r w:rsidRPr="009F6CA2">
        <w:t xml:space="preserve"> within </w:t>
      </w:r>
      <w:r w:rsidR="00ED4E5F" w:rsidRPr="009F6CA2">
        <w:t xml:space="preserve">the SEA findings presented in </w:t>
      </w:r>
      <w:r w:rsidR="00897FC9" w:rsidRPr="009F6CA2">
        <w:rPr>
          <w:b/>
          <w:bCs/>
        </w:rPr>
        <w:t>S</w:t>
      </w:r>
      <w:r w:rsidR="00ED4E5F" w:rsidRPr="009F6CA2">
        <w:rPr>
          <w:b/>
          <w:bCs/>
        </w:rPr>
        <w:t xml:space="preserve">ection </w:t>
      </w:r>
      <w:r w:rsidR="00DA4FCA" w:rsidRPr="009F6CA2">
        <w:rPr>
          <w:b/>
          <w:bCs/>
        </w:rPr>
        <w:fldChar w:fldCharType="begin"/>
      </w:r>
      <w:r w:rsidR="00DA4FCA" w:rsidRPr="009F6CA2">
        <w:rPr>
          <w:b/>
          <w:bCs/>
        </w:rPr>
        <w:instrText xml:space="preserve"> REF _Ref90565242 \r \h </w:instrText>
      </w:r>
      <w:r w:rsidR="009F6CA2" w:rsidRPr="009F6CA2">
        <w:rPr>
          <w:b/>
          <w:bCs/>
        </w:rPr>
        <w:instrText xml:space="preserve"> \* MERGEFORMAT </w:instrText>
      </w:r>
      <w:r w:rsidR="00DA4FCA" w:rsidRPr="009F6CA2">
        <w:rPr>
          <w:b/>
          <w:bCs/>
        </w:rPr>
      </w:r>
      <w:r w:rsidR="00DA4FCA" w:rsidRPr="009F6CA2">
        <w:rPr>
          <w:b/>
          <w:bCs/>
        </w:rPr>
        <w:fldChar w:fldCharType="separate"/>
      </w:r>
      <w:r w:rsidR="00C22A9E" w:rsidRPr="00C22A9E">
        <w:rPr>
          <w:b/>
        </w:rPr>
        <w:t>8.3</w:t>
      </w:r>
      <w:r w:rsidR="00DA4FCA" w:rsidRPr="009F6CA2">
        <w:rPr>
          <w:b/>
          <w:bCs/>
        </w:rPr>
        <w:fldChar w:fldCharType="end"/>
      </w:r>
      <w:r w:rsidR="00897FC9" w:rsidRPr="009F6CA2">
        <w:rPr>
          <w:b/>
          <w:bCs/>
        </w:rPr>
        <w:t>.</w:t>
      </w:r>
    </w:p>
    <w:p w14:paraId="7EA242BF" w14:textId="0C7271DE" w:rsidR="00FA7C40" w:rsidRPr="009F6CA2" w:rsidRDefault="004A2002" w:rsidP="00D93256">
      <w:pPr>
        <w:pStyle w:val="STPR2BodyText"/>
      </w:pPr>
      <w:r w:rsidRPr="009F6CA2">
        <w:t>The SEA undertook a</w:t>
      </w:r>
      <w:r w:rsidR="00FA7C40" w:rsidRPr="009F6CA2">
        <w:t xml:space="preserve"> high-level review of the key STPR2 Phase 1 themes and recommended interventions</w:t>
      </w:r>
      <w:r w:rsidR="000137CD" w:rsidRPr="009F6CA2">
        <w:t>. This was</w:t>
      </w:r>
      <w:r w:rsidR="00FA7C40" w:rsidRPr="009F6CA2">
        <w:t xml:space="preserve"> undertaken to identify whether they each align with </w:t>
      </w:r>
      <w:r w:rsidR="00BD6270" w:rsidRPr="00BD6270">
        <w:t xml:space="preserve">the </w:t>
      </w:r>
      <w:r w:rsidR="00FA7C40" w:rsidRPr="009F6CA2">
        <w:t xml:space="preserve">NTS2 and IIP and likely compatibilities / incompatibilities with the SEA objectives. </w:t>
      </w:r>
    </w:p>
    <w:p w14:paraId="31E7A6B4" w14:textId="7A382428" w:rsidR="00FA7C40" w:rsidRPr="009F6CA2" w:rsidRDefault="00FA7C40" w:rsidP="00D93256">
      <w:pPr>
        <w:pStyle w:val="STPR2BodyText"/>
      </w:pPr>
      <w:r w:rsidRPr="009F6CA2">
        <w:t xml:space="preserve">This high-level review identified that each of the current STPR2 themes and most of the interventions largely align with priorities and key themes set out within </w:t>
      </w:r>
      <w:r w:rsidR="00BD6270" w:rsidRPr="00BD6270">
        <w:t xml:space="preserve">the </w:t>
      </w:r>
      <w:r w:rsidRPr="009F6CA2">
        <w:t xml:space="preserve">NTS2, IIP and </w:t>
      </w:r>
      <w:r w:rsidRPr="009F6CA2">
        <w:lastRenderedPageBreak/>
        <w:t xml:space="preserve">the STPR2 SEA objectives. </w:t>
      </w:r>
    </w:p>
    <w:p w14:paraId="31207D77" w14:textId="1A0746B2" w:rsidR="009F17F5" w:rsidRPr="009F6CA2" w:rsidRDefault="00FA7C40" w:rsidP="00D93256">
      <w:pPr>
        <w:pStyle w:val="STPR2BodyText"/>
      </w:pPr>
      <w:r w:rsidRPr="009F6CA2">
        <w:t>A secondary scoping of each of the themes and interventions was undertaken to consider potential for significant environmental effects. This determined that a number of the interventions need further detail before they can be assessed. A small number of these interventions were highlighted at this stage as having potential for significant effects on the achievement of the SEA objectives. These interventions have been subject to further consideration and assessment in the SEA. It is noted that for each of these interventions, there is potential for a positive contribution to the achievement of SEA objectives for air quality, climatic factors and population and human health. However, there is uncertainty regarding the potential for some interventions to detract from SEA objectives, depending on their physical location.</w:t>
      </w:r>
      <w:r w:rsidR="00F424AC" w:rsidRPr="00F424AC">
        <w:t xml:space="preserve"> Some interventions will also require Environmental Impact Assessment at the project level.</w:t>
      </w:r>
    </w:p>
    <w:p w14:paraId="2E8B5DF5" w14:textId="741D7901" w:rsidR="00E2074A" w:rsidRPr="001302FA" w:rsidRDefault="00E76973" w:rsidP="001302FA">
      <w:pPr>
        <w:pStyle w:val="Heading2"/>
      </w:pPr>
      <w:bookmarkStart w:id="1883" w:name="_Toc121339145"/>
      <w:r w:rsidRPr="001302FA">
        <w:t>Detailed Appraisal Stage</w:t>
      </w:r>
      <w:r w:rsidR="00FF1D12" w:rsidRPr="001302FA">
        <w:t xml:space="preserve"> Assessment</w:t>
      </w:r>
      <w:bookmarkEnd w:id="1883"/>
    </w:p>
    <w:p w14:paraId="1302D61C" w14:textId="46029E3E" w:rsidR="00E76973" w:rsidRPr="00371D33" w:rsidRDefault="00E76973" w:rsidP="00D93256">
      <w:pPr>
        <w:pStyle w:val="STPR2BodyText"/>
      </w:pPr>
      <w:r w:rsidRPr="003C06C1">
        <w:rPr>
          <w:b/>
          <w:bCs/>
        </w:rPr>
        <w:t>Section</w:t>
      </w:r>
      <w:r w:rsidR="007829F7" w:rsidRPr="00371D33">
        <w:t xml:space="preserve"> </w:t>
      </w:r>
      <w:r w:rsidR="00DF3476" w:rsidRPr="0080407C">
        <w:rPr>
          <w:b/>
        </w:rPr>
        <w:fldChar w:fldCharType="begin"/>
      </w:r>
      <w:r w:rsidR="00DF3476" w:rsidRPr="0080407C">
        <w:rPr>
          <w:b/>
        </w:rPr>
        <w:instrText xml:space="preserve"> REF _Ref90565853 \r \h </w:instrText>
      </w:r>
      <w:r w:rsidR="00371D33" w:rsidRPr="0080407C">
        <w:rPr>
          <w:b/>
        </w:rPr>
        <w:instrText xml:space="preserve"> \* MERGEFORMAT </w:instrText>
      </w:r>
      <w:r w:rsidR="00DF3476" w:rsidRPr="0080407C">
        <w:rPr>
          <w:b/>
        </w:rPr>
      </w:r>
      <w:r w:rsidR="00DF3476" w:rsidRPr="0080407C">
        <w:rPr>
          <w:b/>
        </w:rPr>
        <w:fldChar w:fldCharType="separate"/>
      </w:r>
      <w:r w:rsidR="00C22A9E">
        <w:rPr>
          <w:b/>
        </w:rPr>
        <w:t>8.3</w:t>
      </w:r>
      <w:r w:rsidR="00DF3476" w:rsidRPr="0080407C">
        <w:rPr>
          <w:b/>
        </w:rPr>
        <w:fldChar w:fldCharType="end"/>
      </w:r>
      <w:r w:rsidR="007829F7" w:rsidRPr="00371D33">
        <w:t xml:space="preserve"> </w:t>
      </w:r>
      <w:r w:rsidR="00396F5F" w:rsidRPr="00371D33">
        <w:t>summarise</w:t>
      </w:r>
      <w:r w:rsidR="00527E27" w:rsidRPr="00371D33">
        <w:t>s</w:t>
      </w:r>
      <w:r w:rsidR="007829F7" w:rsidRPr="00371D33">
        <w:t xml:space="preserve"> the </w:t>
      </w:r>
      <w:r w:rsidR="00DE130C" w:rsidRPr="00371D33">
        <w:t>D</w:t>
      </w:r>
      <w:r w:rsidR="00396F5F" w:rsidRPr="00371D33">
        <w:t xml:space="preserve">etailed </w:t>
      </w:r>
      <w:r w:rsidR="00003EB1" w:rsidRPr="00371D33">
        <w:t xml:space="preserve">Appraisal stage </w:t>
      </w:r>
      <w:r w:rsidR="007829F7" w:rsidRPr="00371D33">
        <w:t>assessment</w:t>
      </w:r>
      <w:r w:rsidR="00396F5F" w:rsidRPr="00371D33">
        <w:t xml:space="preserve"> </w:t>
      </w:r>
      <w:r w:rsidR="00303BFB" w:rsidRPr="00371D33">
        <w:t xml:space="preserve">of </w:t>
      </w:r>
      <w:r w:rsidR="005258C0" w:rsidRPr="00371D33">
        <w:t xml:space="preserve">the final packages of interventions </w:t>
      </w:r>
      <w:r w:rsidR="00396F5F" w:rsidRPr="00371D33">
        <w:t xml:space="preserve">provided as </w:t>
      </w:r>
      <w:r w:rsidR="00396F5F" w:rsidRPr="00371D33">
        <w:rPr>
          <w:b/>
          <w:bCs/>
        </w:rPr>
        <w:t>Appendix F</w:t>
      </w:r>
      <w:r w:rsidR="00C53A20" w:rsidRPr="00371D33">
        <w:rPr>
          <w:b/>
          <w:bCs/>
        </w:rPr>
        <w:t xml:space="preserve"> (Assessment Matrices)</w:t>
      </w:r>
      <w:r w:rsidR="00396F5F" w:rsidRPr="00371D33">
        <w:rPr>
          <w:b/>
          <w:bCs/>
        </w:rPr>
        <w:t>.</w:t>
      </w:r>
      <w:r w:rsidR="00FD2185" w:rsidRPr="00371D33">
        <w:t xml:space="preserve"> These are summarised </w:t>
      </w:r>
      <w:r w:rsidR="000E1C3B">
        <w:t>for</w:t>
      </w:r>
      <w:r w:rsidR="00FD2185" w:rsidRPr="00371D33">
        <w:t xml:space="preserve"> each of the SEA topics</w:t>
      </w:r>
      <w:r w:rsidR="00527E27" w:rsidRPr="00371D33">
        <w:t>. Assessment</w:t>
      </w:r>
      <w:r w:rsidR="00FD2185" w:rsidRPr="00371D33">
        <w:t xml:space="preserve"> summaries for each of the</w:t>
      </w:r>
      <w:r w:rsidR="000E1C3B">
        <w:t xml:space="preserve"> 11</w:t>
      </w:r>
      <w:r w:rsidR="00FD2185" w:rsidRPr="00371D33">
        <w:t xml:space="preserve"> STPR2 regions</w:t>
      </w:r>
      <w:r w:rsidR="00527E27" w:rsidRPr="00371D33">
        <w:t xml:space="preserve"> are provided in </w:t>
      </w:r>
      <w:r w:rsidR="000144C4" w:rsidRPr="00371D33">
        <w:rPr>
          <w:b/>
          <w:bCs/>
        </w:rPr>
        <w:t>Appendix D</w:t>
      </w:r>
      <w:r w:rsidR="00593E13" w:rsidRPr="00371D33">
        <w:rPr>
          <w:b/>
          <w:bCs/>
        </w:rPr>
        <w:t xml:space="preserve"> (Regional Environmental Summaries)</w:t>
      </w:r>
      <w:r w:rsidR="00FD2185" w:rsidRPr="00371D33">
        <w:rPr>
          <w:b/>
          <w:bCs/>
        </w:rPr>
        <w:t>.</w:t>
      </w:r>
      <w:r w:rsidR="00B44E3B" w:rsidRPr="00371D33">
        <w:t xml:space="preserve"> The regional assessment summaries are also derived from the detailed assessment provided as </w:t>
      </w:r>
      <w:r w:rsidR="00B44E3B" w:rsidRPr="00371D33">
        <w:rPr>
          <w:b/>
          <w:bCs/>
        </w:rPr>
        <w:t>Appendix F</w:t>
      </w:r>
      <w:r w:rsidR="00C53A20" w:rsidRPr="00371D33">
        <w:rPr>
          <w:b/>
          <w:bCs/>
        </w:rPr>
        <w:t xml:space="preserve"> (Assessment Matrices)</w:t>
      </w:r>
      <w:r w:rsidR="00B44E3B" w:rsidRPr="00371D33">
        <w:rPr>
          <w:b/>
          <w:bCs/>
        </w:rPr>
        <w:t>.</w:t>
      </w:r>
    </w:p>
    <w:p w14:paraId="18AAC8ED" w14:textId="069BE7A8" w:rsidR="000E75FE" w:rsidRPr="00371D33" w:rsidRDefault="000E75FE" w:rsidP="00D93256">
      <w:pPr>
        <w:pStyle w:val="STPR2BodyText"/>
      </w:pPr>
      <w:r w:rsidRPr="00371D33">
        <w:rPr>
          <w:b/>
          <w:bCs/>
        </w:rPr>
        <w:t xml:space="preserve">Section </w:t>
      </w:r>
      <w:r w:rsidR="00DA4FCA" w:rsidRPr="00371D33">
        <w:rPr>
          <w:b/>
          <w:bCs/>
        </w:rPr>
        <w:fldChar w:fldCharType="begin"/>
      </w:r>
      <w:r w:rsidR="00DA4FCA" w:rsidRPr="00371D33">
        <w:rPr>
          <w:b/>
          <w:bCs/>
        </w:rPr>
        <w:instrText xml:space="preserve"> REF _Ref90565256 \r \h </w:instrText>
      </w:r>
      <w:r w:rsidR="00371D33" w:rsidRPr="00371D33">
        <w:rPr>
          <w:b/>
          <w:bCs/>
        </w:rPr>
        <w:instrText xml:space="preserve"> \* MERGEFORMAT </w:instrText>
      </w:r>
      <w:r w:rsidR="00DA4FCA" w:rsidRPr="00371D33">
        <w:rPr>
          <w:b/>
          <w:bCs/>
        </w:rPr>
      </w:r>
      <w:r w:rsidR="00DA4FCA" w:rsidRPr="00371D33">
        <w:rPr>
          <w:b/>
          <w:bCs/>
        </w:rPr>
        <w:fldChar w:fldCharType="separate"/>
      </w:r>
      <w:r w:rsidR="00C22A9E" w:rsidRPr="00C22A9E">
        <w:rPr>
          <w:b/>
        </w:rPr>
        <w:t>8.4</w:t>
      </w:r>
      <w:r w:rsidR="00DA4FCA" w:rsidRPr="00371D33">
        <w:rPr>
          <w:b/>
          <w:bCs/>
        </w:rPr>
        <w:fldChar w:fldCharType="end"/>
      </w:r>
      <w:r w:rsidRPr="00371D33">
        <w:t xml:space="preserve"> summarises the</w:t>
      </w:r>
      <w:r w:rsidR="0060242B" w:rsidRPr="00371D33">
        <w:t xml:space="preserve"> compatibility</w:t>
      </w:r>
      <w:r w:rsidRPr="00371D33">
        <w:t xml:space="preserve"> assessment of </w:t>
      </w:r>
      <w:r w:rsidR="008248E6" w:rsidRPr="00371D33">
        <w:t>the final 4</w:t>
      </w:r>
      <w:r w:rsidR="004E431A">
        <w:t>5</w:t>
      </w:r>
      <w:r w:rsidR="008248E6" w:rsidRPr="00371D33">
        <w:t xml:space="preserve"> STPR2 recommendations</w:t>
      </w:r>
      <w:r w:rsidR="0060242B" w:rsidRPr="00371D33">
        <w:t xml:space="preserve"> against the SEA Objectives</w:t>
      </w:r>
      <w:r w:rsidR="008248E6" w:rsidRPr="00371D33">
        <w:t>.</w:t>
      </w:r>
    </w:p>
    <w:p w14:paraId="000450B0" w14:textId="03A2351F" w:rsidR="004C305C" w:rsidRDefault="00DE130C" w:rsidP="0033560A">
      <w:pPr>
        <w:pStyle w:val="Heading2"/>
      </w:pPr>
      <w:bookmarkStart w:id="1884" w:name="_Ref90565242"/>
      <w:bookmarkStart w:id="1885" w:name="_Ref90565853"/>
      <w:bookmarkStart w:id="1886" w:name="_Toc121339146"/>
      <w:r>
        <w:t xml:space="preserve">Detailed Appraisal: </w:t>
      </w:r>
      <w:r w:rsidR="00C43858">
        <w:t>Cumulative effects by SEA Topic</w:t>
      </w:r>
      <w:bookmarkEnd w:id="1884"/>
      <w:bookmarkEnd w:id="1885"/>
      <w:bookmarkEnd w:id="1886"/>
    </w:p>
    <w:p w14:paraId="6862BFA0" w14:textId="3E9D4310" w:rsidR="000E3DE1" w:rsidRPr="001302FA" w:rsidRDefault="000E3DE1" w:rsidP="00115E65">
      <w:pPr>
        <w:pStyle w:val="Heading3"/>
      </w:pPr>
      <w:bookmarkStart w:id="1887" w:name="_Toc121339147"/>
      <w:r w:rsidRPr="001302FA">
        <w:t>Climatic factors</w:t>
      </w:r>
      <w:bookmarkEnd w:id="1887"/>
    </w:p>
    <w:p w14:paraId="67AA19C7" w14:textId="2E34159C" w:rsidR="00FC1CD8" w:rsidRDefault="005D483E" w:rsidP="00D93256">
      <w:pPr>
        <w:pStyle w:val="STPR2BodyText"/>
      </w:pPr>
      <w:r>
        <w:t xml:space="preserve">Overall, most of the </w:t>
      </w:r>
      <w:r w:rsidR="00A71C03">
        <w:t>recommendations</w:t>
      </w:r>
      <w:r>
        <w:t xml:space="preserve"> are anticipated to result in minor positive effects on reducing greenhouse gas emissions as the interventions proposed seek to promote a modal shift to more sustainable transport options. Specifically, </w:t>
      </w:r>
      <w:r w:rsidR="009C6D23">
        <w:t xml:space="preserve">the </w:t>
      </w:r>
      <w:r w:rsidR="00A320BD">
        <w:t>r</w:t>
      </w:r>
      <w:r>
        <w:t xml:space="preserve">ail and </w:t>
      </w:r>
      <w:r w:rsidR="00A320BD">
        <w:t>b</w:t>
      </w:r>
      <w:r>
        <w:t xml:space="preserve">us interventions </w:t>
      </w:r>
      <w:r w:rsidR="00070BFC">
        <w:t xml:space="preserve">proposed </w:t>
      </w:r>
      <w:r>
        <w:t>will also help reduce emissions from Scotland's transport sector through the decarbonisation of the rail and bus networks respectively. Th</w:t>
      </w:r>
      <w:r w:rsidR="00534351">
        <w:t>ese interventions</w:t>
      </w:r>
      <w:r>
        <w:t xml:space="preserve"> will </w:t>
      </w:r>
      <w:r w:rsidR="00D0484B">
        <w:t xml:space="preserve">also </w:t>
      </w:r>
      <w:r>
        <w:t>contribute to the achievement of Scotland's CO</w:t>
      </w:r>
      <w:r w:rsidRPr="002B729F">
        <w:rPr>
          <w:vertAlign w:val="subscript"/>
        </w:rPr>
        <w:t>2</w:t>
      </w:r>
      <w:r>
        <w:t xml:space="preserve"> emissions reduction target of net zero by 2045, whilst promoting and supporting the best use of clean fuels and technologies.</w:t>
      </w:r>
      <w:r w:rsidR="00F839AF">
        <w:t xml:space="preserve"> </w:t>
      </w:r>
      <w:r w:rsidR="00A320BD" w:rsidRPr="00A320BD">
        <w:t>Some of the interventions related to safety and resilience and strengthening strategic connections are anticipated to result in uncertain effects on greenhouse gas emissions as they are not likely to encourage modal shift</w:t>
      </w:r>
      <w:r w:rsidR="00FC1CD8" w:rsidRPr="00FC1CD8">
        <w:t xml:space="preserve">. </w:t>
      </w:r>
      <w:bookmarkStart w:id="1888" w:name="_Hlk93222534"/>
      <w:r w:rsidR="00FC1CD8" w:rsidRPr="00FC1CD8">
        <w:t xml:space="preserve">In addition, some of the new fixed links </w:t>
      </w:r>
      <w:r w:rsidR="00AA744D" w:rsidRPr="00AA744D">
        <w:t>recommendations</w:t>
      </w:r>
      <w:r w:rsidR="00FC1CD8" w:rsidRPr="00FC1CD8">
        <w:t xml:space="preserve"> have the potential to increase motorised traffic to and from the mainland, potentially increasing emissions. </w:t>
      </w:r>
      <w:bookmarkStart w:id="1889" w:name="_Hlk93222586"/>
      <w:bookmarkEnd w:id="1888"/>
      <w:r w:rsidR="00FC1CD8" w:rsidRPr="00FC1CD8">
        <w:t>However, the decarbonisation of ferry networks is likely to result in major positive effects on reducing greenhouse gas emissions as this will directly contribute to the achievement of Scotland's CO</w:t>
      </w:r>
      <w:r w:rsidR="00FC1CD8" w:rsidRPr="00FC1CD8">
        <w:rPr>
          <w:vertAlign w:val="subscript"/>
        </w:rPr>
        <w:t>2</w:t>
      </w:r>
      <w:r w:rsidR="00FC1CD8" w:rsidRPr="00FC1CD8">
        <w:t xml:space="preserve"> emissions reduction target.</w:t>
      </w:r>
      <w:bookmarkEnd w:id="1889"/>
      <w:r w:rsidR="00FC1CD8" w:rsidRPr="00FC1CD8">
        <w:t xml:space="preserve"> </w:t>
      </w:r>
      <w:r w:rsidR="00E565C4">
        <w:t>Recommendations relating to the road network ar</w:t>
      </w:r>
      <w:r w:rsidR="00B83FAA">
        <w:t>e</w:t>
      </w:r>
      <w:r w:rsidR="00FC1CD8" w:rsidRPr="00FC1CD8">
        <w:t xml:space="preserve"> anticipated to result in minor negative effects on greenhouse gas emissions as several of the interventions proposed have the potential to increase capacity for the number of vehicles on the trunk road network, thus increasing associated transport emissions</w:t>
      </w:r>
      <w:r w:rsidR="004A00CF">
        <w:t xml:space="preserve"> and use of</w:t>
      </w:r>
      <w:r w:rsidR="007C0842">
        <w:t xml:space="preserve"> </w:t>
      </w:r>
      <w:r w:rsidR="00BC110F">
        <w:t>natural</w:t>
      </w:r>
      <w:r w:rsidR="0047638E">
        <w:t xml:space="preserve"> </w:t>
      </w:r>
      <w:r w:rsidR="00BC110F">
        <w:t>resources</w:t>
      </w:r>
      <w:r w:rsidR="00FC1CD8" w:rsidRPr="00FC1CD8">
        <w:t>.</w:t>
      </w:r>
    </w:p>
    <w:p w14:paraId="6D2EF3BF" w14:textId="7B08775C" w:rsidR="00903D03" w:rsidRDefault="00595625" w:rsidP="00D93256">
      <w:pPr>
        <w:pStyle w:val="STPR2BodyText"/>
      </w:pPr>
      <w:r>
        <w:t>Many r</w:t>
      </w:r>
      <w:r w:rsidR="00B83FAA">
        <w:t xml:space="preserve">ecommendations </w:t>
      </w:r>
      <w:r w:rsidR="00903D03">
        <w:t>will also help adapt the transport network to the predicted effects of climate change by prioritising transport connections to critical infrastructure, islands and coastal communities that are more vulnerable to the projected impacts of climate change</w:t>
      </w:r>
      <w:r w:rsidR="00903D03" w:rsidRPr="00B85908">
        <w:t xml:space="preserve">. </w:t>
      </w:r>
      <w:bookmarkStart w:id="1890" w:name="_Hlk93223402"/>
      <w:r w:rsidR="00BF7465">
        <w:t xml:space="preserve">In particular, there is a recommendation that is focused on trunk road and motorway </w:t>
      </w:r>
      <w:r w:rsidR="00BF7465">
        <w:lastRenderedPageBreak/>
        <w:t xml:space="preserve">climate change adaptation and resilience. </w:t>
      </w:r>
      <w:bookmarkEnd w:id="1890"/>
    </w:p>
    <w:p w14:paraId="4A2E31BB" w14:textId="61DA5DFA" w:rsidR="000E3DE1" w:rsidRDefault="000E3DE1" w:rsidP="001302FA">
      <w:pPr>
        <w:pStyle w:val="Heading3"/>
      </w:pPr>
      <w:bookmarkStart w:id="1891" w:name="_Toc121339148"/>
      <w:r>
        <w:t xml:space="preserve">Air </w:t>
      </w:r>
      <w:r w:rsidRPr="002B729F">
        <w:t>Quality</w:t>
      </w:r>
      <w:bookmarkEnd w:id="1891"/>
    </w:p>
    <w:p w14:paraId="1A88A0CE" w14:textId="4F35EBC5" w:rsidR="000521EF" w:rsidRDefault="00B451F4" w:rsidP="00D93256">
      <w:pPr>
        <w:pStyle w:val="STPR2BodyText"/>
      </w:pPr>
      <w:r w:rsidRPr="00B451F4">
        <w:t xml:space="preserve">Overall, the majority of the </w:t>
      </w:r>
      <w:r w:rsidR="006318A1" w:rsidRPr="006318A1">
        <w:t>recommendations</w:t>
      </w:r>
      <w:r w:rsidRPr="00B451F4">
        <w:t xml:space="preserve"> are anticipated to result in minor positive effects on air quality as the interventions proposed seek to promote a modal shift to more sustainable transport options and consequently will help reduce transport-related air pollution and improve air quality throughout Scotland. This will be achieved by reducing traffic congestion, limiting more polluting vehicles, limiting polluting traffic growth, decarbonising the rail and bus network, decarbonising freight deliveries and improving the modal shift of freight from road to rail. </w:t>
      </w:r>
      <w:r w:rsidR="00BF7465" w:rsidRPr="00BF7465">
        <w:t>The recommendations relating to strategic connections and increasing safety and resilience are anticipated to result in uncertain effects on air quality as it is not clear whether the proposed interventions would result in a reduction or increase in transport-derived air pollutant emissions or, consequently, any improvements in air quality across Scotland</w:t>
      </w:r>
      <w:r w:rsidR="00BF7465">
        <w:t xml:space="preserve">. </w:t>
      </w:r>
      <w:bookmarkStart w:id="1892" w:name="_Hlk93223570"/>
      <w:r w:rsidRPr="00B451F4">
        <w:t xml:space="preserve">Furthermore, </w:t>
      </w:r>
      <w:r w:rsidR="000521EF">
        <w:t>the fixed link</w:t>
      </w:r>
      <w:r w:rsidRPr="00B451F4">
        <w:t xml:space="preserve"> interventions proposed have the potential to increase motorised traffic to and from the mainland, potentially </w:t>
      </w:r>
      <w:r w:rsidR="002F3CE2">
        <w:t>in</w:t>
      </w:r>
      <w:r w:rsidR="00DE2C87">
        <w:t>creasing</w:t>
      </w:r>
      <w:r w:rsidRPr="00B451F4">
        <w:t xml:space="preserve"> emissions and reduc</w:t>
      </w:r>
      <w:r w:rsidR="00DE2C87">
        <w:t>ing</w:t>
      </w:r>
      <w:r w:rsidRPr="00B451F4">
        <w:t xml:space="preserve"> air quality</w:t>
      </w:r>
      <w:bookmarkEnd w:id="1892"/>
      <w:r w:rsidRPr="00B451F4">
        <w:t xml:space="preserve">. </w:t>
      </w:r>
      <w:r w:rsidR="000521EF" w:rsidRPr="000521EF">
        <w:t>Recommendations relating to the road network are anticipated to result in minor negative effects on air quality as several of the interventions proposed have the potential to increase capacity for the number of vehicles on the trunk road network, thus increasing associated transport emissions and potentially reducing air quality.</w:t>
      </w:r>
      <w:r w:rsidR="000521EF">
        <w:t xml:space="preserve"> </w:t>
      </w:r>
      <w:r w:rsidR="00370C33" w:rsidRPr="00370C33">
        <w:t>Conversely, air quality could improve in other locations, for example where traffic flow is improved.</w:t>
      </w:r>
    </w:p>
    <w:p w14:paraId="1FB671A6" w14:textId="233A15FA" w:rsidR="000E3DE1" w:rsidRDefault="000521EF" w:rsidP="00D93256">
      <w:pPr>
        <w:pStyle w:val="STPR2BodyText"/>
      </w:pPr>
      <w:bookmarkStart w:id="1893" w:name="_Hlk93223887"/>
      <w:r>
        <w:t>T</w:t>
      </w:r>
      <w:r w:rsidR="00B451F4" w:rsidRPr="00B451F4">
        <w:t>he decarbonisation of ferry networks could result in major positive effects on air quality by reducing emissions of key air pollutants (NO</w:t>
      </w:r>
      <w:r w:rsidR="00B451F4" w:rsidRPr="00F424E5">
        <w:rPr>
          <w:vertAlign w:val="subscript"/>
        </w:rPr>
        <w:t>x</w:t>
      </w:r>
      <w:r w:rsidR="00B451F4" w:rsidRPr="00B451F4">
        <w:t>, particulates, SO</w:t>
      </w:r>
      <w:r w:rsidR="00B451F4" w:rsidRPr="00F424E5">
        <w:rPr>
          <w:vertAlign w:val="subscript"/>
        </w:rPr>
        <w:t>2</w:t>
      </w:r>
      <w:r w:rsidR="00B451F4" w:rsidRPr="00B451F4">
        <w:t xml:space="preserve">) from ferry transport, helping to limit polluting traffic growth, and potentially limiting more polluting vehicles in sensitive areas. </w:t>
      </w:r>
    </w:p>
    <w:p w14:paraId="44ECF14E" w14:textId="56163CCF" w:rsidR="003930E3" w:rsidRDefault="00F01D4A" w:rsidP="001302FA">
      <w:pPr>
        <w:pStyle w:val="Heading3"/>
      </w:pPr>
      <w:bookmarkStart w:id="1894" w:name="_Toc121339149"/>
      <w:bookmarkEnd w:id="1893"/>
      <w:r w:rsidRPr="00F01D4A">
        <w:t>Population and Human Health</w:t>
      </w:r>
      <w:bookmarkEnd w:id="1894"/>
    </w:p>
    <w:p w14:paraId="7EBCD401" w14:textId="4F12C8D6" w:rsidR="00C55041" w:rsidRDefault="004132F1" w:rsidP="00D93256">
      <w:pPr>
        <w:pStyle w:val="STPR2BodyText"/>
      </w:pPr>
      <w:r>
        <w:t xml:space="preserve">A significant majority of </w:t>
      </w:r>
      <w:r w:rsidR="00796739">
        <w:t>r</w:t>
      </w:r>
      <w:r w:rsidR="00796739" w:rsidRPr="00796739">
        <w:t>ecommendations</w:t>
      </w:r>
      <w:r>
        <w:t xml:space="preserve"> are anticipated to result in minor positive effects on </w:t>
      </w:r>
      <w:r w:rsidR="00C619B1">
        <w:t>quality of life and human health</w:t>
      </w:r>
      <w:r>
        <w:t>, as the interventions proposed will improve quality of life and human health and increase sustainable access to essential services, employment and the natural environment. They will achieve this through improved access to more sustainable forms of transport, provision of active travel connections and related interventions between villages and nearby towns and regional centres, and improvements to existing roads for the purpose of active travel (</w:t>
      </w:r>
      <w:r w:rsidR="00167789">
        <w:t>for example,</w:t>
      </w:r>
      <w:r>
        <w:t xml:space="preserve"> improved crossing points, surfacing</w:t>
      </w:r>
      <w:r w:rsidR="00FE21B9">
        <w:t xml:space="preserve"> and </w:t>
      </w:r>
      <w:r>
        <w:t xml:space="preserve">lighting). </w:t>
      </w:r>
      <w:r w:rsidR="00FF433F">
        <w:t xml:space="preserve">The </w:t>
      </w:r>
      <w:r w:rsidR="000521EF">
        <w:t>a</w:t>
      </w:r>
      <w:r w:rsidR="00FF433F">
        <w:t xml:space="preserve">ctive </w:t>
      </w:r>
      <w:r w:rsidR="000521EF">
        <w:t>t</w:t>
      </w:r>
      <w:r w:rsidR="00FF433F">
        <w:t xml:space="preserve">ravel recommendations are also likely to generally </w:t>
      </w:r>
      <w:r w:rsidR="001C43C6" w:rsidRPr="001C43C6">
        <w:t>improv</w:t>
      </w:r>
      <w:r w:rsidR="00FF433F">
        <w:t>e</w:t>
      </w:r>
      <w:r w:rsidR="001C43C6" w:rsidRPr="001C43C6">
        <w:t xml:space="preserve"> perceptions of road safety</w:t>
      </w:r>
      <w:r w:rsidR="00FF433F">
        <w:t xml:space="preserve"> and</w:t>
      </w:r>
      <w:r w:rsidR="001C43C6" w:rsidRPr="001C43C6">
        <w:t xml:space="preserve"> encourage more people to use active travel choices</w:t>
      </w:r>
      <w:r w:rsidR="00006A12">
        <w:t>.</w:t>
      </w:r>
      <w:r w:rsidR="001C43C6" w:rsidRPr="001C43C6">
        <w:t xml:space="preserve"> </w:t>
      </w:r>
      <w:r w:rsidR="000C5695">
        <w:t xml:space="preserve">They will also align with </w:t>
      </w:r>
      <w:r w:rsidR="000C5695" w:rsidRPr="000C5695">
        <w:t>Transport Scotland’s Active Travel Framework</w:t>
      </w:r>
      <w:r w:rsidR="00FE3F7F">
        <w:t xml:space="preserve"> (Transport Scotland, 2020c)</w:t>
      </w:r>
      <w:r w:rsidR="00F65D9A">
        <w:t>,</w:t>
      </w:r>
      <w:r w:rsidR="000C5695" w:rsidRPr="000C5695">
        <w:t xml:space="preserve"> which sets out a vision that “Scotland’s communities are shaped around people, with walking or cycling the most popular choice for shorter everyday journeys</w:t>
      </w:r>
      <w:r w:rsidR="00F35C6F">
        <w:t>.</w:t>
      </w:r>
    </w:p>
    <w:p w14:paraId="3994852F" w14:textId="60BEDADC" w:rsidR="004132F1" w:rsidRDefault="004132F1" w:rsidP="00D93256">
      <w:pPr>
        <w:pStyle w:val="STPR2BodyText"/>
      </w:pPr>
      <w:r>
        <w:t xml:space="preserve">The decarbonisation of the bus and rail networks will also potentially encourage sustainable access to the natural and historic environment and ensure safe and sustainable access for all users to essential services and </w:t>
      </w:r>
      <w:r w:rsidR="00A05B02">
        <w:t xml:space="preserve">places of </w:t>
      </w:r>
      <w:r>
        <w:t xml:space="preserve">employment. The </w:t>
      </w:r>
      <w:r w:rsidR="000521EF">
        <w:t>f</w:t>
      </w:r>
      <w:r>
        <w:t>reight</w:t>
      </w:r>
      <w:r w:rsidR="000521EF">
        <w:t>-related</w:t>
      </w:r>
      <w:r>
        <w:t xml:space="preserve"> </w:t>
      </w:r>
      <w:r w:rsidR="00796739">
        <w:t>interventions are</w:t>
      </w:r>
      <w:r>
        <w:t xml:space="preserve"> anticipated to result in neutral effects on quality of life and human health as the relationship between most interventions and the achievement of the </w:t>
      </w:r>
      <w:r w:rsidR="00783F23">
        <w:t>SEA objectives</w:t>
      </w:r>
      <w:r>
        <w:t xml:space="preserve"> is unclear. However, it should be noted that several of the </w:t>
      </w:r>
      <w:r w:rsidR="000521EF" w:rsidRPr="000521EF">
        <w:t>freight-related</w:t>
      </w:r>
      <w:r>
        <w:t xml:space="preserve"> interventions proposed are anticipated to result in minor positive effects on these aims by potentially ensuring safe and sustainable access to essential services and employment and allowing for greater journey time reliability. </w:t>
      </w:r>
      <w:r w:rsidR="00796739" w:rsidRPr="00796739">
        <w:t xml:space="preserve">Recommendations relating to the road network </w:t>
      </w:r>
      <w:r w:rsidR="002A21BA">
        <w:t>are</w:t>
      </w:r>
      <w:r>
        <w:t xml:space="preserve"> generally anticipated to result in uncertain effects on quality of life and human </w:t>
      </w:r>
      <w:r>
        <w:lastRenderedPageBreak/>
        <w:t>health</w:t>
      </w:r>
      <w:r w:rsidR="00B34B0C">
        <w:t>. W</w:t>
      </w:r>
      <w:r>
        <w:t>hile some of the interventions proposed may improve access to essential services, employment and the natural environment, this access will be achieved via the road network and therefore will not be sustainable</w:t>
      </w:r>
      <w:r w:rsidR="00C2455A">
        <w:t>, at least in the short</w:t>
      </w:r>
      <w:r w:rsidR="001B0727">
        <w:t>-</w:t>
      </w:r>
      <w:r w:rsidR="00C2455A">
        <w:t>term</w:t>
      </w:r>
      <w:r w:rsidR="00166A93">
        <w:t xml:space="preserve"> (until a greater proportion of cleaner vehicles use the road network)</w:t>
      </w:r>
      <w:r w:rsidR="00C2455A">
        <w:t xml:space="preserve">, </w:t>
      </w:r>
      <w:r w:rsidR="00FF32F3">
        <w:t>due to air pollutant emissions</w:t>
      </w:r>
      <w:r>
        <w:t xml:space="preserve">. </w:t>
      </w:r>
    </w:p>
    <w:p w14:paraId="6CC35369" w14:textId="11BF4E23" w:rsidR="000521EF" w:rsidRDefault="0015611B" w:rsidP="00D93256">
      <w:pPr>
        <w:pStyle w:val="STPR2BodyText"/>
      </w:pPr>
      <w:r>
        <w:t>I</w:t>
      </w:r>
      <w:r w:rsidR="000521EF" w:rsidRPr="000521EF">
        <w:t xml:space="preserve">t is unclear if the proposed interventions will reduce noise and vibration and this will depend on the location and nature of the interventions adopted. The active travel and behavioural change recommendations are generally anticipated to result in minor positive effects on noise and vibration as most of the interventions proposed will help encourage a modal shift to more sustainable modes of travel. The technology recommendations are anticipated to result in neutral effects on noise and vibration as the interventions proposed are not expected to have any notable effect on this topic. The strategic connections recommendations are generally anticipated to result in minor negative effects on noise and vibration as most of the interventions proposed will potentially increase noise and vibration on the transport network during both the construction and operation of any improvements to the transport network. </w:t>
      </w:r>
    </w:p>
    <w:p w14:paraId="7C3481FF" w14:textId="14DF1FC9" w:rsidR="004132F1" w:rsidRDefault="00B64D69" w:rsidP="00D93256">
      <w:pPr>
        <w:pStyle w:val="STPR2BodyText"/>
      </w:pPr>
      <w:r w:rsidRPr="00B64D69">
        <w:t>The public transport recommendations are anticipated to result in neutral effects on developing high quality places as the various interventions proposed are unlikely to have a notable effect on this objective. The influencing travel choices recommendations are anticipated to result in uncertain effects on developing high quality places, as, although they are likely to improve safety on the transport network, they will not directly help promote, invest in, build or maintain infrastructure to support the development of high-quality places. The active travel recommendations are anticipated to result in minor positive effects on developing high</w:t>
      </w:r>
      <w:r w:rsidR="00CC61FC">
        <w:t>-</w:t>
      </w:r>
      <w:r w:rsidRPr="00B64D69">
        <w:t>quality places as the interventions proposed will help to support the development of high-quality places by prioritising pedestrians in the public realm</w:t>
      </w:r>
      <w:r w:rsidR="004132F1">
        <w:t xml:space="preserve">. </w:t>
      </w:r>
      <w:bookmarkStart w:id="1895" w:name="_Hlk93224261"/>
      <w:r w:rsidR="004132F1">
        <w:t>Some of the interventions will also help support the development of places that feel safe to all users through improvements to active travel routes, including road crossings and lighting, and measures to reduce traffic volumes and/or speeds and campaigns to promote better driver</w:t>
      </w:r>
      <w:r w:rsidR="007A20DA">
        <w:t> </w:t>
      </w:r>
      <w:r w:rsidR="004132F1">
        <w:t>behaviour.</w:t>
      </w:r>
      <w:bookmarkEnd w:id="1895"/>
    </w:p>
    <w:p w14:paraId="7FFEBB35" w14:textId="20BF115C" w:rsidR="003F0742" w:rsidRDefault="004132F1" w:rsidP="00D93256">
      <w:pPr>
        <w:pStyle w:val="STPR2BodyText"/>
      </w:pPr>
      <w:bookmarkStart w:id="1896" w:name="_Hlk93305889"/>
      <w:r>
        <w:t xml:space="preserve">The vast majority of the </w:t>
      </w:r>
      <w:r w:rsidR="008D05B3" w:rsidRPr="008D05B3">
        <w:t xml:space="preserve">recommendations </w:t>
      </w:r>
      <w:r>
        <w:t xml:space="preserve">are anticipated to result in minor positive effects on safety as </w:t>
      </w:r>
      <w:r w:rsidR="007D4EEF">
        <w:t>they</w:t>
      </w:r>
      <w:r>
        <w:t xml:space="preserve"> will help improve safety on the transport network by potentially reducing the likelihood of transport-related road accidents and casualties by</w:t>
      </w:r>
      <w:r w:rsidR="004A6547">
        <w:t>;</w:t>
      </w:r>
      <w:r>
        <w:t xml:space="preserve"> encouraging a modal shift to more sustainable modes of travel, including the expansion of 20mph zones and limits</w:t>
      </w:r>
      <w:bookmarkEnd w:id="1896"/>
      <w:r w:rsidR="004A6547">
        <w:t>;</w:t>
      </w:r>
      <w:r>
        <w:t xml:space="preserve"> a modal shift of freight from road to rail</w:t>
      </w:r>
      <w:r w:rsidR="00F12085">
        <w:t>;</w:t>
      </w:r>
      <w:r>
        <w:t xml:space="preserve"> proposals for freight rest stops and upgrades to existing mobility hubs and public transport facilities. The </w:t>
      </w:r>
      <w:r w:rsidR="00B64D69">
        <w:t>b</w:t>
      </w:r>
      <w:r>
        <w:t xml:space="preserve">us and </w:t>
      </w:r>
      <w:r w:rsidR="00B64D69">
        <w:t>m</w:t>
      </w:r>
      <w:r w:rsidR="000B1425" w:rsidRPr="000B1425">
        <w:t xml:space="preserve">ass </w:t>
      </w:r>
      <w:r w:rsidR="00B64D69">
        <w:t>t</w:t>
      </w:r>
      <w:r w:rsidR="000B1425" w:rsidRPr="000B1425">
        <w:t>ransit</w:t>
      </w:r>
      <w:r>
        <w:t xml:space="preserve"> </w:t>
      </w:r>
      <w:r w:rsidR="00F04F72" w:rsidRPr="00F04F72">
        <w:t>recommendations</w:t>
      </w:r>
      <w:r>
        <w:t xml:space="preserve"> are anticipated to result in uncertain effects on safety</w:t>
      </w:r>
      <w:r w:rsidR="00F12085">
        <w:t>.</w:t>
      </w:r>
      <w:r>
        <w:t xml:space="preserve"> </w:t>
      </w:r>
      <w:r w:rsidR="00F12085">
        <w:t>W</w:t>
      </w:r>
      <w:r>
        <w:t>hile several of the proposals (</w:t>
      </w:r>
      <w:r w:rsidR="00167789">
        <w:t>for example,</w:t>
      </w:r>
      <w:r>
        <w:t xml:space="preserve"> delivery of faster and more reliable journey times for bus passengers and expansions to the tram network) will support the development of places that feel safe to all users by reducing road traffic, it is unlikely that the other proposals (</w:t>
      </w:r>
      <w:r w:rsidR="00167789">
        <w:t>for example,</w:t>
      </w:r>
      <w:r>
        <w:t xml:space="preserve"> the decarbonisation of the bus and rail networks) would significantly contribute to safety. </w:t>
      </w:r>
    </w:p>
    <w:p w14:paraId="412D4AB0" w14:textId="0BF8ACD0" w:rsidR="00CF754B" w:rsidRPr="001302FA" w:rsidRDefault="00CF754B" w:rsidP="001302FA">
      <w:pPr>
        <w:pStyle w:val="Heading3"/>
      </w:pPr>
      <w:bookmarkStart w:id="1897" w:name="_Toc121339150"/>
      <w:r w:rsidRPr="001302FA">
        <w:t>Material Assets</w:t>
      </w:r>
      <w:bookmarkEnd w:id="1897"/>
    </w:p>
    <w:p w14:paraId="3234CD2F" w14:textId="69CBDDAC" w:rsidR="00CF754B" w:rsidRDefault="00A831D0" w:rsidP="00D93256">
      <w:pPr>
        <w:pStyle w:val="STPR2BodyText"/>
      </w:pPr>
      <w:r>
        <w:t>Most</w:t>
      </w:r>
      <w:r w:rsidR="00CF754B">
        <w:t xml:space="preserve"> of the </w:t>
      </w:r>
      <w:r w:rsidR="002800BF" w:rsidRPr="002800BF">
        <w:t xml:space="preserve">recommendations </w:t>
      </w:r>
      <w:r w:rsidR="00CF754B">
        <w:t xml:space="preserve">are anticipated to result in minor positive effects on </w:t>
      </w:r>
      <w:r w:rsidR="00C172B7">
        <w:t xml:space="preserve">the sustainable use of the transport network </w:t>
      </w:r>
      <w:r w:rsidR="00CF754B">
        <w:t xml:space="preserve">by promoting or improving the sustainable use of the transport network through planning for future travel arrangements where journeys are made by a number of different modes (including active travel modes), </w:t>
      </w:r>
      <w:r w:rsidR="00167789">
        <w:t>for example,</w:t>
      </w:r>
      <w:r w:rsidR="00CF754B">
        <w:t xml:space="preserve"> </w:t>
      </w:r>
      <w:r w:rsidR="00BC123D" w:rsidRPr="00BC123D">
        <w:t>improvements to the ferry network</w:t>
      </w:r>
      <w:r w:rsidR="00BC123D">
        <w:t xml:space="preserve">. </w:t>
      </w:r>
      <w:r w:rsidR="00CF754B">
        <w:t xml:space="preserve">Some of the interventions proposed also support improvements to transport technology and promote the sustainable use and management </w:t>
      </w:r>
      <w:r w:rsidR="00CF754B">
        <w:lastRenderedPageBreak/>
        <w:t>of existing infrastructure, including upgrades to</w:t>
      </w:r>
      <w:r w:rsidR="0093747C">
        <w:t xml:space="preserve"> or </w:t>
      </w:r>
      <w:r w:rsidR="00CF754B">
        <w:t xml:space="preserve">replacement of vessels, and the decarbonisation of the ferry network. The </w:t>
      </w:r>
      <w:r w:rsidR="00B64D69">
        <w:t>b</w:t>
      </w:r>
      <w:r w:rsidR="00CF754B">
        <w:t>ehaviour</w:t>
      </w:r>
      <w:r w:rsidR="00C52312">
        <w:t>al</w:t>
      </w:r>
      <w:r w:rsidR="00CF754B">
        <w:t xml:space="preserve"> </w:t>
      </w:r>
      <w:r w:rsidR="00B64D69">
        <w:t>c</w:t>
      </w:r>
      <w:r w:rsidR="00CF754B">
        <w:t xml:space="preserve">hange and </w:t>
      </w:r>
      <w:r w:rsidR="00B64D69">
        <w:t>m</w:t>
      </w:r>
      <w:r w:rsidR="000B1425" w:rsidRPr="000B1425">
        <w:t xml:space="preserve">ass </w:t>
      </w:r>
      <w:r w:rsidR="00B64D69">
        <w:t>t</w:t>
      </w:r>
      <w:r w:rsidR="000B1425" w:rsidRPr="000B1425">
        <w:t>ransit</w:t>
      </w:r>
      <w:r w:rsidR="00CF754B">
        <w:t xml:space="preserve"> </w:t>
      </w:r>
      <w:r w:rsidR="00B96962" w:rsidRPr="00B96962">
        <w:t>recommendations</w:t>
      </w:r>
      <w:r w:rsidR="00CF754B">
        <w:t xml:space="preserve"> are anticipated to result in uncertain effects on the sustainable use of the transport network as there is not a clear link between several of the interventions proposed (</w:t>
      </w:r>
      <w:r w:rsidR="00167789">
        <w:t>for example,</w:t>
      </w:r>
      <w:r w:rsidR="00CF754B">
        <w:t xml:space="preserve"> expansion of 20mph zones and limits across Scotland) and sustainable use of the transport network. However, one of the </w:t>
      </w:r>
      <w:r w:rsidR="00B64D69">
        <w:t>m</w:t>
      </w:r>
      <w:r w:rsidR="000B1425" w:rsidRPr="000B1425">
        <w:t xml:space="preserve">ass </w:t>
      </w:r>
      <w:r w:rsidR="00B64D69">
        <w:t>t</w:t>
      </w:r>
      <w:r w:rsidR="000B1425" w:rsidRPr="000B1425">
        <w:t>ransit</w:t>
      </w:r>
      <w:r w:rsidR="00CF754B">
        <w:t xml:space="preserve"> interventions is considered to result in major positive effects on the sustainable usage of the transport network as it involves proposals for bus rapid transit, rail conversion and tram network extension, thereby potentially helping plan for future travel arrangement where journeys are made by a number of different modes</w:t>
      </w:r>
      <w:r w:rsidR="00807F81">
        <w:t xml:space="preserve"> </w:t>
      </w:r>
      <w:r w:rsidR="00CF754B">
        <w:t>and</w:t>
      </w:r>
      <w:r w:rsidR="00807F81">
        <w:t xml:space="preserve"> help with</w:t>
      </w:r>
      <w:r w:rsidR="00CF754B">
        <w:t xml:space="preserve"> </w:t>
      </w:r>
      <w:r w:rsidR="00E1649F">
        <w:t xml:space="preserve">planning </w:t>
      </w:r>
      <w:r w:rsidR="00CF754B">
        <w:t xml:space="preserve">for the future capacity of public transport. </w:t>
      </w:r>
    </w:p>
    <w:p w14:paraId="180F38F2" w14:textId="08AED23F" w:rsidR="00C31CDC" w:rsidRDefault="00CF754B" w:rsidP="00D93256">
      <w:pPr>
        <w:pStyle w:val="STPR2BodyText"/>
      </w:pPr>
      <w:r>
        <w:t xml:space="preserve">The </w:t>
      </w:r>
      <w:r w:rsidR="002A24D1" w:rsidRPr="002A24D1">
        <w:t>strategic connections (island connectivity)</w:t>
      </w:r>
      <w:r w:rsidR="002A24D1">
        <w:t xml:space="preserve"> </w:t>
      </w:r>
      <w:r w:rsidR="00B64D69">
        <w:t>and safety and resilience</w:t>
      </w:r>
      <w:r>
        <w:t xml:space="preserve"> </w:t>
      </w:r>
      <w:r w:rsidR="00356189" w:rsidRPr="00356189">
        <w:t>recommendations</w:t>
      </w:r>
      <w:r>
        <w:t xml:space="preserve"> are generally anticipated to result in minor negative effects on </w:t>
      </w:r>
      <w:r w:rsidR="006777BF">
        <w:t>the SEA’s</w:t>
      </w:r>
      <w:r w:rsidR="00025EA5" w:rsidRPr="00025EA5">
        <w:t xml:space="preserve"> key environmental requirement/objective to reduce material consumption</w:t>
      </w:r>
      <w:r w:rsidR="002D7E8F">
        <w:t>. This is because they will require</w:t>
      </w:r>
      <w:r>
        <w:t xml:space="preserve"> the use of natural resources as several of the interventions proposed may require significant quantities of materials and construction</w:t>
      </w:r>
      <w:r w:rsidR="00E64AFF">
        <w:t>-</w:t>
      </w:r>
      <w:r>
        <w:t>related trips. It should also be noted that there is a potential opportunity for road schemes to improve surface conditions, and, alongside advancement in the types of materials used, reduce overall maintenance needs in the longer</w:t>
      </w:r>
      <w:r w:rsidR="00F328A8">
        <w:t>-</w:t>
      </w:r>
      <w:r>
        <w:t xml:space="preserve">term, with associated positive </w:t>
      </w:r>
      <w:r w:rsidR="00F20444">
        <w:t>effe</w:t>
      </w:r>
      <w:r w:rsidR="00F20444" w:rsidRPr="004F5EEB">
        <w:t>cts</w:t>
      </w:r>
      <w:r>
        <w:t xml:space="preserve">. In addition, the decarbonisation of the ferry network is anticipated to result in uncertain effects on the use of natural resources and contributions to the circular economy; this is dependent on the methods and technologies adopted. The </w:t>
      </w:r>
      <w:r w:rsidR="00B64D69">
        <w:t>t</w:t>
      </w:r>
      <w:r>
        <w:t>echnology</w:t>
      </w:r>
      <w:r w:rsidR="00B64D69">
        <w:t>-related</w:t>
      </w:r>
      <w:r>
        <w:t xml:space="preserve"> </w:t>
      </w:r>
      <w:r w:rsidR="00356189" w:rsidRPr="00356189">
        <w:t>recommendations</w:t>
      </w:r>
      <w:r w:rsidR="00356189">
        <w:t xml:space="preserve"> are </w:t>
      </w:r>
      <w:r>
        <w:t xml:space="preserve">generally anticipated to result in negligible effects on reducing use of natural resources. The remainder of the </w:t>
      </w:r>
      <w:r w:rsidR="00356189" w:rsidRPr="00356189">
        <w:t>recommendations</w:t>
      </w:r>
      <w:r>
        <w:t xml:space="preserve"> are anticipated to result in uncertain effects on reducing use of natural resources. Depending on the source and type of materials/natural resources used to construct some of the new infrastructure associated with several of the proposed </w:t>
      </w:r>
      <w:r w:rsidR="00174A2A" w:rsidRPr="00174A2A">
        <w:t>recommendations</w:t>
      </w:r>
      <w:r>
        <w:t xml:space="preserve">, there is potential for negative </w:t>
      </w:r>
      <w:r w:rsidR="00F20444">
        <w:t>effe</w:t>
      </w:r>
      <w:r w:rsidR="00F20444" w:rsidRPr="004F5EEB">
        <w:t>cts</w:t>
      </w:r>
      <w:r>
        <w:t xml:space="preserve"> on material assets in </w:t>
      </w:r>
      <w:r w:rsidR="00B62880">
        <w:t>terms of</w:t>
      </w:r>
      <w:r>
        <w:t xml:space="preserve"> natural resources </w:t>
      </w:r>
      <w:r w:rsidR="00B62880">
        <w:t xml:space="preserve">usage. </w:t>
      </w:r>
      <w:r>
        <w:t>However, there is not a clear link between other interventions proposed (</w:t>
      </w:r>
      <w:r w:rsidR="00167789">
        <w:t>for example,</w:t>
      </w:r>
      <w:r>
        <w:t xml:space="preserve"> the expansion of 20mph zones and limits across Scotland) and the reduction in the use of natural resources. </w:t>
      </w:r>
    </w:p>
    <w:p w14:paraId="0368ADE2" w14:textId="2145BF68" w:rsidR="000E3DE1" w:rsidRPr="001302FA" w:rsidRDefault="000E3DE1" w:rsidP="00115E65">
      <w:pPr>
        <w:pStyle w:val="Heading3"/>
      </w:pPr>
      <w:bookmarkStart w:id="1898" w:name="_Toc121339151"/>
      <w:r w:rsidRPr="001302FA">
        <w:t>Water Environment</w:t>
      </w:r>
      <w:bookmarkEnd w:id="1898"/>
    </w:p>
    <w:p w14:paraId="30B86E1C" w14:textId="7386F7FB" w:rsidR="00340D74" w:rsidRPr="00767E9B" w:rsidRDefault="00340D74" w:rsidP="00D93256">
      <w:pPr>
        <w:pStyle w:val="STPR2BodyText"/>
        <w:rPr>
          <w:highlight w:val="yellow"/>
        </w:rPr>
      </w:pPr>
      <w:r w:rsidRPr="00340D74">
        <w:t xml:space="preserve">The vast majority of the </w:t>
      </w:r>
      <w:r w:rsidR="00174A2A" w:rsidRPr="00174A2A">
        <w:t>recommendations</w:t>
      </w:r>
      <w:r w:rsidRPr="00340D74">
        <w:t xml:space="preserve"> are anticipated to result in uncertain effects on the water environment, as there is potential for negative environmental </w:t>
      </w:r>
      <w:r w:rsidR="00F20444">
        <w:t>effe</w:t>
      </w:r>
      <w:r w:rsidR="00F20444" w:rsidRPr="004F5EEB">
        <w:t>cts</w:t>
      </w:r>
      <w:r w:rsidRPr="00340D74">
        <w:t xml:space="preserve"> during construction and operation of the various interventions proposed</w:t>
      </w:r>
      <w:r w:rsidR="00A429BD">
        <w:t xml:space="preserve">. The effects </w:t>
      </w:r>
      <w:r w:rsidRPr="00340D74">
        <w:t xml:space="preserve">will be dependent on their location and/or design. It is therefore recommended that further environmental assessment is undertaken as the interventions develop in order to identify potentially significant location-specific environmental </w:t>
      </w:r>
      <w:r w:rsidR="00F20444">
        <w:t>effe</w:t>
      </w:r>
      <w:r w:rsidR="00F20444" w:rsidRPr="004F5EEB">
        <w:t>cts</w:t>
      </w:r>
      <w:r w:rsidRPr="00340D74">
        <w:t xml:space="preserve"> and mitigation where appropriate. It should also be noted that there is potential for positive effects on the water environment associated with the </w:t>
      </w:r>
      <w:r w:rsidR="0012157B">
        <w:t>b</w:t>
      </w:r>
      <w:r w:rsidRPr="00340D74">
        <w:t xml:space="preserve">us </w:t>
      </w:r>
      <w:r w:rsidR="00174A2A" w:rsidRPr="00174A2A">
        <w:t>recommendations</w:t>
      </w:r>
      <w:r w:rsidR="009F394E">
        <w:t>. This is due</w:t>
      </w:r>
      <w:r w:rsidRPr="00340D74">
        <w:t xml:space="preserve"> </w:t>
      </w:r>
      <w:r w:rsidR="009F394E">
        <w:t>to</w:t>
      </w:r>
      <w:r w:rsidRPr="00340D74">
        <w:t xml:space="preserve"> potential reductions in diffuse pollution on key receptors associated with the decarbonisation of the bus network; however, the significance of effect</w:t>
      </w:r>
      <w:r w:rsidR="00981112">
        <w:t>s are</w:t>
      </w:r>
      <w:r w:rsidRPr="00340D74">
        <w:t xml:space="preserve"> uncertain at this stage. Overall, the </w:t>
      </w:r>
      <w:r w:rsidR="0012157B">
        <w:t>a</w:t>
      </w:r>
      <w:r w:rsidRPr="00340D74">
        <w:t xml:space="preserve">ctive </w:t>
      </w:r>
      <w:r w:rsidR="0012157B">
        <w:t>t</w:t>
      </w:r>
      <w:r w:rsidRPr="00340D74">
        <w:t xml:space="preserve">ravel and </w:t>
      </w:r>
      <w:r w:rsidR="0012157B">
        <w:t>t</w:t>
      </w:r>
      <w:r w:rsidRPr="00340D74">
        <w:t>echnology</w:t>
      </w:r>
      <w:r w:rsidR="0012157B">
        <w:t>-related</w:t>
      </w:r>
      <w:r w:rsidRPr="00340D74">
        <w:t xml:space="preserve"> </w:t>
      </w:r>
      <w:r w:rsidR="00827030" w:rsidRPr="00827030">
        <w:t>recommendations</w:t>
      </w:r>
      <w:r w:rsidRPr="00340D74">
        <w:t xml:space="preserve"> are anticipated to result in neutral effects on the water environment as minimal hard infrastructure is required for most of the interventions proposed. </w:t>
      </w:r>
      <w:r w:rsidR="000F288B" w:rsidRPr="000F288B">
        <w:t xml:space="preserve">The </w:t>
      </w:r>
      <w:r w:rsidR="0012157B" w:rsidRPr="0012157B">
        <w:t xml:space="preserve">fixed link </w:t>
      </w:r>
      <w:r w:rsidR="00827030" w:rsidRPr="00827030">
        <w:t>recommendations</w:t>
      </w:r>
      <w:r w:rsidR="00827030">
        <w:t xml:space="preserve"> are </w:t>
      </w:r>
      <w:r w:rsidR="000F288B" w:rsidRPr="000F288B">
        <w:t>generally anticipated to result in neutral to minor negative effects on the water environment as most of the interventions are largely confined to proposed improvement of the existing ferry network, and therefore have only limited additional potential to direct</w:t>
      </w:r>
      <w:r w:rsidR="00432D7A">
        <w:t>ly</w:t>
      </w:r>
      <w:r w:rsidR="000F288B" w:rsidRPr="000F288B">
        <w:t xml:space="preserve"> </w:t>
      </w:r>
      <w:r w:rsidR="00F20444">
        <w:t>affect</w:t>
      </w:r>
      <w:r w:rsidR="000F288B" w:rsidRPr="000F288B">
        <w:t xml:space="preserve"> the water environment.</w:t>
      </w:r>
      <w:r w:rsidRPr="00340D74">
        <w:t xml:space="preserve"> </w:t>
      </w:r>
      <w:bookmarkStart w:id="1899" w:name="_Hlk93225016"/>
      <w:r w:rsidRPr="00340D74">
        <w:t xml:space="preserve">However, the decarbonisation of the ferry network may result in minor positive effects on the water </w:t>
      </w:r>
      <w:r w:rsidRPr="00340D74">
        <w:lastRenderedPageBreak/>
        <w:t xml:space="preserve">environment as this intervention has the potential to protect or improve </w:t>
      </w:r>
      <w:r w:rsidR="0012157B">
        <w:t>water</w:t>
      </w:r>
      <w:r w:rsidRPr="00340D74">
        <w:t xml:space="preserve"> quality </w:t>
      </w:r>
      <w:r w:rsidR="0012157B">
        <w:t>by replacing older vessels</w:t>
      </w:r>
      <w:r w:rsidRPr="00340D74">
        <w:t>.</w:t>
      </w:r>
      <w:bookmarkEnd w:id="1899"/>
    </w:p>
    <w:p w14:paraId="2DB0F8A4" w14:textId="177077C1" w:rsidR="000E3DE1" w:rsidRDefault="000E3DE1" w:rsidP="00115E65">
      <w:pPr>
        <w:pStyle w:val="Heading3"/>
      </w:pPr>
      <w:bookmarkStart w:id="1900" w:name="_Toc121339152"/>
      <w:r>
        <w:t>Biodiversity</w:t>
      </w:r>
      <w:bookmarkEnd w:id="1900"/>
    </w:p>
    <w:p w14:paraId="2C8B21C3" w14:textId="1A715F4B" w:rsidR="007171A6" w:rsidRDefault="0012157B" w:rsidP="00D93256">
      <w:pPr>
        <w:pStyle w:val="STPR2BodyText"/>
      </w:pPr>
      <w:bookmarkStart w:id="1901" w:name="_Hlk93225075"/>
      <w:r w:rsidRPr="0012157B">
        <w:t>Most of the recommendations are anticipated to result in uncertain effects on biodiversity, as there is potential for negative environmental</w:t>
      </w:r>
      <w:r w:rsidR="00687166">
        <w:t xml:space="preserve"> effe</w:t>
      </w:r>
      <w:r w:rsidR="00687166" w:rsidRPr="004F5EEB">
        <w:t>cts</w:t>
      </w:r>
      <w:r w:rsidR="00687166">
        <w:t xml:space="preserve"> </w:t>
      </w:r>
      <w:r w:rsidRPr="0012157B">
        <w:t xml:space="preserve">during construction and operation of the improvements, depending on the location and design of the interventions proposed. The active travel and technology-related recommendations are generally anticipated to result in neutral effects on biodiversity as minimal hard infrastructure is required for most of the interventions proposed. The strategic connections (fixed link) recommendations are generally anticipated to result in at least minor negative effects on biodiversity as the construction of these interventions could result in direct </w:t>
      </w:r>
      <w:r w:rsidR="00687166">
        <w:t>effe</w:t>
      </w:r>
      <w:r w:rsidR="00687166" w:rsidRPr="004F5EEB">
        <w:t>cts</w:t>
      </w:r>
      <w:r w:rsidRPr="0012157B">
        <w:t xml:space="preserve"> on biodiversity (</w:t>
      </w:r>
      <w:r w:rsidR="00167789">
        <w:t>for example,</w:t>
      </w:r>
      <w:r w:rsidRPr="0012157B">
        <w:t xml:space="preserve"> through pollution or construction noise disturbance), including potential damage to or loss of designated and undesignated wildlife or geological sites. </w:t>
      </w:r>
      <w:r w:rsidR="00A70430" w:rsidRPr="009C1392">
        <w:t>However, the decarbonisation of the ferry network (</w:t>
      </w:r>
      <w:r w:rsidR="00167789">
        <w:t>for example,</w:t>
      </w:r>
      <w:r w:rsidR="00A70430" w:rsidRPr="009C1392">
        <w:t xml:space="preserve"> the use of alternative fuel sources or transition to zero carbon emissions) is anticipated to result in minor positive effects on biodiversity as this intervention could potentially protect or enhance the integrity of existing habitat, and/or protect or enhance the integrity of designated biological or geological sites.</w:t>
      </w:r>
      <w:bookmarkEnd w:id="1901"/>
    </w:p>
    <w:p w14:paraId="7AE599DB" w14:textId="7704BACC" w:rsidR="000E3DE1" w:rsidRDefault="000E3DE1" w:rsidP="001302FA">
      <w:pPr>
        <w:pStyle w:val="Heading3"/>
      </w:pPr>
      <w:bookmarkStart w:id="1902" w:name="_Toc121339153"/>
      <w:r>
        <w:t>Soil</w:t>
      </w:r>
      <w:bookmarkEnd w:id="1902"/>
      <w:r>
        <w:t xml:space="preserve"> </w:t>
      </w:r>
    </w:p>
    <w:p w14:paraId="0C16F67A" w14:textId="29F601B0" w:rsidR="00D37870" w:rsidRPr="00372A3B" w:rsidRDefault="0012157B" w:rsidP="00D93256">
      <w:pPr>
        <w:pStyle w:val="STPR2BodyText"/>
        <w:rPr>
          <w:highlight w:val="yellow"/>
        </w:rPr>
      </w:pPr>
      <w:r w:rsidRPr="0012157B">
        <w:t xml:space="preserve">The vast majority of the recommendations are generally anticipated to result in uncertain effects on soil, as there is potential for negative environmental </w:t>
      </w:r>
      <w:r w:rsidR="00687166">
        <w:t>effe</w:t>
      </w:r>
      <w:r w:rsidR="00687166" w:rsidRPr="004F5EEB">
        <w:t>cts</w:t>
      </w:r>
      <w:r w:rsidRPr="0012157B">
        <w:t xml:space="preserve"> during both the construction and operation of the various interventions proposed, although this will be dependent on the location and design of these interventions. The active travel and technology-related recommendations are generally anticipated to result in neutral effects on soil as minimal hard infrastructure is required for </w:t>
      </w:r>
      <w:r w:rsidR="008337C4">
        <w:t>most</w:t>
      </w:r>
      <w:r w:rsidRPr="0012157B">
        <w:t xml:space="preserve"> of the interventions proposed</w:t>
      </w:r>
      <w:r w:rsidR="00D37870">
        <w:t xml:space="preserve">. </w:t>
      </w:r>
    </w:p>
    <w:p w14:paraId="63698E0C" w14:textId="1C1CD206" w:rsidR="000E3DE1" w:rsidRDefault="000E3DE1" w:rsidP="001302FA">
      <w:pPr>
        <w:pStyle w:val="Heading3"/>
      </w:pPr>
      <w:bookmarkStart w:id="1903" w:name="_Toc121339154"/>
      <w:r>
        <w:t>Cultural Heritage</w:t>
      </w:r>
      <w:bookmarkEnd w:id="1903"/>
    </w:p>
    <w:p w14:paraId="637B4B68" w14:textId="17CD441C" w:rsidR="00A41F83" w:rsidRPr="00435824" w:rsidRDefault="0012157B" w:rsidP="00D93256">
      <w:pPr>
        <w:pStyle w:val="STPR2BodyText"/>
      </w:pPr>
      <w:bookmarkStart w:id="1904" w:name="_Hlk93225286"/>
      <w:r>
        <w:t>Most</w:t>
      </w:r>
      <w:r w:rsidR="000E3DE1" w:rsidRPr="00112DA5">
        <w:t xml:space="preserve"> of the </w:t>
      </w:r>
      <w:r w:rsidR="00981112" w:rsidRPr="00981112">
        <w:t>recommendations</w:t>
      </w:r>
      <w:r w:rsidR="000E3DE1" w:rsidRPr="00112DA5">
        <w:t xml:space="preserve"> are anticipated to result in uncertain effects on cultural heritage</w:t>
      </w:r>
      <w:r w:rsidR="00C17563">
        <w:t xml:space="preserve"> as there is potential for </w:t>
      </w:r>
      <w:r w:rsidR="00901B03">
        <w:t xml:space="preserve">a range of </w:t>
      </w:r>
      <w:r w:rsidR="00C17563">
        <w:t>effects</w:t>
      </w:r>
      <w:r w:rsidR="0027103A">
        <w:t xml:space="preserve"> associated with</w:t>
      </w:r>
      <w:r w:rsidR="000E3DE1">
        <w:t xml:space="preserve"> the </w:t>
      </w:r>
      <w:r w:rsidR="0027103A">
        <w:t>various interventions proposed</w:t>
      </w:r>
      <w:r w:rsidR="000E3DE1" w:rsidRPr="00112DA5">
        <w:t xml:space="preserve">. </w:t>
      </w:r>
      <w:r w:rsidR="006813D7" w:rsidRPr="00926BDF">
        <w:t>For example, t</w:t>
      </w:r>
      <w:r w:rsidR="000E3DE1" w:rsidRPr="00926BDF">
        <w:t xml:space="preserve">he </w:t>
      </w:r>
      <w:r>
        <w:t>fixed link interventions</w:t>
      </w:r>
      <w:r w:rsidR="000E3DE1" w:rsidRPr="00926BDF">
        <w:t xml:space="preserve"> have the potential for </w:t>
      </w:r>
      <w:r>
        <w:t xml:space="preserve">at least </w:t>
      </w:r>
      <w:r w:rsidR="001647BF">
        <w:t xml:space="preserve">minor </w:t>
      </w:r>
      <w:r w:rsidR="000E3DE1" w:rsidRPr="00926BDF">
        <w:t xml:space="preserve">negative effects on designated and undesignated archaeological sites and other culturally and historically important features. </w:t>
      </w:r>
      <w:r w:rsidR="000E3DE1" w:rsidRPr="001647BF">
        <w:t>Th</w:t>
      </w:r>
      <w:r w:rsidR="001647BF" w:rsidRPr="001647BF">
        <w:t>ese</w:t>
      </w:r>
      <w:r w:rsidR="000E3DE1" w:rsidRPr="001647BF">
        <w:t xml:space="preserve"> intervention</w:t>
      </w:r>
      <w:r w:rsidR="001647BF" w:rsidRPr="001647BF">
        <w:t>s</w:t>
      </w:r>
      <w:r w:rsidR="000E3DE1" w:rsidRPr="001647BF">
        <w:t xml:space="preserve"> could also affect key views to and from heritage assets. </w:t>
      </w:r>
      <w:r w:rsidR="00226935" w:rsidRPr="00435824">
        <w:t>S</w:t>
      </w:r>
      <w:r w:rsidR="000E3DE1" w:rsidRPr="00435824">
        <w:t>everal of the road interventions proposed</w:t>
      </w:r>
      <w:r w:rsidR="00226935" w:rsidRPr="00435824">
        <w:t xml:space="preserve"> could also result in </w:t>
      </w:r>
      <w:r w:rsidR="000E3DE1" w:rsidRPr="00435824">
        <w:t xml:space="preserve">negative environmental effects during both the construction and operation </w:t>
      </w:r>
      <w:r w:rsidR="00435824" w:rsidRPr="00435824">
        <w:t>phases; h</w:t>
      </w:r>
      <w:r w:rsidR="000E3DE1" w:rsidRPr="00435824">
        <w:t xml:space="preserve">owever, the scale of the </w:t>
      </w:r>
      <w:r w:rsidR="00687166">
        <w:t>effe</w:t>
      </w:r>
      <w:r w:rsidR="00687166" w:rsidRPr="004F5EEB">
        <w:t>cts</w:t>
      </w:r>
      <w:r w:rsidR="000E3DE1" w:rsidRPr="00435824">
        <w:t xml:space="preserve"> is uncertain at this stage, particularly for junction improvements, realignment, widening and overtaking opportunities. </w:t>
      </w:r>
      <w:r w:rsidR="00435824" w:rsidRPr="00435824">
        <w:t>There is no clear relationship between the decarbonisation of the bus</w:t>
      </w:r>
      <w:r>
        <w:t>, rail</w:t>
      </w:r>
      <w:r w:rsidR="00435824" w:rsidRPr="00435824">
        <w:t xml:space="preserve"> and ferry networks and the protection or enhancement of cultural heritage. </w:t>
      </w:r>
      <w:bookmarkStart w:id="1905" w:name="_Hlk93306477"/>
      <w:r w:rsidR="00E27911">
        <w:t xml:space="preserve">Any redevelopment of railway stations could also potentially lead to negative </w:t>
      </w:r>
      <w:r w:rsidR="00687166">
        <w:t>effe</w:t>
      </w:r>
      <w:r w:rsidR="00687166" w:rsidRPr="004F5EEB">
        <w:t>cts</w:t>
      </w:r>
      <w:r w:rsidR="00E27911">
        <w:t xml:space="preserve"> on cultural heritage, including cumulative effects across Scotland.</w:t>
      </w:r>
      <w:bookmarkEnd w:id="1905"/>
      <w:r w:rsidR="00E27911">
        <w:t xml:space="preserve"> Mitigation measures are listed in </w:t>
      </w:r>
      <w:r w:rsidR="00E27911" w:rsidRPr="00E27911">
        <w:rPr>
          <w:b/>
          <w:bCs/>
        </w:rPr>
        <w:t>Section 9.8</w:t>
      </w:r>
      <w:r w:rsidR="00E27911">
        <w:rPr>
          <w:b/>
          <w:bCs/>
        </w:rPr>
        <w:t xml:space="preserve"> </w:t>
      </w:r>
      <w:r w:rsidR="00E27911" w:rsidRPr="00E27911">
        <w:t>of this report</w:t>
      </w:r>
      <w:r w:rsidR="00E27911">
        <w:t xml:space="preserve">. </w:t>
      </w:r>
    </w:p>
    <w:p w14:paraId="47EB6FB9" w14:textId="68448F54" w:rsidR="000E3DE1" w:rsidRDefault="000E3DE1" w:rsidP="001302FA">
      <w:pPr>
        <w:pStyle w:val="Heading3"/>
      </w:pPr>
      <w:bookmarkStart w:id="1906" w:name="_Toc121339155"/>
      <w:bookmarkEnd w:id="1904"/>
      <w:r>
        <w:t xml:space="preserve">Landscape and </w:t>
      </w:r>
      <w:r w:rsidR="001779E0">
        <w:t>V</w:t>
      </w:r>
      <w:r>
        <w:t xml:space="preserve">isual </w:t>
      </w:r>
      <w:r w:rsidR="001779E0">
        <w:t>A</w:t>
      </w:r>
      <w:r>
        <w:t>menity</w:t>
      </w:r>
      <w:bookmarkEnd w:id="1906"/>
    </w:p>
    <w:p w14:paraId="41FA2DF1" w14:textId="4D85638A" w:rsidR="00E57E2D" w:rsidRDefault="00435824" w:rsidP="00D93256">
      <w:pPr>
        <w:pStyle w:val="STPR2BodyText"/>
      </w:pPr>
      <w:r w:rsidRPr="008D64C9">
        <w:t xml:space="preserve">The </w:t>
      </w:r>
      <w:r w:rsidR="00E9266D">
        <w:t>t</w:t>
      </w:r>
      <w:r w:rsidRPr="008D64C9">
        <w:t>echnology</w:t>
      </w:r>
      <w:r w:rsidR="00E9266D">
        <w:t>-related</w:t>
      </w:r>
      <w:r w:rsidRPr="008D64C9">
        <w:t xml:space="preserve"> </w:t>
      </w:r>
      <w:r w:rsidR="00981112" w:rsidRPr="00981112">
        <w:t>recommendations</w:t>
      </w:r>
      <w:r w:rsidR="00013503">
        <w:t xml:space="preserve"> are </w:t>
      </w:r>
      <w:r w:rsidRPr="008D64C9">
        <w:t>anticipated to result in neutral effects on landscape and visual amenity as the proposed interventions will require minimal hard infrastructure</w:t>
      </w:r>
      <w:r>
        <w:t>.</w:t>
      </w:r>
      <w:r w:rsidR="008D64C9">
        <w:t xml:space="preserve"> The remainder</w:t>
      </w:r>
      <w:r w:rsidR="000E3DE1" w:rsidRPr="002A7298">
        <w:t xml:space="preserve"> of the </w:t>
      </w:r>
      <w:r w:rsidR="000B7D4B" w:rsidRPr="000B7D4B">
        <w:t>recommendations</w:t>
      </w:r>
      <w:r w:rsidR="000E3DE1" w:rsidRPr="002A7298">
        <w:t xml:space="preserve"> are anticipated to result in uncertain effects on landscape and visual amenity</w:t>
      </w:r>
      <w:r w:rsidR="008D64C9" w:rsidRPr="008D64C9">
        <w:t xml:space="preserve"> </w:t>
      </w:r>
      <w:r w:rsidR="008D64C9">
        <w:t>as there</w:t>
      </w:r>
      <w:r w:rsidR="000E3DE1">
        <w:t xml:space="preserve"> is </w:t>
      </w:r>
      <w:r w:rsidR="008D64C9">
        <w:t>potential for a range of effects associated with</w:t>
      </w:r>
      <w:r w:rsidR="000E3DE1">
        <w:t xml:space="preserve"> the </w:t>
      </w:r>
      <w:r w:rsidR="008D64C9">
        <w:t>various interventions proposed</w:t>
      </w:r>
      <w:r w:rsidR="000E3DE1" w:rsidRPr="002A7298">
        <w:t xml:space="preserve">. </w:t>
      </w:r>
      <w:bookmarkStart w:id="1907" w:name="_Hlk93225516"/>
      <w:r w:rsidR="00E57E2D" w:rsidRPr="00E57E2D">
        <w:t xml:space="preserve">However, urban realm improvements, for example, associated with some </w:t>
      </w:r>
      <w:r w:rsidR="00571A40">
        <w:t>a</w:t>
      </w:r>
      <w:r w:rsidR="00E57E2D" w:rsidRPr="00E57E2D">
        <w:t xml:space="preserve">ctive </w:t>
      </w:r>
      <w:r w:rsidR="00571A40">
        <w:t>t</w:t>
      </w:r>
      <w:r w:rsidR="00E57E2D" w:rsidRPr="00E57E2D">
        <w:t>ravel interventions could lead to (post</w:t>
      </w:r>
      <w:r w:rsidR="004B5435">
        <w:t>-</w:t>
      </w:r>
      <w:r w:rsidR="00E57E2D" w:rsidRPr="00E57E2D">
        <w:t xml:space="preserve">construction) improvements to the landscape in some locations. </w:t>
      </w:r>
      <w:bookmarkEnd w:id="1907"/>
    </w:p>
    <w:p w14:paraId="3A36F48A" w14:textId="38BAA6FC" w:rsidR="00571A40" w:rsidRDefault="000E3DE1" w:rsidP="00D93256">
      <w:pPr>
        <w:pStyle w:val="STPR2BodyText"/>
      </w:pPr>
      <w:r w:rsidRPr="002A7298">
        <w:lastRenderedPageBreak/>
        <w:t>There is</w:t>
      </w:r>
      <w:r w:rsidR="00173938" w:rsidRPr="002A7298">
        <w:t xml:space="preserve"> also</w:t>
      </w:r>
      <w:r w:rsidRPr="002A7298">
        <w:t xml:space="preserve"> potential for negative environmental effects during both the construction and operation of several of the road interventions proposed. However, the scale of the </w:t>
      </w:r>
      <w:r w:rsidR="00687166">
        <w:t>effe</w:t>
      </w:r>
      <w:r w:rsidR="00687166" w:rsidRPr="004F5EEB">
        <w:t>cts</w:t>
      </w:r>
      <w:r w:rsidRPr="002A7298">
        <w:t xml:space="preserve"> is uncertain at this stage, particularly for junction improvements, realignment, widening and overtaking opportunities. </w:t>
      </w:r>
    </w:p>
    <w:p w14:paraId="2E29D9C2" w14:textId="23FCF45A" w:rsidR="00C26117" w:rsidRDefault="00571A40" w:rsidP="00D93256">
      <w:pPr>
        <w:pStyle w:val="STPR2BodyText"/>
      </w:pPr>
      <w:r>
        <w:t>There</w:t>
      </w:r>
      <w:r w:rsidR="002A7298" w:rsidRPr="002A7298">
        <w:t xml:space="preserve"> is no clear relationship between the decarbonisation of the </w:t>
      </w:r>
      <w:r>
        <w:t xml:space="preserve">rail, </w:t>
      </w:r>
      <w:r w:rsidR="002A7298" w:rsidRPr="002A7298">
        <w:t>bus and ferry networks (at this strategic level) and landscape and visual amenity.</w:t>
      </w:r>
      <w:r w:rsidR="000E3DE1" w:rsidRPr="002A7298">
        <w:t xml:space="preserve"> </w:t>
      </w:r>
    </w:p>
    <w:p w14:paraId="4F8144F0" w14:textId="67F15281" w:rsidR="002F125C" w:rsidRDefault="00D170EC" w:rsidP="00F318B9">
      <w:pPr>
        <w:pStyle w:val="Heading2"/>
      </w:pPr>
      <w:bookmarkStart w:id="1908" w:name="_Ref90565256"/>
      <w:bookmarkStart w:id="1909" w:name="_Toc121339156"/>
      <w:r>
        <w:t xml:space="preserve">Compatibility of </w:t>
      </w:r>
      <w:r w:rsidR="00664E4A">
        <w:t>STPR2 Recommendations with the SEA Objectives</w:t>
      </w:r>
      <w:bookmarkEnd w:id="1908"/>
      <w:bookmarkEnd w:id="1909"/>
    </w:p>
    <w:p w14:paraId="2E42EDD8" w14:textId="532CB307" w:rsidR="00BE17C4" w:rsidRDefault="00781FCD" w:rsidP="00F318B9">
      <w:pPr>
        <w:rPr>
          <w:rFonts w:ascii="Arial" w:hAnsi="Arial" w:cs="Arial"/>
          <w:color w:val="000000"/>
          <w:sz w:val="24"/>
          <w:szCs w:val="20"/>
        </w:rPr>
      </w:pPr>
      <w:r w:rsidRPr="00781FCD">
        <w:rPr>
          <w:rFonts w:ascii="Arial" w:hAnsi="Arial" w:cs="Arial"/>
          <w:color w:val="000000"/>
          <w:sz w:val="24"/>
          <w:szCs w:val="20"/>
        </w:rPr>
        <w:t xml:space="preserve">The </w:t>
      </w:r>
      <w:r w:rsidR="00D34A33">
        <w:rPr>
          <w:rFonts w:ascii="Arial" w:hAnsi="Arial" w:cs="Arial"/>
          <w:color w:val="000000"/>
          <w:sz w:val="24"/>
          <w:szCs w:val="20"/>
        </w:rPr>
        <w:t xml:space="preserve">45 </w:t>
      </w:r>
      <w:r w:rsidRPr="00781FCD">
        <w:rPr>
          <w:rFonts w:ascii="Arial" w:hAnsi="Arial" w:cs="Arial"/>
          <w:color w:val="000000"/>
          <w:sz w:val="24"/>
          <w:szCs w:val="20"/>
        </w:rPr>
        <w:t>STPR2 Recommendations</w:t>
      </w:r>
      <w:r w:rsidR="00797910">
        <w:rPr>
          <w:rFonts w:ascii="Arial" w:hAnsi="Arial" w:cs="Arial"/>
          <w:color w:val="000000"/>
          <w:sz w:val="24"/>
          <w:szCs w:val="20"/>
        </w:rPr>
        <w:t xml:space="preserve">, listed in </w:t>
      </w:r>
      <w:r w:rsidR="00797910" w:rsidRPr="003C06C1">
        <w:rPr>
          <w:rFonts w:ascii="Arial" w:hAnsi="Arial" w:cs="Arial"/>
          <w:b/>
          <w:bCs/>
          <w:color w:val="000000"/>
          <w:sz w:val="24"/>
          <w:szCs w:val="20"/>
        </w:rPr>
        <w:t xml:space="preserve">Section </w:t>
      </w:r>
      <w:r w:rsidR="00D34A33" w:rsidRPr="003C06C1">
        <w:rPr>
          <w:rFonts w:ascii="Arial" w:hAnsi="Arial" w:cs="Arial"/>
          <w:b/>
          <w:bCs/>
          <w:color w:val="000000"/>
          <w:sz w:val="24"/>
          <w:szCs w:val="20"/>
        </w:rPr>
        <w:t>2.10</w:t>
      </w:r>
      <w:r w:rsidR="00343589">
        <w:rPr>
          <w:rFonts w:ascii="Arial" w:hAnsi="Arial" w:cs="Arial"/>
          <w:color w:val="000000"/>
          <w:sz w:val="24"/>
          <w:szCs w:val="20"/>
        </w:rPr>
        <w:t xml:space="preserve">, </w:t>
      </w:r>
      <w:r w:rsidR="007142AD">
        <w:rPr>
          <w:rFonts w:ascii="Arial" w:hAnsi="Arial" w:cs="Arial"/>
          <w:color w:val="000000"/>
          <w:sz w:val="24"/>
          <w:szCs w:val="20"/>
        </w:rPr>
        <w:t>have been checked for compatibility with the SEA o</w:t>
      </w:r>
      <w:r w:rsidR="00E744E8">
        <w:rPr>
          <w:rFonts w:ascii="Arial" w:hAnsi="Arial" w:cs="Arial"/>
          <w:color w:val="000000"/>
          <w:sz w:val="24"/>
          <w:szCs w:val="20"/>
        </w:rPr>
        <w:t xml:space="preserve">bjectives listed in </w:t>
      </w:r>
      <w:r w:rsidR="00557E2B" w:rsidRPr="003C06C1">
        <w:rPr>
          <w:rFonts w:ascii="Arial" w:hAnsi="Arial" w:cs="Arial"/>
          <w:b/>
          <w:bCs/>
          <w:color w:val="000000"/>
          <w:sz w:val="24"/>
          <w:szCs w:val="20"/>
        </w:rPr>
        <w:t>S</w:t>
      </w:r>
      <w:r w:rsidR="00E744E8" w:rsidRPr="003C06C1">
        <w:rPr>
          <w:rFonts w:ascii="Arial" w:hAnsi="Arial" w:cs="Arial"/>
          <w:b/>
          <w:bCs/>
          <w:color w:val="000000"/>
          <w:sz w:val="24"/>
          <w:szCs w:val="20"/>
        </w:rPr>
        <w:t>ection</w:t>
      </w:r>
      <w:r w:rsidR="00557E2B" w:rsidRPr="003C06C1">
        <w:rPr>
          <w:rFonts w:ascii="Arial" w:hAnsi="Arial" w:cs="Arial"/>
          <w:b/>
          <w:bCs/>
          <w:color w:val="000000"/>
          <w:sz w:val="24"/>
          <w:szCs w:val="20"/>
        </w:rPr>
        <w:t xml:space="preserve"> </w:t>
      </w:r>
      <w:r w:rsidR="00723967" w:rsidRPr="003C06C1">
        <w:rPr>
          <w:rFonts w:ascii="Arial" w:hAnsi="Arial" w:cs="Arial"/>
          <w:b/>
          <w:bCs/>
          <w:color w:val="000000"/>
          <w:sz w:val="24"/>
          <w:szCs w:val="20"/>
        </w:rPr>
        <w:fldChar w:fldCharType="begin"/>
      </w:r>
      <w:r w:rsidR="00723967" w:rsidRPr="003C06C1">
        <w:rPr>
          <w:rFonts w:ascii="Arial" w:hAnsi="Arial" w:cs="Arial"/>
          <w:b/>
          <w:bCs/>
          <w:color w:val="000000"/>
          <w:sz w:val="24"/>
          <w:szCs w:val="20"/>
        </w:rPr>
        <w:instrText xml:space="preserve"> REF _Ref92886962 \r \h </w:instrText>
      </w:r>
      <w:r w:rsidR="003C06C1">
        <w:rPr>
          <w:rFonts w:ascii="Arial" w:hAnsi="Arial" w:cs="Arial"/>
          <w:b/>
          <w:bCs/>
          <w:color w:val="000000"/>
          <w:sz w:val="24"/>
          <w:szCs w:val="20"/>
        </w:rPr>
        <w:instrText xml:space="preserve"> \* MERGEFORMAT </w:instrText>
      </w:r>
      <w:r w:rsidR="00723967" w:rsidRPr="003C06C1">
        <w:rPr>
          <w:rFonts w:ascii="Arial" w:hAnsi="Arial" w:cs="Arial"/>
          <w:b/>
          <w:bCs/>
          <w:color w:val="000000"/>
          <w:sz w:val="24"/>
          <w:szCs w:val="20"/>
        </w:rPr>
      </w:r>
      <w:r w:rsidR="00723967" w:rsidRPr="003C06C1">
        <w:rPr>
          <w:rFonts w:ascii="Arial" w:hAnsi="Arial" w:cs="Arial"/>
          <w:b/>
          <w:bCs/>
          <w:color w:val="000000"/>
          <w:sz w:val="24"/>
          <w:szCs w:val="20"/>
        </w:rPr>
        <w:fldChar w:fldCharType="separate"/>
      </w:r>
      <w:r w:rsidR="00C22A9E">
        <w:rPr>
          <w:rFonts w:ascii="Arial" w:hAnsi="Arial" w:cs="Arial"/>
          <w:b/>
          <w:bCs/>
          <w:color w:val="000000"/>
          <w:sz w:val="24"/>
          <w:szCs w:val="20"/>
        </w:rPr>
        <w:t>0</w:t>
      </w:r>
      <w:r w:rsidR="00723967" w:rsidRPr="003C06C1">
        <w:rPr>
          <w:rFonts w:ascii="Arial" w:hAnsi="Arial" w:cs="Arial"/>
          <w:b/>
          <w:bCs/>
          <w:color w:val="000000"/>
          <w:sz w:val="24"/>
          <w:szCs w:val="20"/>
        </w:rPr>
        <w:fldChar w:fldCharType="end"/>
      </w:r>
      <w:r w:rsidR="00557E2B">
        <w:rPr>
          <w:rFonts w:ascii="Arial" w:hAnsi="Arial" w:cs="Arial"/>
          <w:color w:val="000000"/>
          <w:sz w:val="24"/>
          <w:szCs w:val="20"/>
        </w:rPr>
        <w:t xml:space="preserve">. </w:t>
      </w:r>
      <w:r w:rsidR="00D34A33">
        <w:rPr>
          <w:rFonts w:ascii="Arial" w:hAnsi="Arial" w:cs="Arial"/>
          <w:color w:val="000000"/>
          <w:sz w:val="24"/>
          <w:szCs w:val="20"/>
        </w:rPr>
        <w:t xml:space="preserve">The detailed assessment of the recommendations across all SEA Objectives, with an accompanying narrative to explain the scoring, is provided in </w:t>
      </w:r>
      <w:r w:rsidR="00D34A33" w:rsidRPr="003C06C1">
        <w:rPr>
          <w:rFonts w:ascii="Arial" w:hAnsi="Arial" w:cs="Arial"/>
          <w:b/>
          <w:bCs/>
          <w:color w:val="000000"/>
          <w:sz w:val="24"/>
          <w:szCs w:val="20"/>
        </w:rPr>
        <w:t xml:space="preserve">Appendix F (Assessment Matrices). </w:t>
      </w:r>
      <w:r w:rsidR="009D10C7" w:rsidRPr="009D10C7">
        <w:rPr>
          <w:rFonts w:ascii="Arial" w:hAnsi="Arial" w:cs="Arial"/>
          <w:color w:val="000000"/>
          <w:sz w:val="24"/>
          <w:szCs w:val="20"/>
        </w:rPr>
        <w:fldChar w:fldCharType="begin"/>
      </w:r>
      <w:r w:rsidR="009D10C7" w:rsidRPr="009D10C7">
        <w:rPr>
          <w:rFonts w:ascii="Arial" w:hAnsi="Arial" w:cs="Arial"/>
          <w:color w:val="000000"/>
          <w:sz w:val="24"/>
          <w:szCs w:val="20"/>
        </w:rPr>
        <w:instrText xml:space="preserve"> REF _Ref93065528 \h </w:instrText>
      </w:r>
      <w:r w:rsidR="009D10C7">
        <w:rPr>
          <w:rFonts w:ascii="Arial" w:hAnsi="Arial" w:cs="Arial"/>
          <w:color w:val="000000"/>
          <w:sz w:val="24"/>
          <w:szCs w:val="20"/>
        </w:rPr>
        <w:instrText xml:space="preserve"> \* MERGEFORMAT </w:instrText>
      </w:r>
      <w:r w:rsidR="009D10C7" w:rsidRPr="009D10C7">
        <w:rPr>
          <w:rFonts w:ascii="Arial" w:hAnsi="Arial" w:cs="Arial"/>
          <w:color w:val="000000"/>
          <w:sz w:val="24"/>
          <w:szCs w:val="20"/>
        </w:rPr>
      </w:r>
      <w:r w:rsidR="009D10C7" w:rsidRPr="009D10C7">
        <w:rPr>
          <w:rFonts w:ascii="Arial" w:hAnsi="Arial" w:cs="Arial"/>
          <w:color w:val="000000"/>
          <w:sz w:val="24"/>
          <w:szCs w:val="20"/>
        </w:rPr>
        <w:fldChar w:fldCharType="separate"/>
      </w:r>
      <w:r w:rsidR="00C22A9E" w:rsidRPr="00C22A9E">
        <w:rPr>
          <w:rFonts w:ascii="Arial" w:hAnsi="Arial" w:cs="Arial"/>
          <w:color w:val="000000"/>
          <w:sz w:val="24"/>
          <w:szCs w:val="20"/>
        </w:rPr>
        <w:t>Table 7</w:t>
      </w:r>
      <w:r w:rsidR="009D10C7" w:rsidRPr="009D10C7">
        <w:rPr>
          <w:rFonts w:ascii="Arial" w:hAnsi="Arial" w:cs="Arial"/>
          <w:color w:val="000000"/>
          <w:sz w:val="24"/>
          <w:szCs w:val="20"/>
        </w:rPr>
        <w:fldChar w:fldCharType="end"/>
      </w:r>
      <w:r w:rsidR="009D10C7" w:rsidRPr="009D10C7">
        <w:rPr>
          <w:rFonts w:ascii="Arial" w:hAnsi="Arial" w:cs="Arial"/>
          <w:color w:val="000000"/>
          <w:sz w:val="24"/>
          <w:szCs w:val="20"/>
        </w:rPr>
        <w:t xml:space="preserve"> provides</w:t>
      </w:r>
      <w:r w:rsidR="009D0716" w:rsidRPr="009D0716">
        <w:t xml:space="preserve"> </w:t>
      </w:r>
      <w:r w:rsidR="009D0716">
        <w:rPr>
          <w:rFonts w:ascii="Arial" w:hAnsi="Arial" w:cs="Arial"/>
          <w:color w:val="000000"/>
          <w:sz w:val="24"/>
          <w:szCs w:val="20"/>
        </w:rPr>
        <w:t>a</w:t>
      </w:r>
      <w:r w:rsidR="009D0716" w:rsidRPr="009D0716">
        <w:rPr>
          <w:rFonts w:ascii="Arial" w:hAnsi="Arial" w:cs="Arial"/>
          <w:color w:val="000000"/>
          <w:sz w:val="24"/>
          <w:szCs w:val="20"/>
        </w:rPr>
        <w:t xml:space="preserve"> </w:t>
      </w:r>
      <w:r w:rsidR="009D0716">
        <w:rPr>
          <w:rFonts w:ascii="Arial" w:hAnsi="Arial" w:cs="Arial"/>
          <w:color w:val="000000"/>
          <w:sz w:val="24"/>
          <w:szCs w:val="20"/>
        </w:rPr>
        <w:t xml:space="preserve">list of </w:t>
      </w:r>
      <w:r w:rsidR="00FC3074" w:rsidRPr="00FC3074">
        <w:rPr>
          <w:rFonts w:ascii="Arial" w:hAnsi="Arial" w:cs="Arial"/>
          <w:color w:val="000000"/>
          <w:sz w:val="24"/>
          <w:szCs w:val="20"/>
        </w:rPr>
        <w:t xml:space="preserve">the </w:t>
      </w:r>
      <w:r w:rsidR="009D0716">
        <w:rPr>
          <w:rFonts w:ascii="Arial" w:hAnsi="Arial" w:cs="Arial"/>
          <w:color w:val="000000"/>
          <w:sz w:val="24"/>
          <w:szCs w:val="20"/>
        </w:rPr>
        <w:t xml:space="preserve">STPR2 recommendations and a </w:t>
      </w:r>
      <w:r w:rsidR="009D0716" w:rsidRPr="009D0716">
        <w:rPr>
          <w:rFonts w:ascii="Arial" w:hAnsi="Arial" w:cs="Arial"/>
          <w:color w:val="000000"/>
          <w:sz w:val="24"/>
          <w:szCs w:val="20"/>
        </w:rPr>
        <w:t xml:space="preserve">cumulative ‘average’ score </w:t>
      </w:r>
      <w:r w:rsidR="009D0716">
        <w:rPr>
          <w:rFonts w:ascii="Arial" w:hAnsi="Arial" w:cs="Arial"/>
          <w:color w:val="000000"/>
          <w:sz w:val="24"/>
          <w:szCs w:val="20"/>
        </w:rPr>
        <w:t xml:space="preserve">for each recommendation </w:t>
      </w:r>
      <w:r w:rsidR="009D0716" w:rsidRPr="009D0716">
        <w:rPr>
          <w:rFonts w:ascii="Arial" w:hAnsi="Arial" w:cs="Arial"/>
          <w:color w:val="000000"/>
          <w:sz w:val="24"/>
          <w:szCs w:val="20"/>
        </w:rPr>
        <w:t>across all SEA Objectives</w:t>
      </w:r>
      <w:r w:rsidR="009D0716">
        <w:rPr>
          <w:rFonts w:ascii="Arial" w:hAnsi="Arial" w:cs="Arial"/>
          <w:color w:val="000000"/>
          <w:sz w:val="24"/>
          <w:szCs w:val="20"/>
        </w:rPr>
        <w:t xml:space="preserve">. This average score was </w:t>
      </w:r>
      <w:r w:rsidR="009D0716" w:rsidRPr="009D0716">
        <w:rPr>
          <w:rFonts w:ascii="Arial" w:hAnsi="Arial" w:cs="Arial"/>
          <w:color w:val="000000"/>
          <w:sz w:val="24"/>
          <w:szCs w:val="20"/>
        </w:rPr>
        <w:t xml:space="preserve">based on the methodology provided in </w:t>
      </w:r>
      <w:r w:rsidR="009D0716" w:rsidRPr="009D0716">
        <w:rPr>
          <w:rFonts w:ascii="Arial" w:hAnsi="Arial" w:cs="Arial"/>
          <w:b/>
          <w:bCs/>
          <w:color w:val="000000"/>
          <w:sz w:val="24"/>
          <w:szCs w:val="20"/>
        </w:rPr>
        <w:t>Section 7.8</w:t>
      </w:r>
      <w:r w:rsidR="009D0716" w:rsidRPr="009D0716">
        <w:rPr>
          <w:rFonts w:ascii="Arial" w:hAnsi="Arial" w:cs="Arial"/>
          <w:color w:val="000000"/>
          <w:sz w:val="24"/>
          <w:szCs w:val="20"/>
        </w:rPr>
        <w:t>.</w:t>
      </w:r>
    </w:p>
    <w:p w14:paraId="3BB7BF46" w14:textId="77777777" w:rsidR="00D34A33" w:rsidRDefault="00D34A33" w:rsidP="00F318B9">
      <w:pPr>
        <w:rPr>
          <w:rFonts w:ascii="Arial" w:hAnsi="Arial" w:cs="Arial"/>
          <w:color w:val="000000"/>
          <w:sz w:val="24"/>
          <w:szCs w:val="20"/>
        </w:rPr>
      </w:pPr>
    </w:p>
    <w:p w14:paraId="74930872" w14:textId="77777777" w:rsidR="00D34A33" w:rsidRDefault="00D34A33" w:rsidP="00F318B9">
      <w:pPr>
        <w:rPr>
          <w:rFonts w:ascii="Arial" w:hAnsi="Arial" w:cs="Arial"/>
          <w:color w:val="000000"/>
          <w:sz w:val="24"/>
          <w:szCs w:val="20"/>
        </w:rPr>
      </w:pPr>
    </w:p>
    <w:p w14:paraId="74F19187" w14:textId="77777777" w:rsidR="00D34A33" w:rsidRDefault="00D34A33" w:rsidP="00F318B9">
      <w:pPr>
        <w:rPr>
          <w:rFonts w:ascii="Arial" w:hAnsi="Arial" w:cs="Arial"/>
          <w:color w:val="000000"/>
          <w:sz w:val="24"/>
          <w:szCs w:val="20"/>
        </w:rPr>
      </w:pPr>
    </w:p>
    <w:p w14:paraId="3B04C8D8" w14:textId="77777777" w:rsidR="00D34A33" w:rsidRDefault="00D34A33" w:rsidP="00F318B9">
      <w:pPr>
        <w:rPr>
          <w:rFonts w:ascii="Arial" w:hAnsi="Arial" w:cs="Arial"/>
          <w:color w:val="000000"/>
          <w:sz w:val="24"/>
          <w:szCs w:val="20"/>
        </w:rPr>
      </w:pPr>
    </w:p>
    <w:p w14:paraId="43B2B13D" w14:textId="77777777" w:rsidR="00D34A33" w:rsidRDefault="00D34A33" w:rsidP="00F318B9">
      <w:pPr>
        <w:rPr>
          <w:rFonts w:ascii="Arial" w:hAnsi="Arial" w:cs="Arial"/>
          <w:color w:val="000000"/>
          <w:sz w:val="24"/>
          <w:szCs w:val="20"/>
        </w:rPr>
      </w:pPr>
    </w:p>
    <w:p w14:paraId="2E13E747" w14:textId="4199C8A1" w:rsidR="00D34A33" w:rsidRDefault="00D34A33" w:rsidP="00F318B9">
      <w:pPr>
        <w:rPr>
          <w:rFonts w:ascii="Arial" w:hAnsi="Arial" w:cs="Arial"/>
          <w:color w:val="000000"/>
          <w:sz w:val="24"/>
          <w:szCs w:val="20"/>
        </w:rPr>
        <w:sectPr w:rsidR="00D34A33" w:rsidSect="000C6958">
          <w:pgSz w:w="11906" w:h="16838" w:code="9"/>
          <w:pgMar w:top="1701" w:right="1134" w:bottom="1134" w:left="1134" w:header="454" w:footer="567" w:gutter="0"/>
          <w:cols w:space="720"/>
          <w:noEndnote/>
          <w:docGrid w:linePitch="299"/>
        </w:sectPr>
      </w:pPr>
    </w:p>
    <w:p w14:paraId="1D058017" w14:textId="78FFB768" w:rsidR="001117F3" w:rsidRPr="00B664A8" w:rsidRDefault="001117F3" w:rsidP="00D93256">
      <w:pPr>
        <w:pStyle w:val="STPR2Caption"/>
      </w:pPr>
      <w:bookmarkStart w:id="1910" w:name="_Ref93065528"/>
      <w:bookmarkStart w:id="1911" w:name="_Toc121231978"/>
      <w:r w:rsidRPr="00B664A8">
        <w:lastRenderedPageBreak/>
        <w:t xml:space="preserve">Table </w:t>
      </w:r>
      <w:r>
        <w:fldChar w:fldCharType="begin"/>
      </w:r>
      <w:r w:rsidRPr="00B664A8">
        <w:instrText xml:space="preserve"> SEQ Table \* ARABIC </w:instrText>
      </w:r>
      <w:r>
        <w:fldChar w:fldCharType="separate"/>
      </w:r>
      <w:r w:rsidR="00C22A9E">
        <w:rPr>
          <w:noProof/>
        </w:rPr>
        <w:t>7</w:t>
      </w:r>
      <w:r>
        <w:fldChar w:fldCharType="end"/>
      </w:r>
      <w:bookmarkEnd w:id="1910"/>
      <w:r w:rsidR="00B664A8">
        <w:t>:</w:t>
      </w:r>
      <w:r w:rsidRPr="00B664A8">
        <w:t xml:space="preserve"> Compatibility Assessment of </w:t>
      </w:r>
      <w:r w:rsidR="00FC3074">
        <w:t xml:space="preserve">the </w:t>
      </w:r>
      <w:r w:rsidRPr="00B664A8">
        <w:t>STPR2 Recommendations and SEA Objectives</w:t>
      </w:r>
      <w:bookmarkEnd w:id="1911"/>
    </w:p>
    <w:tbl>
      <w:tblPr>
        <w:tblStyle w:val="TableGrid2"/>
        <w:tblW w:w="499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351"/>
        <w:gridCol w:w="2692"/>
        <w:gridCol w:w="1922"/>
      </w:tblGrid>
      <w:tr w:rsidR="00D27D26" w:rsidRPr="00F903FC" w14:paraId="6748FFC2" w14:textId="77777777" w:rsidTr="00D27D26">
        <w:trPr>
          <w:trHeight w:val="435"/>
          <w:tblHeader/>
        </w:trPr>
        <w:tc>
          <w:tcPr>
            <w:tcW w:w="3348" w:type="pct"/>
            <w:tcBorders>
              <w:top w:val="single" w:sz="18" w:space="0" w:color="FFFFFF" w:themeColor="background1"/>
            </w:tcBorders>
            <w:shd w:val="clear" w:color="auto" w:fill="007D55"/>
          </w:tcPr>
          <w:p w14:paraId="7A718CA4" w14:textId="77777777" w:rsidR="001117F3" w:rsidRPr="00F903FC" w:rsidRDefault="001117F3" w:rsidP="00D93256">
            <w:pPr>
              <w:pStyle w:val="STPR2WhiteTableHeading"/>
            </w:pPr>
            <w:r>
              <w:t>STPR2 Recommendations</w:t>
            </w:r>
          </w:p>
        </w:tc>
        <w:tc>
          <w:tcPr>
            <w:tcW w:w="964" w:type="pct"/>
            <w:tcBorders>
              <w:top w:val="single" w:sz="18" w:space="0" w:color="FFFFFF" w:themeColor="background1"/>
            </w:tcBorders>
            <w:shd w:val="clear" w:color="auto" w:fill="007D55"/>
          </w:tcPr>
          <w:p w14:paraId="712D5E9F" w14:textId="77777777" w:rsidR="001117F3" w:rsidRPr="00F903FC" w:rsidRDefault="001117F3" w:rsidP="00D93256">
            <w:pPr>
              <w:pStyle w:val="STPR2WhiteTableHeading"/>
            </w:pPr>
            <w:r>
              <w:t>Recommendation number</w:t>
            </w:r>
          </w:p>
        </w:tc>
        <w:tc>
          <w:tcPr>
            <w:tcW w:w="688" w:type="pct"/>
            <w:tcBorders>
              <w:top w:val="single" w:sz="18" w:space="0" w:color="FFFFFF" w:themeColor="background1"/>
            </w:tcBorders>
            <w:shd w:val="clear" w:color="auto" w:fill="007D55"/>
          </w:tcPr>
          <w:p w14:paraId="7493DB17" w14:textId="77777777" w:rsidR="001117F3" w:rsidRPr="00F903FC" w:rsidRDefault="001117F3" w:rsidP="00D93256">
            <w:pPr>
              <w:pStyle w:val="STPR2WhiteTableHeading"/>
            </w:pPr>
            <w:r>
              <w:t>SEA Cumulative SCORE</w:t>
            </w:r>
          </w:p>
        </w:tc>
      </w:tr>
      <w:tr w:rsidR="001117F3" w:rsidRPr="00D00ED1" w14:paraId="182CFC9C"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tcPr>
          <w:p w14:paraId="76889FCC" w14:textId="180D0873" w:rsidR="001117F3" w:rsidRPr="00D00ED1" w:rsidRDefault="001117F3" w:rsidP="00D93256">
            <w:pPr>
              <w:pStyle w:val="STPR2TableBody"/>
            </w:pPr>
            <w:r>
              <w:t xml:space="preserve">Connected </w:t>
            </w:r>
            <w:r w:rsidR="00E766EC">
              <w:t>n</w:t>
            </w:r>
            <w:r>
              <w:t xml:space="preserve">eighbourhoods </w:t>
            </w:r>
          </w:p>
        </w:tc>
        <w:tc>
          <w:tcPr>
            <w:tcW w:w="964" w:type="pct"/>
            <w:tcBorders>
              <w:top w:val="single" w:sz="18" w:space="0" w:color="FFFFFF" w:themeColor="background1"/>
              <w:bottom w:val="single" w:sz="18" w:space="0" w:color="FFFFFF" w:themeColor="background1"/>
            </w:tcBorders>
            <w:shd w:val="clear" w:color="auto" w:fill="DCEDC6"/>
          </w:tcPr>
          <w:p w14:paraId="72674BA5" w14:textId="50831C6F" w:rsidR="001117F3" w:rsidRPr="00D00ED1" w:rsidRDefault="001117F3" w:rsidP="00D93256">
            <w:pPr>
              <w:pStyle w:val="STPR2TableBody"/>
            </w:pPr>
            <w:r>
              <w:t>1</w:t>
            </w:r>
          </w:p>
        </w:tc>
        <w:tc>
          <w:tcPr>
            <w:tcW w:w="688" w:type="pct"/>
            <w:tcBorders>
              <w:top w:val="single" w:sz="18" w:space="0" w:color="FFFFFF" w:themeColor="background1"/>
              <w:bottom w:val="single" w:sz="18" w:space="0" w:color="FFFFFF" w:themeColor="background1"/>
            </w:tcBorders>
            <w:shd w:val="clear" w:color="auto" w:fill="DCEDC6"/>
          </w:tcPr>
          <w:p w14:paraId="7FCDE090" w14:textId="3BDFBE54" w:rsidR="001117F3" w:rsidRPr="00D00ED1" w:rsidRDefault="008D5BBB" w:rsidP="00D93256">
            <w:pPr>
              <w:pStyle w:val="STPR2TableBody"/>
            </w:pPr>
            <w:r>
              <w:t>+</w:t>
            </w:r>
          </w:p>
        </w:tc>
      </w:tr>
      <w:tr w:rsidR="003A6CC0" w:rsidRPr="00D00ED1" w14:paraId="75103684"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tcPr>
          <w:p w14:paraId="10E3AFBC" w14:textId="54779147" w:rsidR="001117F3" w:rsidRPr="00D00ED1" w:rsidRDefault="001117F3" w:rsidP="00D93256">
            <w:pPr>
              <w:pStyle w:val="STPR2TableBody"/>
            </w:pPr>
            <w:r w:rsidRPr="001C2F7C">
              <w:t xml:space="preserve">Active </w:t>
            </w:r>
            <w:r w:rsidR="00E766EC">
              <w:t>f</w:t>
            </w:r>
            <w:r w:rsidRPr="001C2F7C">
              <w:t xml:space="preserve">reeways and </w:t>
            </w:r>
            <w:r w:rsidR="00E766EC">
              <w:t>c</w:t>
            </w:r>
            <w:r w:rsidRPr="001C2F7C">
              <w:t xml:space="preserve">ycle </w:t>
            </w:r>
            <w:r w:rsidR="00E766EC">
              <w:t>p</w:t>
            </w:r>
            <w:r w:rsidRPr="001C2F7C">
              <w:t xml:space="preserve">arking </w:t>
            </w:r>
            <w:r w:rsidR="00E766EC">
              <w:t>h</w:t>
            </w:r>
            <w:r w:rsidRPr="001C2F7C">
              <w:t>ubs</w:t>
            </w:r>
          </w:p>
        </w:tc>
        <w:tc>
          <w:tcPr>
            <w:tcW w:w="964" w:type="pct"/>
            <w:tcBorders>
              <w:top w:val="single" w:sz="18" w:space="0" w:color="FFFFFF" w:themeColor="background1"/>
              <w:bottom w:val="single" w:sz="18" w:space="0" w:color="FFFFFF" w:themeColor="background1"/>
            </w:tcBorders>
            <w:shd w:val="clear" w:color="auto" w:fill="DCEDC6"/>
          </w:tcPr>
          <w:p w14:paraId="09D98895" w14:textId="50E69EE0" w:rsidR="001117F3" w:rsidRPr="00D00ED1" w:rsidRDefault="001117F3" w:rsidP="00D93256">
            <w:pPr>
              <w:pStyle w:val="STPR2TableBody"/>
            </w:pPr>
            <w:r>
              <w:t>2</w:t>
            </w:r>
          </w:p>
        </w:tc>
        <w:tc>
          <w:tcPr>
            <w:tcW w:w="688" w:type="pct"/>
            <w:tcBorders>
              <w:top w:val="single" w:sz="18" w:space="0" w:color="FFFFFF" w:themeColor="background1"/>
              <w:bottom w:val="single" w:sz="18" w:space="0" w:color="FFFFFF" w:themeColor="background1"/>
            </w:tcBorders>
            <w:shd w:val="clear" w:color="auto" w:fill="DCEDC6"/>
          </w:tcPr>
          <w:p w14:paraId="795961F7" w14:textId="11955F0E" w:rsidR="001117F3" w:rsidRPr="00D00ED1" w:rsidRDefault="008D5BBB" w:rsidP="00D93256">
            <w:pPr>
              <w:pStyle w:val="STPR2TableBody"/>
            </w:pPr>
            <w:r>
              <w:t>+</w:t>
            </w:r>
          </w:p>
        </w:tc>
      </w:tr>
      <w:tr w:rsidR="003A6CC0" w:rsidRPr="00D00ED1" w14:paraId="0F0AF493"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tcPr>
          <w:p w14:paraId="0A08547A" w14:textId="5BD8FF9E" w:rsidR="001117F3" w:rsidRPr="00D00ED1" w:rsidRDefault="001117F3" w:rsidP="00D93256">
            <w:pPr>
              <w:pStyle w:val="STPR2TableBody"/>
            </w:pPr>
            <w:r w:rsidRPr="001C2F7C">
              <w:t>Village-</w:t>
            </w:r>
            <w:r w:rsidR="00E766EC">
              <w:t>t</w:t>
            </w:r>
            <w:r w:rsidRPr="001C2F7C">
              <w:t xml:space="preserve">own </w:t>
            </w:r>
            <w:r w:rsidR="00E766EC">
              <w:t>a</w:t>
            </w:r>
            <w:r w:rsidRPr="001C2F7C">
              <w:t xml:space="preserve">ctive </w:t>
            </w:r>
            <w:r w:rsidR="00E766EC">
              <w:t>t</w:t>
            </w:r>
            <w:r w:rsidRPr="001C2F7C">
              <w:t xml:space="preserve">ravel </w:t>
            </w:r>
            <w:r w:rsidR="00E766EC">
              <w:t>c</w:t>
            </w:r>
            <w:r w:rsidRPr="001C2F7C">
              <w:t>onnections</w:t>
            </w:r>
          </w:p>
        </w:tc>
        <w:tc>
          <w:tcPr>
            <w:tcW w:w="964" w:type="pct"/>
            <w:tcBorders>
              <w:top w:val="single" w:sz="18" w:space="0" w:color="FFFFFF" w:themeColor="background1"/>
              <w:bottom w:val="single" w:sz="18" w:space="0" w:color="FFFFFF" w:themeColor="background1"/>
            </w:tcBorders>
            <w:shd w:val="clear" w:color="auto" w:fill="DCEDC6"/>
          </w:tcPr>
          <w:p w14:paraId="7C9D7CCC" w14:textId="3A69CBF8" w:rsidR="001117F3" w:rsidRPr="00D00ED1" w:rsidRDefault="001117F3" w:rsidP="00D93256">
            <w:pPr>
              <w:pStyle w:val="STPR2TableBody"/>
            </w:pPr>
            <w:r>
              <w:t>3</w:t>
            </w:r>
          </w:p>
        </w:tc>
        <w:tc>
          <w:tcPr>
            <w:tcW w:w="688" w:type="pct"/>
            <w:tcBorders>
              <w:top w:val="single" w:sz="18" w:space="0" w:color="FFFFFF" w:themeColor="background1"/>
              <w:bottom w:val="single" w:sz="18" w:space="0" w:color="FFFFFF" w:themeColor="background1"/>
            </w:tcBorders>
            <w:shd w:val="clear" w:color="auto" w:fill="DCEDC6"/>
          </w:tcPr>
          <w:p w14:paraId="40C98BF4" w14:textId="1DDFB3A8" w:rsidR="001117F3" w:rsidRPr="00D00ED1" w:rsidRDefault="008D5BBB" w:rsidP="00D93256">
            <w:pPr>
              <w:pStyle w:val="STPR2TableBody"/>
            </w:pPr>
            <w:r>
              <w:t>+</w:t>
            </w:r>
          </w:p>
        </w:tc>
      </w:tr>
      <w:tr w:rsidR="00D27D26" w:rsidRPr="00D00ED1" w14:paraId="1609EBBB"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tcPr>
          <w:p w14:paraId="32555237" w14:textId="6E9F6E2D" w:rsidR="001117F3" w:rsidRPr="00D00ED1" w:rsidRDefault="001117F3" w:rsidP="00D93256">
            <w:pPr>
              <w:pStyle w:val="STPR2TableBody"/>
            </w:pPr>
            <w:r w:rsidRPr="001C2F7C">
              <w:t xml:space="preserve">Connecting </w:t>
            </w:r>
            <w:r w:rsidR="00E766EC">
              <w:t>t</w:t>
            </w:r>
            <w:r w:rsidRPr="001C2F7C">
              <w:t xml:space="preserve">owns by </w:t>
            </w:r>
            <w:r w:rsidR="00E766EC">
              <w:t>a</w:t>
            </w:r>
            <w:r w:rsidRPr="001C2F7C">
              <w:t xml:space="preserve">ctive </w:t>
            </w:r>
            <w:r w:rsidR="00E766EC">
              <w:t>t</w:t>
            </w:r>
            <w:r w:rsidRPr="001C2F7C">
              <w:t>ravel</w:t>
            </w:r>
          </w:p>
        </w:tc>
        <w:tc>
          <w:tcPr>
            <w:tcW w:w="964" w:type="pct"/>
            <w:tcBorders>
              <w:top w:val="single" w:sz="18" w:space="0" w:color="FFFFFF" w:themeColor="background1"/>
              <w:bottom w:val="single" w:sz="18" w:space="0" w:color="FFFFFF" w:themeColor="background1"/>
            </w:tcBorders>
            <w:shd w:val="clear" w:color="auto" w:fill="DCEDC6"/>
          </w:tcPr>
          <w:p w14:paraId="0E3FE545" w14:textId="07C2C5B5" w:rsidR="001117F3" w:rsidRPr="00D00ED1" w:rsidRDefault="001117F3" w:rsidP="00D93256">
            <w:pPr>
              <w:pStyle w:val="STPR2TableBody"/>
            </w:pPr>
            <w:r>
              <w:t>4</w:t>
            </w:r>
          </w:p>
        </w:tc>
        <w:tc>
          <w:tcPr>
            <w:tcW w:w="688" w:type="pct"/>
            <w:tcBorders>
              <w:top w:val="single" w:sz="18" w:space="0" w:color="FFFFFF" w:themeColor="background1"/>
              <w:bottom w:val="single" w:sz="18" w:space="0" w:color="FFFFFF" w:themeColor="background1"/>
            </w:tcBorders>
            <w:shd w:val="clear" w:color="auto" w:fill="DCEDC6"/>
          </w:tcPr>
          <w:p w14:paraId="444B4103" w14:textId="29FBF273" w:rsidR="001117F3" w:rsidRPr="00D00ED1" w:rsidRDefault="008D5BBB" w:rsidP="00D93256">
            <w:pPr>
              <w:pStyle w:val="STPR2TableBody"/>
            </w:pPr>
            <w:r>
              <w:t>+</w:t>
            </w:r>
          </w:p>
        </w:tc>
      </w:tr>
      <w:tr w:rsidR="003A6CC0" w:rsidRPr="00D00ED1" w14:paraId="3F5F3CDC"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tcPr>
          <w:p w14:paraId="15A51E08" w14:textId="146EB4FC" w:rsidR="001117F3" w:rsidRPr="00D00ED1" w:rsidRDefault="001117F3" w:rsidP="00D93256">
            <w:pPr>
              <w:pStyle w:val="STPR2TableBody"/>
            </w:pPr>
            <w:r w:rsidRPr="001C2F7C">
              <w:t>Long-</w:t>
            </w:r>
            <w:r w:rsidR="004E06AF">
              <w:t>d</w:t>
            </w:r>
            <w:r w:rsidRPr="001C2F7C">
              <w:t xml:space="preserve">istance </w:t>
            </w:r>
            <w:r w:rsidR="004E06AF">
              <w:t>a</w:t>
            </w:r>
            <w:r w:rsidRPr="001C2F7C">
              <w:t xml:space="preserve">ctive </w:t>
            </w:r>
            <w:r w:rsidR="004E06AF">
              <w:t>t</w:t>
            </w:r>
            <w:r w:rsidRPr="001C2F7C">
              <w:t xml:space="preserve">ravel </w:t>
            </w:r>
            <w:r w:rsidR="004E06AF">
              <w:t>n</w:t>
            </w:r>
            <w:r w:rsidRPr="001C2F7C">
              <w:t>etwork</w:t>
            </w:r>
          </w:p>
        </w:tc>
        <w:tc>
          <w:tcPr>
            <w:tcW w:w="964" w:type="pct"/>
            <w:tcBorders>
              <w:top w:val="single" w:sz="18" w:space="0" w:color="FFFFFF" w:themeColor="background1"/>
              <w:bottom w:val="single" w:sz="18" w:space="0" w:color="FFFFFF" w:themeColor="background1"/>
            </w:tcBorders>
            <w:shd w:val="clear" w:color="auto" w:fill="DCEDC6"/>
          </w:tcPr>
          <w:p w14:paraId="7A7DDC1D" w14:textId="562777B6" w:rsidR="001117F3" w:rsidRPr="00D00ED1" w:rsidRDefault="001117F3" w:rsidP="00D93256">
            <w:pPr>
              <w:pStyle w:val="STPR2TableBody"/>
            </w:pPr>
            <w:r>
              <w:t>5</w:t>
            </w:r>
          </w:p>
        </w:tc>
        <w:tc>
          <w:tcPr>
            <w:tcW w:w="688" w:type="pct"/>
            <w:tcBorders>
              <w:top w:val="single" w:sz="18" w:space="0" w:color="FFFFFF" w:themeColor="background1"/>
              <w:bottom w:val="single" w:sz="18" w:space="0" w:color="FFFFFF" w:themeColor="background1"/>
            </w:tcBorders>
            <w:shd w:val="clear" w:color="auto" w:fill="DCEDC6"/>
          </w:tcPr>
          <w:p w14:paraId="4972421D" w14:textId="4190E504" w:rsidR="001117F3" w:rsidRPr="00D00ED1" w:rsidRDefault="008D5BBB" w:rsidP="00D93256">
            <w:pPr>
              <w:pStyle w:val="STPR2TableBody"/>
            </w:pPr>
            <w:r>
              <w:t>+</w:t>
            </w:r>
          </w:p>
        </w:tc>
      </w:tr>
      <w:tr w:rsidR="003A6CC0" w:rsidRPr="00D00ED1" w14:paraId="161B3E41"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tcPr>
          <w:p w14:paraId="43AE9418" w14:textId="32D3B4F5" w:rsidR="001117F3" w:rsidRPr="00D00ED1" w:rsidRDefault="001117F3" w:rsidP="00D93256">
            <w:pPr>
              <w:pStyle w:val="STPR2TableBody"/>
            </w:pPr>
            <w:r w:rsidRPr="001C2F7C">
              <w:t>Behaviour</w:t>
            </w:r>
            <w:r w:rsidR="004E06AF">
              <w:t>al</w:t>
            </w:r>
            <w:r w:rsidRPr="001C2F7C">
              <w:t xml:space="preserve"> </w:t>
            </w:r>
            <w:r w:rsidR="004E06AF">
              <w:t>c</w:t>
            </w:r>
            <w:r w:rsidRPr="001C2F7C">
              <w:t xml:space="preserve">hange </w:t>
            </w:r>
            <w:r w:rsidR="004E06AF">
              <w:t>i</w:t>
            </w:r>
            <w:r w:rsidRPr="001C2F7C">
              <w:t>nitiatives</w:t>
            </w:r>
          </w:p>
        </w:tc>
        <w:tc>
          <w:tcPr>
            <w:tcW w:w="964" w:type="pct"/>
            <w:tcBorders>
              <w:top w:val="single" w:sz="18" w:space="0" w:color="FFFFFF" w:themeColor="background1"/>
              <w:bottom w:val="single" w:sz="18" w:space="0" w:color="FFFFFF" w:themeColor="background1"/>
            </w:tcBorders>
            <w:shd w:val="clear" w:color="auto" w:fill="DCEDC6"/>
          </w:tcPr>
          <w:p w14:paraId="1B744433" w14:textId="43285B7B" w:rsidR="001117F3" w:rsidRPr="00D00ED1" w:rsidRDefault="001117F3" w:rsidP="00D93256">
            <w:pPr>
              <w:pStyle w:val="STPR2TableBody"/>
            </w:pPr>
            <w:r>
              <w:t>6</w:t>
            </w:r>
          </w:p>
        </w:tc>
        <w:tc>
          <w:tcPr>
            <w:tcW w:w="688" w:type="pct"/>
            <w:tcBorders>
              <w:top w:val="single" w:sz="18" w:space="0" w:color="FFFFFF" w:themeColor="background1"/>
              <w:bottom w:val="single" w:sz="18" w:space="0" w:color="FFFFFF" w:themeColor="background1"/>
            </w:tcBorders>
            <w:shd w:val="clear" w:color="auto" w:fill="DCEDC6"/>
          </w:tcPr>
          <w:p w14:paraId="56690615" w14:textId="02F226D6" w:rsidR="001117F3" w:rsidRPr="00D00ED1" w:rsidRDefault="008D5BBB" w:rsidP="00D93256">
            <w:pPr>
              <w:pStyle w:val="STPR2TableBody"/>
            </w:pPr>
            <w:r>
              <w:t>+</w:t>
            </w:r>
          </w:p>
        </w:tc>
      </w:tr>
      <w:tr w:rsidR="003A6CC0" w:rsidRPr="00D00ED1" w14:paraId="138C2853"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tcPr>
          <w:p w14:paraId="2E30094C" w14:textId="50C0041D" w:rsidR="001117F3" w:rsidRPr="00D00ED1" w:rsidRDefault="001117F3" w:rsidP="00D93256">
            <w:pPr>
              <w:pStyle w:val="STPR2TableBody"/>
            </w:pPr>
            <w:r w:rsidRPr="001C2F7C">
              <w:t xml:space="preserve">Changing </w:t>
            </w:r>
            <w:r w:rsidR="004E06AF">
              <w:t>r</w:t>
            </w:r>
            <w:r w:rsidRPr="001C2F7C">
              <w:t xml:space="preserve">oad </w:t>
            </w:r>
            <w:r w:rsidR="004E06AF">
              <w:t>u</w:t>
            </w:r>
            <w:r w:rsidRPr="001C2F7C">
              <w:t xml:space="preserve">ser </w:t>
            </w:r>
            <w:r w:rsidR="004E06AF">
              <w:t>b</w:t>
            </w:r>
            <w:r w:rsidRPr="001C2F7C">
              <w:t>ehaviour</w:t>
            </w:r>
          </w:p>
        </w:tc>
        <w:tc>
          <w:tcPr>
            <w:tcW w:w="964" w:type="pct"/>
            <w:tcBorders>
              <w:top w:val="single" w:sz="18" w:space="0" w:color="FFFFFF" w:themeColor="background1"/>
              <w:bottom w:val="single" w:sz="18" w:space="0" w:color="FFFFFF" w:themeColor="background1"/>
            </w:tcBorders>
            <w:shd w:val="clear" w:color="auto" w:fill="DCEDC6"/>
          </w:tcPr>
          <w:p w14:paraId="03E17F9B" w14:textId="7E4A59C4" w:rsidR="001117F3" w:rsidRPr="00D00ED1" w:rsidRDefault="001117F3" w:rsidP="00D93256">
            <w:pPr>
              <w:pStyle w:val="STPR2TableBody"/>
            </w:pPr>
            <w:r>
              <w:t>7</w:t>
            </w:r>
          </w:p>
        </w:tc>
        <w:tc>
          <w:tcPr>
            <w:tcW w:w="688" w:type="pct"/>
            <w:tcBorders>
              <w:top w:val="single" w:sz="18" w:space="0" w:color="FFFFFF" w:themeColor="background1"/>
              <w:bottom w:val="single" w:sz="18" w:space="0" w:color="FFFFFF" w:themeColor="background1"/>
            </w:tcBorders>
            <w:shd w:val="clear" w:color="auto" w:fill="DCEDC6"/>
          </w:tcPr>
          <w:p w14:paraId="7CE90C5C" w14:textId="5CE40501" w:rsidR="001117F3" w:rsidRPr="00D00ED1" w:rsidRDefault="00574C36" w:rsidP="00D93256">
            <w:pPr>
              <w:pStyle w:val="STPR2TableBody"/>
            </w:pPr>
            <w:r>
              <w:t>+</w:t>
            </w:r>
          </w:p>
        </w:tc>
      </w:tr>
      <w:tr w:rsidR="003A6CC0" w:rsidRPr="00D00ED1" w14:paraId="6ECD16CF"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tcPr>
          <w:p w14:paraId="02F3B838" w14:textId="3BE38A7E" w:rsidR="001117F3" w:rsidRPr="00D00ED1" w:rsidRDefault="001117F3" w:rsidP="00D93256">
            <w:pPr>
              <w:pStyle w:val="STPR2TableBody"/>
            </w:pPr>
            <w:r w:rsidRPr="001C2F7C">
              <w:t xml:space="preserve">Increasing </w:t>
            </w:r>
            <w:r w:rsidR="004E2CF0">
              <w:t>a</w:t>
            </w:r>
            <w:r w:rsidRPr="001C2F7C">
              <w:t xml:space="preserve">ctive </w:t>
            </w:r>
            <w:r w:rsidR="004E2CF0">
              <w:t>t</w:t>
            </w:r>
            <w:r w:rsidRPr="001C2F7C">
              <w:t xml:space="preserve">ravel to </w:t>
            </w:r>
            <w:r w:rsidR="004E2CF0">
              <w:t>s</w:t>
            </w:r>
            <w:r w:rsidRPr="001C2F7C">
              <w:t>chool</w:t>
            </w:r>
          </w:p>
        </w:tc>
        <w:tc>
          <w:tcPr>
            <w:tcW w:w="964" w:type="pct"/>
            <w:tcBorders>
              <w:top w:val="single" w:sz="18" w:space="0" w:color="FFFFFF" w:themeColor="background1"/>
              <w:bottom w:val="single" w:sz="18" w:space="0" w:color="FFFFFF" w:themeColor="background1"/>
            </w:tcBorders>
            <w:shd w:val="clear" w:color="auto" w:fill="DCEDC6"/>
          </w:tcPr>
          <w:p w14:paraId="5AEEFB6F" w14:textId="0562BD7A" w:rsidR="001117F3" w:rsidRPr="00D00ED1" w:rsidRDefault="001117F3" w:rsidP="00D93256">
            <w:pPr>
              <w:pStyle w:val="STPR2TableBody"/>
            </w:pPr>
            <w:r>
              <w:t>8</w:t>
            </w:r>
          </w:p>
        </w:tc>
        <w:tc>
          <w:tcPr>
            <w:tcW w:w="688" w:type="pct"/>
            <w:tcBorders>
              <w:top w:val="single" w:sz="18" w:space="0" w:color="FFFFFF" w:themeColor="background1"/>
              <w:bottom w:val="single" w:sz="18" w:space="0" w:color="FFFFFF" w:themeColor="background1"/>
            </w:tcBorders>
            <w:shd w:val="clear" w:color="auto" w:fill="DCEDC6"/>
          </w:tcPr>
          <w:p w14:paraId="1D30A8EC" w14:textId="77B7975F" w:rsidR="001117F3" w:rsidRPr="00D00ED1" w:rsidRDefault="00D34A33" w:rsidP="00D93256">
            <w:pPr>
              <w:pStyle w:val="STPR2TableBody"/>
            </w:pPr>
            <w:r>
              <w:t>+</w:t>
            </w:r>
          </w:p>
        </w:tc>
      </w:tr>
      <w:tr w:rsidR="003A6CC0" w:rsidRPr="00D00ED1" w14:paraId="751C85C1"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tcPr>
          <w:p w14:paraId="4CF1026D" w14:textId="51A1CFEC" w:rsidR="001117F3" w:rsidRPr="00D00ED1" w:rsidRDefault="001117F3" w:rsidP="00D93256">
            <w:pPr>
              <w:pStyle w:val="STPR2TableBody"/>
            </w:pPr>
            <w:r w:rsidRPr="001C2F7C">
              <w:t xml:space="preserve">Improving </w:t>
            </w:r>
            <w:r w:rsidR="004E2CF0">
              <w:t>a</w:t>
            </w:r>
            <w:r w:rsidRPr="001C2F7C">
              <w:t xml:space="preserve">ccess to </w:t>
            </w:r>
            <w:r w:rsidR="004E2CF0">
              <w:t>b</w:t>
            </w:r>
            <w:r w:rsidRPr="001C2F7C">
              <w:t>ikes</w:t>
            </w:r>
          </w:p>
        </w:tc>
        <w:tc>
          <w:tcPr>
            <w:tcW w:w="964" w:type="pct"/>
            <w:tcBorders>
              <w:top w:val="single" w:sz="18" w:space="0" w:color="FFFFFF" w:themeColor="background1"/>
              <w:bottom w:val="single" w:sz="18" w:space="0" w:color="FFFFFF" w:themeColor="background1"/>
            </w:tcBorders>
            <w:shd w:val="clear" w:color="auto" w:fill="DCEDC6"/>
          </w:tcPr>
          <w:p w14:paraId="54F6F9EC" w14:textId="380B9BCE" w:rsidR="001117F3" w:rsidRPr="00D00ED1" w:rsidRDefault="001117F3" w:rsidP="00D93256">
            <w:pPr>
              <w:pStyle w:val="STPR2TableBody"/>
            </w:pPr>
            <w:r>
              <w:t>9</w:t>
            </w:r>
          </w:p>
        </w:tc>
        <w:tc>
          <w:tcPr>
            <w:tcW w:w="688" w:type="pct"/>
            <w:tcBorders>
              <w:top w:val="single" w:sz="18" w:space="0" w:color="FFFFFF" w:themeColor="background1"/>
              <w:bottom w:val="single" w:sz="18" w:space="0" w:color="FFFFFF" w:themeColor="background1"/>
            </w:tcBorders>
            <w:shd w:val="clear" w:color="auto" w:fill="DCEDC6"/>
          </w:tcPr>
          <w:p w14:paraId="21DEA2E9" w14:textId="593706C8" w:rsidR="001117F3" w:rsidRPr="00D00ED1" w:rsidRDefault="00D34A33" w:rsidP="00D93256">
            <w:pPr>
              <w:pStyle w:val="STPR2TableBody"/>
            </w:pPr>
            <w:r>
              <w:t>+</w:t>
            </w:r>
          </w:p>
        </w:tc>
      </w:tr>
      <w:tr w:rsidR="003A6CC0" w:rsidRPr="00D00ED1" w14:paraId="629FF650"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vAlign w:val="center"/>
          </w:tcPr>
          <w:p w14:paraId="62443765" w14:textId="77777777" w:rsidR="001117F3" w:rsidRPr="00D00ED1" w:rsidRDefault="001117F3" w:rsidP="00D93256">
            <w:pPr>
              <w:pStyle w:val="STPR2TableBody"/>
            </w:pPr>
            <w:r w:rsidRPr="00864E65">
              <w:t xml:space="preserve">Expansion of 20mph limits and zones  </w:t>
            </w:r>
          </w:p>
        </w:tc>
        <w:tc>
          <w:tcPr>
            <w:tcW w:w="964" w:type="pct"/>
            <w:tcBorders>
              <w:top w:val="single" w:sz="18" w:space="0" w:color="FFFFFF" w:themeColor="background1"/>
              <w:bottom w:val="single" w:sz="18" w:space="0" w:color="FFFFFF" w:themeColor="background1"/>
            </w:tcBorders>
            <w:shd w:val="clear" w:color="auto" w:fill="DCEDC6"/>
          </w:tcPr>
          <w:p w14:paraId="6E0E0850" w14:textId="2ED5EA2B" w:rsidR="001117F3" w:rsidRPr="00D00ED1" w:rsidRDefault="001117F3" w:rsidP="00D93256">
            <w:pPr>
              <w:pStyle w:val="STPR2TableBody"/>
            </w:pPr>
            <w:r>
              <w:t>10</w:t>
            </w:r>
          </w:p>
        </w:tc>
        <w:tc>
          <w:tcPr>
            <w:tcW w:w="688" w:type="pct"/>
            <w:tcBorders>
              <w:top w:val="single" w:sz="18" w:space="0" w:color="FFFFFF" w:themeColor="background1"/>
              <w:bottom w:val="single" w:sz="18" w:space="0" w:color="FFFFFF" w:themeColor="background1"/>
            </w:tcBorders>
            <w:shd w:val="clear" w:color="auto" w:fill="DCEDC6"/>
          </w:tcPr>
          <w:p w14:paraId="2B61D11C" w14:textId="2F0C0D62" w:rsidR="001117F3" w:rsidRPr="00D00ED1" w:rsidRDefault="00D34A33" w:rsidP="00D93256">
            <w:pPr>
              <w:pStyle w:val="STPR2TableBody"/>
            </w:pPr>
            <w:r>
              <w:t>+</w:t>
            </w:r>
          </w:p>
        </w:tc>
      </w:tr>
      <w:tr w:rsidR="003A6CC0" w:rsidRPr="00D00ED1" w14:paraId="7D6085DC"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2DB93E6B" w14:textId="77777777" w:rsidR="001117F3" w:rsidRPr="00D00ED1" w:rsidRDefault="001117F3" w:rsidP="00D93256">
            <w:pPr>
              <w:pStyle w:val="STPR2TableBody"/>
            </w:pPr>
            <w:r w:rsidRPr="00864E65">
              <w:t xml:space="preserve">Clyde Metro </w:t>
            </w:r>
          </w:p>
        </w:tc>
        <w:tc>
          <w:tcPr>
            <w:tcW w:w="964" w:type="pct"/>
            <w:tcBorders>
              <w:top w:val="single" w:sz="18" w:space="0" w:color="FFFFFF" w:themeColor="background1"/>
              <w:bottom w:val="single" w:sz="18" w:space="0" w:color="FFFFFF" w:themeColor="background1"/>
            </w:tcBorders>
            <w:shd w:val="clear" w:color="auto" w:fill="DCEDC6"/>
          </w:tcPr>
          <w:p w14:paraId="369C632B" w14:textId="153EF8F8" w:rsidR="001117F3" w:rsidRPr="00D00ED1" w:rsidRDefault="001117F3" w:rsidP="00D93256">
            <w:pPr>
              <w:pStyle w:val="STPR2TableBody"/>
            </w:pPr>
            <w:r>
              <w:t>11</w:t>
            </w:r>
          </w:p>
        </w:tc>
        <w:tc>
          <w:tcPr>
            <w:tcW w:w="688" w:type="pct"/>
            <w:tcBorders>
              <w:top w:val="single" w:sz="18" w:space="0" w:color="FFFFFF" w:themeColor="background1"/>
              <w:bottom w:val="single" w:sz="18" w:space="0" w:color="FFFFFF" w:themeColor="background1"/>
            </w:tcBorders>
            <w:shd w:val="clear" w:color="auto" w:fill="DCEDC6"/>
          </w:tcPr>
          <w:p w14:paraId="2895295C" w14:textId="6BA4EFF4" w:rsidR="001117F3" w:rsidRPr="00D00ED1" w:rsidRDefault="00B96160" w:rsidP="00D93256">
            <w:pPr>
              <w:pStyle w:val="STPR2TableBody"/>
            </w:pPr>
            <w:r>
              <w:t>+</w:t>
            </w:r>
          </w:p>
        </w:tc>
      </w:tr>
      <w:tr w:rsidR="003A6CC0" w:rsidRPr="00D00ED1" w14:paraId="4D4B4A3E"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7AFC4826" w14:textId="7984D938" w:rsidR="001117F3" w:rsidRPr="00D00ED1" w:rsidRDefault="001117F3" w:rsidP="00D93256">
            <w:pPr>
              <w:pStyle w:val="STPR2TableBody"/>
            </w:pPr>
            <w:r w:rsidRPr="00864E65">
              <w:t xml:space="preserve">Edinburgh </w:t>
            </w:r>
            <w:r w:rsidR="00D3027E">
              <w:t>and</w:t>
            </w:r>
            <w:r w:rsidRPr="00864E65">
              <w:t xml:space="preserve"> South</w:t>
            </w:r>
            <w:r w:rsidR="00287D24">
              <w:t xml:space="preserve"> </w:t>
            </w:r>
            <w:r w:rsidRPr="00864E65">
              <w:t xml:space="preserve">East Scotland Mass Transit </w:t>
            </w:r>
          </w:p>
        </w:tc>
        <w:tc>
          <w:tcPr>
            <w:tcW w:w="964" w:type="pct"/>
            <w:tcBorders>
              <w:top w:val="single" w:sz="18" w:space="0" w:color="FFFFFF" w:themeColor="background1"/>
              <w:bottom w:val="single" w:sz="18" w:space="0" w:color="FFFFFF" w:themeColor="background1"/>
            </w:tcBorders>
            <w:shd w:val="clear" w:color="auto" w:fill="DCEDC6"/>
          </w:tcPr>
          <w:p w14:paraId="3B68C421" w14:textId="171DCDA3" w:rsidR="001117F3" w:rsidRPr="00D00ED1" w:rsidRDefault="001117F3" w:rsidP="00D93256">
            <w:pPr>
              <w:pStyle w:val="STPR2TableBody"/>
            </w:pPr>
            <w:r>
              <w:t>12</w:t>
            </w:r>
          </w:p>
        </w:tc>
        <w:tc>
          <w:tcPr>
            <w:tcW w:w="688" w:type="pct"/>
            <w:tcBorders>
              <w:top w:val="single" w:sz="18" w:space="0" w:color="FFFFFF" w:themeColor="background1"/>
              <w:bottom w:val="single" w:sz="18" w:space="0" w:color="FFFFFF" w:themeColor="background1"/>
            </w:tcBorders>
            <w:shd w:val="clear" w:color="auto" w:fill="DCEDC6"/>
          </w:tcPr>
          <w:p w14:paraId="3D38F63D" w14:textId="31965EC0" w:rsidR="001117F3" w:rsidRPr="00D00ED1" w:rsidRDefault="00B96160" w:rsidP="00D93256">
            <w:pPr>
              <w:pStyle w:val="STPR2TableBody"/>
            </w:pPr>
            <w:r>
              <w:t>+</w:t>
            </w:r>
          </w:p>
        </w:tc>
      </w:tr>
      <w:tr w:rsidR="003A6CC0" w:rsidRPr="00D00ED1" w14:paraId="69F7083E"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vAlign w:val="center"/>
          </w:tcPr>
          <w:p w14:paraId="5C6BFC52" w14:textId="77777777" w:rsidR="001117F3" w:rsidRPr="00D00ED1" w:rsidRDefault="001117F3" w:rsidP="00D93256">
            <w:pPr>
              <w:pStyle w:val="STPR2TableBody"/>
            </w:pPr>
            <w:r w:rsidRPr="00864E65">
              <w:t xml:space="preserve">Aberdeen Rapid Transit </w:t>
            </w:r>
          </w:p>
        </w:tc>
        <w:tc>
          <w:tcPr>
            <w:tcW w:w="964" w:type="pct"/>
            <w:tcBorders>
              <w:top w:val="single" w:sz="18" w:space="0" w:color="FFFFFF" w:themeColor="background1"/>
              <w:bottom w:val="single" w:sz="18" w:space="0" w:color="FFFFFF" w:themeColor="background1"/>
            </w:tcBorders>
            <w:shd w:val="clear" w:color="auto" w:fill="DCEDC6"/>
          </w:tcPr>
          <w:p w14:paraId="35BBC0CA" w14:textId="13C9D0FC" w:rsidR="001117F3" w:rsidRPr="00D00ED1" w:rsidRDefault="001117F3" w:rsidP="00D93256">
            <w:pPr>
              <w:pStyle w:val="STPR2TableBody"/>
            </w:pPr>
            <w:r>
              <w:t>13</w:t>
            </w:r>
          </w:p>
        </w:tc>
        <w:tc>
          <w:tcPr>
            <w:tcW w:w="688" w:type="pct"/>
            <w:tcBorders>
              <w:top w:val="single" w:sz="18" w:space="0" w:color="FFFFFF" w:themeColor="background1"/>
              <w:bottom w:val="single" w:sz="18" w:space="0" w:color="FFFFFF" w:themeColor="background1"/>
            </w:tcBorders>
            <w:shd w:val="clear" w:color="auto" w:fill="DCEDC6"/>
          </w:tcPr>
          <w:p w14:paraId="7EDFC78A" w14:textId="70BDB002" w:rsidR="001117F3" w:rsidRPr="00D00ED1" w:rsidRDefault="00B96160" w:rsidP="00D93256">
            <w:pPr>
              <w:pStyle w:val="STPR2TableBody"/>
            </w:pPr>
            <w:r>
              <w:t>+</w:t>
            </w:r>
          </w:p>
        </w:tc>
      </w:tr>
      <w:tr w:rsidR="003A6CC0" w:rsidRPr="00D00ED1" w14:paraId="14A782BF"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45043054" w14:textId="136E6CAA" w:rsidR="001117F3" w:rsidRPr="00D00ED1" w:rsidRDefault="001117F3" w:rsidP="00D93256">
            <w:pPr>
              <w:pStyle w:val="STPR2TableBody"/>
            </w:pPr>
            <w:r w:rsidRPr="00864E65">
              <w:t xml:space="preserve">Provision of </w:t>
            </w:r>
            <w:r w:rsidR="002E3CAA">
              <w:t>s</w:t>
            </w:r>
            <w:r w:rsidRPr="00864E65">
              <w:t xml:space="preserve">trategic </w:t>
            </w:r>
            <w:r w:rsidR="002E3CAA">
              <w:t>b</w:t>
            </w:r>
            <w:r w:rsidRPr="00864E65">
              <w:t xml:space="preserve">us </w:t>
            </w:r>
            <w:r w:rsidR="002E3CAA">
              <w:t>p</w:t>
            </w:r>
            <w:r w:rsidRPr="00864E65">
              <w:t xml:space="preserve">riority </w:t>
            </w:r>
            <w:r w:rsidR="002E3CAA">
              <w:t>m</w:t>
            </w:r>
            <w:r w:rsidRPr="00864E65">
              <w:t xml:space="preserve">easures </w:t>
            </w:r>
          </w:p>
        </w:tc>
        <w:tc>
          <w:tcPr>
            <w:tcW w:w="964" w:type="pct"/>
            <w:tcBorders>
              <w:top w:val="single" w:sz="18" w:space="0" w:color="FFFFFF" w:themeColor="background1"/>
              <w:bottom w:val="single" w:sz="18" w:space="0" w:color="FFFFFF" w:themeColor="background1"/>
            </w:tcBorders>
            <w:shd w:val="clear" w:color="auto" w:fill="DCEDC6"/>
          </w:tcPr>
          <w:p w14:paraId="4CBEDF61" w14:textId="33E8ADA5" w:rsidR="001117F3" w:rsidRPr="00D00ED1" w:rsidRDefault="001117F3" w:rsidP="00D93256">
            <w:pPr>
              <w:pStyle w:val="STPR2TableBody"/>
            </w:pPr>
            <w:r>
              <w:t>14</w:t>
            </w:r>
          </w:p>
        </w:tc>
        <w:tc>
          <w:tcPr>
            <w:tcW w:w="688" w:type="pct"/>
            <w:tcBorders>
              <w:top w:val="single" w:sz="18" w:space="0" w:color="FFFFFF" w:themeColor="background1"/>
              <w:bottom w:val="single" w:sz="18" w:space="0" w:color="FFFFFF" w:themeColor="background1"/>
            </w:tcBorders>
            <w:shd w:val="clear" w:color="auto" w:fill="DCEDC6"/>
          </w:tcPr>
          <w:p w14:paraId="518C7669" w14:textId="381628C6" w:rsidR="001117F3" w:rsidRPr="00D00ED1" w:rsidRDefault="00B96160" w:rsidP="00D93256">
            <w:pPr>
              <w:pStyle w:val="STPR2TableBody"/>
            </w:pPr>
            <w:r>
              <w:t>+</w:t>
            </w:r>
          </w:p>
        </w:tc>
      </w:tr>
      <w:tr w:rsidR="003A6CC0" w:rsidRPr="00D00ED1" w14:paraId="13FFDEF2" w14:textId="77777777" w:rsidTr="002E3CAA">
        <w:trPr>
          <w:cantSplit/>
          <w:trHeight w:val="500"/>
        </w:trPr>
        <w:tc>
          <w:tcPr>
            <w:tcW w:w="3348" w:type="pct"/>
            <w:tcBorders>
              <w:top w:val="single" w:sz="18" w:space="0" w:color="FFFFFF" w:themeColor="background1"/>
              <w:bottom w:val="single" w:sz="18" w:space="0" w:color="FFFFFF" w:themeColor="background1"/>
            </w:tcBorders>
            <w:shd w:val="clear" w:color="auto" w:fill="DCEDC6"/>
            <w:vAlign w:val="center"/>
          </w:tcPr>
          <w:p w14:paraId="794FA2BD" w14:textId="788E4515" w:rsidR="001117F3" w:rsidRPr="001C2F7C" w:rsidRDefault="001117F3" w:rsidP="00B664A8">
            <w:pPr>
              <w:pStyle w:val="Tabletext"/>
              <w:rPr>
                <w:rFonts w:ascii="Arial" w:hAnsi="Arial" w:cs="Arial"/>
                <w:sz w:val="24"/>
              </w:rPr>
            </w:pPr>
            <w:r w:rsidRPr="00864E65">
              <w:rPr>
                <w:rFonts w:ascii="Arial" w:hAnsi="Arial" w:cs="Arial"/>
                <w:sz w:val="24"/>
              </w:rPr>
              <w:t>Highland Main</w:t>
            </w:r>
            <w:r w:rsidR="00D3027E">
              <w:rPr>
                <w:rFonts w:ascii="Arial" w:hAnsi="Arial" w:cs="Arial"/>
                <w:sz w:val="24"/>
              </w:rPr>
              <w:t xml:space="preserve"> L</w:t>
            </w:r>
            <w:r w:rsidRPr="00864E65">
              <w:rPr>
                <w:rFonts w:ascii="Arial" w:hAnsi="Arial" w:cs="Arial"/>
                <w:sz w:val="24"/>
              </w:rPr>
              <w:t>ine Rail corridor enhancements</w:t>
            </w:r>
          </w:p>
        </w:tc>
        <w:tc>
          <w:tcPr>
            <w:tcW w:w="964" w:type="pct"/>
            <w:tcBorders>
              <w:top w:val="single" w:sz="18" w:space="0" w:color="FFFFFF" w:themeColor="background1"/>
              <w:bottom w:val="single" w:sz="18" w:space="0" w:color="FFFFFF" w:themeColor="background1"/>
            </w:tcBorders>
            <w:shd w:val="clear" w:color="auto" w:fill="DCEDC6"/>
          </w:tcPr>
          <w:p w14:paraId="7F232631" w14:textId="246E6FF9" w:rsidR="001117F3" w:rsidRPr="00D00ED1" w:rsidRDefault="001117F3" w:rsidP="00D93256">
            <w:pPr>
              <w:pStyle w:val="STPR2TableBody"/>
            </w:pPr>
            <w:r>
              <w:t>15</w:t>
            </w:r>
          </w:p>
        </w:tc>
        <w:tc>
          <w:tcPr>
            <w:tcW w:w="688" w:type="pct"/>
            <w:tcBorders>
              <w:top w:val="single" w:sz="18" w:space="0" w:color="FFFFFF" w:themeColor="background1"/>
              <w:bottom w:val="single" w:sz="18" w:space="0" w:color="FFFFFF" w:themeColor="background1"/>
            </w:tcBorders>
            <w:shd w:val="clear" w:color="auto" w:fill="DCEDC6"/>
          </w:tcPr>
          <w:p w14:paraId="027D179F" w14:textId="73AF86A6" w:rsidR="001117F3" w:rsidRPr="00D00ED1" w:rsidRDefault="004F51CE" w:rsidP="00D93256">
            <w:pPr>
              <w:pStyle w:val="STPR2TableBody"/>
            </w:pPr>
            <w:r>
              <w:t>+</w:t>
            </w:r>
          </w:p>
        </w:tc>
      </w:tr>
      <w:tr w:rsidR="003A6CC0" w:rsidRPr="00D00ED1" w14:paraId="212E85C6"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5A189586" w14:textId="04FD2DB2" w:rsidR="001117F3" w:rsidRPr="001C2F7C" w:rsidRDefault="001117F3" w:rsidP="00B664A8">
            <w:pPr>
              <w:pStyle w:val="Tabletext"/>
              <w:rPr>
                <w:rFonts w:ascii="Arial" w:hAnsi="Arial" w:cs="Arial"/>
                <w:sz w:val="24"/>
              </w:rPr>
            </w:pPr>
            <w:r w:rsidRPr="00864E65">
              <w:rPr>
                <w:rFonts w:ascii="Arial" w:hAnsi="Arial" w:cs="Arial"/>
                <w:sz w:val="24"/>
              </w:rPr>
              <w:lastRenderedPageBreak/>
              <w:t xml:space="preserve">Perth-Dundee-Aberdeen </w:t>
            </w:r>
            <w:r w:rsidR="00D3027E">
              <w:rPr>
                <w:rFonts w:ascii="Arial" w:hAnsi="Arial" w:cs="Arial"/>
                <w:sz w:val="24"/>
              </w:rPr>
              <w:t>r</w:t>
            </w:r>
            <w:r w:rsidRPr="00864E65">
              <w:rPr>
                <w:rFonts w:ascii="Arial" w:hAnsi="Arial" w:cs="Arial"/>
                <w:sz w:val="24"/>
              </w:rPr>
              <w:t xml:space="preserve">ail </w:t>
            </w:r>
            <w:r w:rsidR="002E3CAA">
              <w:rPr>
                <w:rFonts w:ascii="Arial" w:hAnsi="Arial" w:cs="Arial"/>
                <w:sz w:val="24"/>
              </w:rPr>
              <w:t>c</w:t>
            </w:r>
            <w:r w:rsidRPr="00864E65">
              <w:rPr>
                <w:rFonts w:ascii="Arial" w:hAnsi="Arial" w:cs="Arial"/>
                <w:sz w:val="24"/>
              </w:rPr>
              <w:t xml:space="preserve">orridor </w:t>
            </w:r>
            <w:r w:rsidR="002E3CAA">
              <w:rPr>
                <w:rFonts w:ascii="Arial" w:hAnsi="Arial" w:cs="Arial"/>
                <w:sz w:val="24"/>
              </w:rPr>
              <w:t>e</w:t>
            </w:r>
            <w:r w:rsidRPr="00864E65">
              <w:rPr>
                <w:rFonts w:ascii="Arial" w:hAnsi="Arial" w:cs="Arial"/>
                <w:sz w:val="24"/>
              </w:rPr>
              <w:t>nhancements</w:t>
            </w:r>
          </w:p>
        </w:tc>
        <w:tc>
          <w:tcPr>
            <w:tcW w:w="964" w:type="pct"/>
            <w:tcBorders>
              <w:top w:val="single" w:sz="18" w:space="0" w:color="FFFFFF" w:themeColor="background1"/>
              <w:bottom w:val="single" w:sz="18" w:space="0" w:color="FFFFFF" w:themeColor="background1"/>
            </w:tcBorders>
            <w:shd w:val="clear" w:color="auto" w:fill="DCEDC6"/>
          </w:tcPr>
          <w:p w14:paraId="7C2D1B94" w14:textId="5FC8C89A" w:rsidR="001117F3" w:rsidRPr="00D00ED1" w:rsidRDefault="001117F3" w:rsidP="00D93256">
            <w:pPr>
              <w:pStyle w:val="STPR2TableBody"/>
            </w:pPr>
            <w:r>
              <w:t>16</w:t>
            </w:r>
          </w:p>
        </w:tc>
        <w:tc>
          <w:tcPr>
            <w:tcW w:w="688" w:type="pct"/>
            <w:tcBorders>
              <w:top w:val="single" w:sz="18" w:space="0" w:color="FFFFFF" w:themeColor="background1"/>
              <w:bottom w:val="single" w:sz="18" w:space="0" w:color="FFFFFF" w:themeColor="background1"/>
            </w:tcBorders>
            <w:shd w:val="clear" w:color="auto" w:fill="DCEDC6"/>
          </w:tcPr>
          <w:p w14:paraId="6987FE2A" w14:textId="1EF30EA3" w:rsidR="001117F3" w:rsidRPr="00D00ED1" w:rsidRDefault="00E34267" w:rsidP="00D93256">
            <w:pPr>
              <w:pStyle w:val="STPR2TableBody"/>
            </w:pPr>
            <w:r>
              <w:t>+</w:t>
            </w:r>
          </w:p>
        </w:tc>
      </w:tr>
      <w:tr w:rsidR="003A6CC0" w:rsidRPr="00D00ED1" w14:paraId="639C4C78" w14:textId="77777777" w:rsidTr="00D27D26">
        <w:trPr>
          <w:cantSplit/>
          <w:trHeight w:val="447"/>
        </w:trPr>
        <w:tc>
          <w:tcPr>
            <w:tcW w:w="3348" w:type="pct"/>
            <w:tcBorders>
              <w:top w:val="single" w:sz="18" w:space="0" w:color="FFFFFF" w:themeColor="background1"/>
              <w:bottom w:val="single" w:sz="18" w:space="0" w:color="FFFFFF" w:themeColor="background1"/>
            </w:tcBorders>
            <w:shd w:val="clear" w:color="auto" w:fill="DCEDC6"/>
            <w:vAlign w:val="center"/>
          </w:tcPr>
          <w:p w14:paraId="10CEC1B8" w14:textId="367F4453" w:rsidR="001117F3" w:rsidRPr="00D00ED1" w:rsidRDefault="001117F3" w:rsidP="00D93256">
            <w:pPr>
              <w:pStyle w:val="STPR2TableBody"/>
            </w:pPr>
            <w:r w:rsidRPr="00864E65">
              <w:t>Edinburgh/Glasgow-Perth</w:t>
            </w:r>
            <w:r w:rsidR="001563FB">
              <w:t>/Dundee</w:t>
            </w:r>
            <w:r w:rsidRPr="00864E65">
              <w:t xml:space="preserve"> </w:t>
            </w:r>
            <w:r w:rsidR="00D3027E">
              <w:t>r</w:t>
            </w:r>
            <w:r w:rsidRPr="00864E65">
              <w:t xml:space="preserve">ail </w:t>
            </w:r>
            <w:r w:rsidR="002E3CAA">
              <w:t>c</w:t>
            </w:r>
            <w:r w:rsidRPr="00864E65">
              <w:t xml:space="preserve">orridor </w:t>
            </w:r>
            <w:r w:rsidR="002E3CAA">
              <w:t>e</w:t>
            </w:r>
            <w:r w:rsidRPr="00864E65">
              <w:t xml:space="preserve">nhancements </w:t>
            </w:r>
          </w:p>
        </w:tc>
        <w:tc>
          <w:tcPr>
            <w:tcW w:w="964" w:type="pct"/>
            <w:tcBorders>
              <w:top w:val="single" w:sz="18" w:space="0" w:color="FFFFFF" w:themeColor="background1"/>
              <w:bottom w:val="single" w:sz="18" w:space="0" w:color="FFFFFF" w:themeColor="background1"/>
            </w:tcBorders>
            <w:shd w:val="clear" w:color="auto" w:fill="DCEDC6"/>
          </w:tcPr>
          <w:p w14:paraId="66EA5994" w14:textId="34C49855" w:rsidR="001117F3" w:rsidRPr="00D00ED1" w:rsidRDefault="001117F3" w:rsidP="00D93256">
            <w:pPr>
              <w:pStyle w:val="STPR2TableBody"/>
            </w:pPr>
            <w:r>
              <w:t>17</w:t>
            </w:r>
          </w:p>
        </w:tc>
        <w:tc>
          <w:tcPr>
            <w:tcW w:w="688" w:type="pct"/>
            <w:tcBorders>
              <w:top w:val="single" w:sz="18" w:space="0" w:color="FFFFFF" w:themeColor="background1"/>
              <w:bottom w:val="single" w:sz="18" w:space="0" w:color="FFFFFF" w:themeColor="background1"/>
            </w:tcBorders>
            <w:shd w:val="clear" w:color="auto" w:fill="DCEDC6"/>
          </w:tcPr>
          <w:p w14:paraId="477B6346" w14:textId="6D554268" w:rsidR="001117F3" w:rsidRPr="00D00ED1" w:rsidRDefault="002C127D" w:rsidP="00D93256">
            <w:pPr>
              <w:pStyle w:val="STPR2TableBody"/>
            </w:pPr>
            <w:r>
              <w:t>+</w:t>
            </w:r>
          </w:p>
        </w:tc>
      </w:tr>
      <w:tr w:rsidR="00D27D26" w:rsidRPr="00D00ED1" w14:paraId="1A7CA70C"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7E2E81D7" w14:textId="77777777" w:rsidR="001117F3" w:rsidRPr="00D00ED1" w:rsidRDefault="001117F3" w:rsidP="00D93256">
            <w:pPr>
              <w:pStyle w:val="STPR2TableBody"/>
            </w:pPr>
            <w:r w:rsidRPr="00864E65">
              <w:t xml:space="preserve">Supporting integrated journeys at ferry terminals </w:t>
            </w:r>
          </w:p>
        </w:tc>
        <w:tc>
          <w:tcPr>
            <w:tcW w:w="964" w:type="pct"/>
            <w:tcBorders>
              <w:top w:val="single" w:sz="18" w:space="0" w:color="FFFFFF" w:themeColor="background1"/>
              <w:bottom w:val="single" w:sz="18" w:space="0" w:color="FFFFFF" w:themeColor="background1"/>
            </w:tcBorders>
            <w:shd w:val="clear" w:color="auto" w:fill="DCEDC6"/>
          </w:tcPr>
          <w:p w14:paraId="593804AC" w14:textId="3A149CF9" w:rsidR="001117F3" w:rsidRPr="00D00ED1" w:rsidRDefault="001117F3" w:rsidP="00D93256">
            <w:pPr>
              <w:pStyle w:val="STPR2TableBody"/>
            </w:pPr>
            <w:r>
              <w:t>18</w:t>
            </w:r>
          </w:p>
        </w:tc>
        <w:tc>
          <w:tcPr>
            <w:tcW w:w="688" w:type="pct"/>
            <w:tcBorders>
              <w:top w:val="single" w:sz="18" w:space="0" w:color="FFFFFF" w:themeColor="background1"/>
              <w:bottom w:val="single" w:sz="18" w:space="0" w:color="FFFFFF" w:themeColor="background1"/>
            </w:tcBorders>
            <w:shd w:val="clear" w:color="auto" w:fill="DCEDC6"/>
          </w:tcPr>
          <w:p w14:paraId="55182628" w14:textId="078FE233" w:rsidR="001117F3" w:rsidRPr="00D00ED1" w:rsidRDefault="00D34A33" w:rsidP="00D93256">
            <w:pPr>
              <w:pStyle w:val="STPR2TableBody"/>
            </w:pPr>
            <w:r>
              <w:t>+</w:t>
            </w:r>
          </w:p>
        </w:tc>
      </w:tr>
      <w:tr w:rsidR="00D27D26" w:rsidRPr="00D00ED1" w14:paraId="060FED95"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3B213B05" w14:textId="77777777" w:rsidR="001117F3" w:rsidRPr="00D00ED1" w:rsidRDefault="001117F3" w:rsidP="00D93256">
            <w:pPr>
              <w:pStyle w:val="STPR2TableBody"/>
            </w:pPr>
            <w:r w:rsidRPr="00864E65">
              <w:t>Infrastructure to provide access for all at rail stations</w:t>
            </w:r>
          </w:p>
        </w:tc>
        <w:tc>
          <w:tcPr>
            <w:tcW w:w="964" w:type="pct"/>
            <w:tcBorders>
              <w:top w:val="single" w:sz="18" w:space="0" w:color="FFFFFF" w:themeColor="background1"/>
              <w:bottom w:val="single" w:sz="18" w:space="0" w:color="FFFFFF" w:themeColor="background1"/>
            </w:tcBorders>
            <w:shd w:val="clear" w:color="auto" w:fill="DCEDC6"/>
          </w:tcPr>
          <w:p w14:paraId="04E2097C" w14:textId="2415F137" w:rsidR="001117F3" w:rsidRPr="00D00ED1" w:rsidRDefault="001117F3" w:rsidP="00D93256">
            <w:pPr>
              <w:pStyle w:val="STPR2TableBody"/>
            </w:pPr>
            <w:r>
              <w:t>19</w:t>
            </w:r>
          </w:p>
        </w:tc>
        <w:tc>
          <w:tcPr>
            <w:tcW w:w="688" w:type="pct"/>
            <w:tcBorders>
              <w:top w:val="single" w:sz="18" w:space="0" w:color="FFFFFF" w:themeColor="background1"/>
              <w:bottom w:val="single" w:sz="18" w:space="0" w:color="FFFFFF" w:themeColor="background1"/>
            </w:tcBorders>
            <w:shd w:val="clear" w:color="auto" w:fill="DCEDC6"/>
          </w:tcPr>
          <w:p w14:paraId="6E928547" w14:textId="35E58137" w:rsidR="001117F3" w:rsidRPr="00D00ED1" w:rsidRDefault="00D34A33" w:rsidP="00D93256">
            <w:pPr>
              <w:pStyle w:val="STPR2TableBody"/>
            </w:pPr>
            <w:r>
              <w:t>+</w:t>
            </w:r>
          </w:p>
        </w:tc>
      </w:tr>
      <w:tr w:rsidR="00D27D26" w:rsidRPr="00D00ED1" w14:paraId="761AA259"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2C1A191D" w14:textId="77777777" w:rsidR="001117F3" w:rsidRPr="00D00ED1" w:rsidRDefault="001117F3" w:rsidP="00D93256">
            <w:pPr>
              <w:pStyle w:val="STPR2TableBody"/>
            </w:pPr>
            <w:r w:rsidRPr="00864E65">
              <w:t xml:space="preserve">Investment in DRT and MaaS </w:t>
            </w:r>
          </w:p>
        </w:tc>
        <w:tc>
          <w:tcPr>
            <w:tcW w:w="964" w:type="pct"/>
            <w:tcBorders>
              <w:top w:val="single" w:sz="18" w:space="0" w:color="FFFFFF" w:themeColor="background1"/>
              <w:bottom w:val="single" w:sz="18" w:space="0" w:color="FFFFFF" w:themeColor="background1"/>
            </w:tcBorders>
            <w:shd w:val="clear" w:color="auto" w:fill="DCEDC6"/>
          </w:tcPr>
          <w:p w14:paraId="004238EB" w14:textId="6633CE54" w:rsidR="001117F3" w:rsidRPr="00D00ED1" w:rsidRDefault="001117F3" w:rsidP="00D93256">
            <w:pPr>
              <w:pStyle w:val="STPR2TableBody"/>
            </w:pPr>
            <w:r>
              <w:t>20</w:t>
            </w:r>
          </w:p>
        </w:tc>
        <w:tc>
          <w:tcPr>
            <w:tcW w:w="688" w:type="pct"/>
            <w:tcBorders>
              <w:top w:val="single" w:sz="18" w:space="0" w:color="FFFFFF" w:themeColor="background1"/>
              <w:bottom w:val="single" w:sz="18" w:space="0" w:color="FFFFFF" w:themeColor="background1"/>
            </w:tcBorders>
            <w:shd w:val="clear" w:color="auto" w:fill="DCEDC6"/>
          </w:tcPr>
          <w:p w14:paraId="078E3883" w14:textId="409AE7C8" w:rsidR="001117F3" w:rsidRPr="00D00ED1" w:rsidRDefault="00D34A33" w:rsidP="00D93256">
            <w:pPr>
              <w:pStyle w:val="STPR2TableBody"/>
            </w:pPr>
            <w:r>
              <w:t>+</w:t>
            </w:r>
          </w:p>
        </w:tc>
      </w:tr>
      <w:tr w:rsidR="00D27D26" w:rsidRPr="00D00ED1" w14:paraId="4446A1C5"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76D337B7" w14:textId="7DD6E019" w:rsidR="001117F3" w:rsidRPr="00D00ED1" w:rsidRDefault="001117F3" w:rsidP="00D93256">
            <w:pPr>
              <w:pStyle w:val="STPR2TableBody"/>
            </w:pPr>
            <w:r w:rsidRPr="00864E65">
              <w:t xml:space="preserve">Improved </w:t>
            </w:r>
            <w:r w:rsidR="002E3CAA">
              <w:t>p</w:t>
            </w:r>
            <w:r w:rsidRPr="00864E65">
              <w:t xml:space="preserve">ublic </w:t>
            </w:r>
            <w:r w:rsidR="002E3CAA">
              <w:t>t</w:t>
            </w:r>
            <w:r w:rsidRPr="00864E65">
              <w:t xml:space="preserve">ransport </w:t>
            </w:r>
            <w:r w:rsidR="002E3CAA">
              <w:t>p</w:t>
            </w:r>
            <w:r w:rsidRPr="00864E65">
              <w:t xml:space="preserve">assenger </w:t>
            </w:r>
            <w:r w:rsidR="002E3CAA">
              <w:t>i</w:t>
            </w:r>
            <w:r w:rsidRPr="00864E65">
              <w:t xml:space="preserve">nterchange </w:t>
            </w:r>
            <w:r w:rsidR="002E3CAA">
              <w:t>f</w:t>
            </w:r>
            <w:r w:rsidRPr="00864E65">
              <w:t>acilities</w:t>
            </w:r>
          </w:p>
        </w:tc>
        <w:tc>
          <w:tcPr>
            <w:tcW w:w="964" w:type="pct"/>
            <w:tcBorders>
              <w:top w:val="single" w:sz="18" w:space="0" w:color="FFFFFF" w:themeColor="background1"/>
              <w:bottom w:val="single" w:sz="18" w:space="0" w:color="FFFFFF" w:themeColor="background1"/>
            </w:tcBorders>
            <w:shd w:val="clear" w:color="auto" w:fill="DCEDC6"/>
          </w:tcPr>
          <w:p w14:paraId="200D6117" w14:textId="39B1C427" w:rsidR="001117F3" w:rsidRPr="00D00ED1" w:rsidRDefault="001117F3" w:rsidP="00D93256">
            <w:pPr>
              <w:pStyle w:val="STPR2TableBody"/>
            </w:pPr>
            <w:r>
              <w:t>21</w:t>
            </w:r>
          </w:p>
        </w:tc>
        <w:tc>
          <w:tcPr>
            <w:tcW w:w="688" w:type="pct"/>
            <w:tcBorders>
              <w:top w:val="single" w:sz="18" w:space="0" w:color="FFFFFF" w:themeColor="background1"/>
              <w:bottom w:val="single" w:sz="18" w:space="0" w:color="FFFFFF" w:themeColor="background1"/>
            </w:tcBorders>
            <w:shd w:val="clear" w:color="auto" w:fill="DCEDC6"/>
          </w:tcPr>
          <w:p w14:paraId="3C5281B4" w14:textId="45270B12" w:rsidR="001117F3" w:rsidRPr="00D00ED1" w:rsidRDefault="00B96160" w:rsidP="00D93256">
            <w:pPr>
              <w:pStyle w:val="STPR2TableBody"/>
            </w:pPr>
            <w:r>
              <w:t>+</w:t>
            </w:r>
          </w:p>
        </w:tc>
      </w:tr>
      <w:tr w:rsidR="00D27D26" w:rsidRPr="00D00ED1" w14:paraId="7C8F8DA5"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64B8D210" w14:textId="4DEFB5EB" w:rsidR="001117F3" w:rsidRPr="00D00ED1" w:rsidRDefault="001117F3" w:rsidP="00D93256">
            <w:pPr>
              <w:pStyle w:val="STPR2TableBody"/>
            </w:pPr>
            <w:r w:rsidRPr="00864E65">
              <w:t xml:space="preserve">Framework for </w:t>
            </w:r>
            <w:r w:rsidR="00DF4823">
              <w:t xml:space="preserve">the </w:t>
            </w:r>
            <w:r w:rsidRPr="00864E65">
              <w:t xml:space="preserve">delivery of </w:t>
            </w:r>
            <w:r w:rsidR="00CB0EDA">
              <w:t>m</w:t>
            </w:r>
            <w:r w:rsidRPr="00864E65">
              <w:t xml:space="preserve">obility </w:t>
            </w:r>
            <w:r w:rsidR="00CB0EDA">
              <w:t>h</w:t>
            </w:r>
            <w:r w:rsidRPr="00864E65">
              <w:t>ubs</w:t>
            </w:r>
          </w:p>
        </w:tc>
        <w:tc>
          <w:tcPr>
            <w:tcW w:w="964" w:type="pct"/>
            <w:tcBorders>
              <w:top w:val="single" w:sz="18" w:space="0" w:color="FFFFFF" w:themeColor="background1"/>
              <w:bottom w:val="single" w:sz="18" w:space="0" w:color="FFFFFF" w:themeColor="background1"/>
            </w:tcBorders>
            <w:shd w:val="clear" w:color="auto" w:fill="DCEDC6"/>
          </w:tcPr>
          <w:p w14:paraId="215FA54D" w14:textId="7BE13F89" w:rsidR="001117F3" w:rsidRPr="00D00ED1" w:rsidRDefault="001117F3" w:rsidP="00D93256">
            <w:pPr>
              <w:pStyle w:val="STPR2TableBody"/>
            </w:pPr>
            <w:r>
              <w:t>22</w:t>
            </w:r>
          </w:p>
        </w:tc>
        <w:tc>
          <w:tcPr>
            <w:tcW w:w="688" w:type="pct"/>
            <w:tcBorders>
              <w:top w:val="single" w:sz="18" w:space="0" w:color="FFFFFF" w:themeColor="background1"/>
              <w:bottom w:val="single" w:sz="18" w:space="0" w:color="FFFFFF" w:themeColor="background1"/>
            </w:tcBorders>
            <w:shd w:val="clear" w:color="auto" w:fill="DCEDC6"/>
          </w:tcPr>
          <w:p w14:paraId="6D554D9E" w14:textId="05E094E6" w:rsidR="001117F3" w:rsidRPr="00D00ED1" w:rsidRDefault="00B96160" w:rsidP="00D93256">
            <w:pPr>
              <w:pStyle w:val="STPR2TableBody"/>
            </w:pPr>
            <w:r>
              <w:t>+</w:t>
            </w:r>
          </w:p>
        </w:tc>
      </w:tr>
      <w:tr w:rsidR="00D27D26" w:rsidRPr="00D00ED1" w14:paraId="038A2CD9"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2A39FED6" w14:textId="72B2E681" w:rsidR="001117F3" w:rsidRPr="00D00ED1" w:rsidRDefault="00570AC0" w:rsidP="00D93256">
            <w:pPr>
              <w:pStyle w:val="STPR2TableBody"/>
            </w:pPr>
            <w:r>
              <w:t>Smart,</w:t>
            </w:r>
            <w:r w:rsidR="001117F3" w:rsidRPr="00864E65">
              <w:t xml:space="preserve"> </w:t>
            </w:r>
            <w:r>
              <w:t>i</w:t>
            </w:r>
            <w:r w:rsidR="001117F3" w:rsidRPr="00864E65">
              <w:t xml:space="preserve">ntegrated </w:t>
            </w:r>
            <w:r>
              <w:t>p</w:t>
            </w:r>
            <w:r w:rsidR="001117F3" w:rsidRPr="00864E65">
              <w:t xml:space="preserve">ublic </w:t>
            </w:r>
            <w:r>
              <w:t>t</w:t>
            </w:r>
            <w:r w:rsidR="001117F3" w:rsidRPr="00864E65">
              <w:t xml:space="preserve">ransport </w:t>
            </w:r>
            <w:r>
              <w:t>t</w:t>
            </w:r>
            <w:r w:rsidR="001117F3" w:rsidRPr="00864E65">
              <w:t xml:space="preserve">icketing </w:t>
            </w:r>
          </w:p>
        </w:tc>
        <w:tc>
          <w:tcPr>
            <w:tcW w:w="964" w:type="pct"/>
            <w:tcBorders>
              <w:top w:val="single" w:sz="18" w:space="0" w:color="FFFFFF" w:themeColor="background1"/>
              <w:bottom w:val="single" w:sz="18" w:space="0" w:color="FFFFFF" w:themeColor="background1"/>
            </w:tcBorders>
            <w:shd w:val="clear" w:color="auto" w:fill="DCEDC6"/>
          </w:tcPr>
          <w:p w14:paraId="0DF21004" w14:textId="0026AB73" w:rsidR="001117F3" w:rsidRPr="00D00ED1" w:rsidRDefault="001117F3" w:rsidP="00D93256">
            <w:pPr>
              <w:pStyle w:val="STPR2TableBody"/>
            </w:pPr>
            <w:r>
              <w:t>23</w:t>
            </w:r>
          </w:p>
        </w:tc>
        <w:tc>
          <w:tcPr>
            <w:tcW w:w="688" w:type="pct"/>
            <w:tcBorders>
              <w:top w:val="single" w:sz="18" w:space="0" w:color="FFFFFF" w:themeColor="background1"/>
              <w:bottom w:val="single" w:sz="18" w:space="0" w:color="FFFFFF" w:themeColor="background1"/>
            </w:tcBorders>
            <w:shd w:val="clear" w:color="auto" w:fill="DCEDC6"/>
          </w:tcPr>
          <w:p w14:paraId="1A5D2CBE" w14:textId="47B7382E" w:rsidR="001117F3" w:rsidRPr="00D00ED1" w:rsidRDefault="007B3687" w:rsidP="00D93256">
            <w:pPr>
              <w:pStyle w:val="STPR2TableBody"/>
            </w:pPr>
            <w:r>
              <w:t>+</w:t>
            </w:r>
          </w:p>
        </w:tc>
      </w:tr>
      <w:tr w:rsidR="00D27D26" w:rsidRPr="00D00ED1" w14:paraId="6ADBAA99"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66E740AB" w14:textId="5A39E9C5" w:rsidR="001117F3" w:rsidRPr="00D00ED1" w:rsidRDefault="001117F3" w:rsidP="00D93256">
            <w:pPr>
              <w:pStyle w:val="STPR2TableBody"/>
            </w:pPr>
            <w:r w:rsidRPr="00864E65">
              <w:t xml:space="preserve">Ferry </w:t>
            </w:r>
            <w:r w:rsidR="00DF4823">
              <w:t>v</w:t>
            </w:r>
            <w:r w:rsidRPr="00864E65">
              <w:t xml:space="preserve">essel </w:t>
            </w:r>
            <w:r w:rsidR="00DF4823">
              <w:t>r</w:t>
            </w:r>
            <w:r w:rsidRPr="00864E65">
              <w:t xml:space="preserve">enewal and </w:t>
            </w:r>
            <w:r w:rsidR="00DF4823">
              <w:t>r</w:t>
            </w:r>
            <w:r w:rsidRPr="00864E65">
              <w:t xml:space="preserve">eplacement and </w:t>
            </w:r>
            <w:r w:rsidR="00DF4823">
              <w:t>p</w:t>
            </w:r>
            <w:r w:rsidRPr="00864E65">
              <w:t xml:space="preserve">rogressive </w:t>
            </w:r>
            <w:r w:rsidR="00DF4823">
              <w:t>d</w:t>
            </w:r>
            <w:r w:rsidRPr="00864E65">
              <w:t>ecarbonisation</w:t>
            </w:r>
          </w:p>
        </w:tc>
        <w:tc>
          <w:tcPr>
            <w:tcW w:w="964" w:type="pct"/>
            <w:tcBorders>
              <w:top w:val="single" w:sz="18" w:space="0" w:color="FFFFFF" w:themeColor="background1"/>
              <w:bottom w:val="single" w:sz="18" w:space="0" w:color="FFFFFF" w:themeColor="background1"/>
            </w:tcBorders>
            <w:shd w:val="clear" w:color="auto" w:fill="DCEDC6"/>
          </w:tcPr>
          <w:p w14:paraId="50A8D708" w14:textId="271CB901" w:rsidR="001117F3" w:rsidRPr="00D00ED1" w:rsidRDefault="001117F3" w:rsidP="00D93256">
            <w:pPr>
              <w:pStyle w:val="STPR2TableBody"/>
            </w:pPr>
            <w:r>
              <w:t>24</w:t>
            </w:r>
          </w:p>
        </w:tc>
        <w:tc>
          <w:tcPr>
            <w:tcW w:w="688" w:type="pct"/>
            <w:tcBorders>
              <w:top w:val="single" w:sz="18" w:space="0" w:color="FFFFFF" w:themeColor="background1"/>
              <w:bottom w:val="single" w:sz="18" w:space="0" w:color="FFFFFF" w:themeColor="background1"/>
            </w:tcBorders>
            <w:shd w:val="clear" w:color="auto" w:fill="DCEDC6"/>
          </w:tcPr>
          <w:p w14:paraId="784E31DC" w14:textId="694449F0" w:rsidR="001117F3" w:rsidRPr="00D00ED1" w:rsidRDefault="00D34A33" w:rsidP="00D93256">
            <w:pPr>
              <w:pStyle w:val="STPR2TableBody"/>
            </w:pPr>
            <w:r>
              <w:t>+</w:t>
            </w:r>
          </w:p>
        </w:tc>
      </w:tr>
      <w:tr w:rsidR="00D27D26" w:rsidRPr="00D00ED1" w14:paraId="4539074B"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082C9C28" w14:textId="3147A0F1" w:rsidR="001117F3" w:rsidRPr="00D00ED1" w:rsidRDefault="001117F3" w:rsidP="00D93256">
            <w:pPr>
              <w:pStyle w:val="STPR2TableBody"/>
            </w:pPr>
            <w:r w:rsidRPr="00864E65">
              <w:t xml:space="preserve">Decarbonisation </w:t>
            </w:r>
            <w:r w:rsidR="00DF4823">
              <w:t>of the rail network</w:t>
            </w:r>
          </w:p>
        </w:tc>
        <w:tc>
          <w:tcPr>
            <w:tcW w:w="964" w:type="pct"/>
            <w:tcBorders>
              <w:top w:val="single" w:sz="18" w:space="0" w:color="FFFFFF" w:themeColor="background1"/>
              <w:bottom w:val="single" w:sz="18" w:space="0" w:color="FFFFFF" w:themeColor="background1"/>
            </w:tcBorders>
            <w:shd w:val="clear" w:color="auto" w:fill="DCEDC6"/>
          </w:tcPr>
          <w:p w14:paraId="326F65A7" w14:textId="4918F54D" w:rsidR="001117F3" w:rsidRPr="00D00ED1" w:rsidRDefault="001117F3" w:rsidP="00D93256">
            <w:pPr>
              <w:pStyle w:val="STPR2TableBody"/>
            </w:pPr>
            <w:r>
              <w:t>25</w:t>
            </w:r>
          </w:p>
        </w:tc>
        <w:tc>
          <w:tcPr>
            <w:tcW w:w="688" w:type="pct"/>
            <w:tcBorders>
              <w:top w:val="single" w:sz="18" w:space="0" w:color="FFFFFF" w:themeColor="background1"/>
              <w:bottom w:val="single" w:sz="18" w:space="0" w:color="FFFFFF" w:themeColor="background1"/>
            </w:tcBorders>
            <w:shd w:val="clear" w:color="auto" w:fill="DCEDC6"/>
          </w:tcPr>
          <w:p w14:paraId="769B7734" w14:textId="13BCE97D" w:rsidR="001117F3" w:rsidRPr="00D00ED1" w:rsidRDefault="00B96160" w:rsidP="00D93256">
            <w:pPr>
              <w:pStyle w:val="STPR2TableBody"/>
            </w:pPr>
            <w:r>
              <w:t>+</w:t>
            </w:r>
          </w:p>
        </w:tc>
      </w:tr>
      <w:tr w:rsidR="00D27D26" w:rsidRPr="00D00ED1" w14:paraId="11AFB667"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37D99666" w14:textId="44794120" w:rsidR="001117F3" w:rsidRPr="00D00ED1" w:rsidRDefault="001117F3" w:rsidP="00D93256">
            <w:pPr>
              <w:pStyle w:val="STPR2TableBody"/>
            </w:pPr>
            <w:r w:rsidRPr="00864E65">
              <w:t xml:space="preserve">Decarbonisation of the </w:t>
            </w:r>
            <w:r w:rsidR="00DF4823">
              <w:t>b</w:t>
            </w:r>
            <w:r w:rsidRPr="00864E65">
              <w:t xml:space="preserve">us </w:t>
            </w:r>
            <w:r w:rsidR="00DF4823">
              <w:t>n</w:t>
            </w:r>
            <w:r w:rsidRPr="00864E65">
              <w:t>etwork</w:t>
            </w:r>
          </w:p>
        </w:tc>
        <w:tc>
          <w:tcPr>
            <w:tcW w:w="964" w:type="pct"/>
            <w:tcBorders>
              <w:top w:val="single" w:sz="18" w:space="0" w:color="FFFFFF" w:themeColor="background1"/>
              <w:bottom w:val="single" w:sz="18" w:space="0" w:color="FFFFFF" w:themeColor="background1"/>
            </w:tcBorders>
            <w:shd w:val="clear" w:color="auto" w:fill="DCEDC6"/>
          </w:tcPr>
          <w:p w14:paraId="316B8BD7" w14:textId="2FD9DE3A" w:rsidR="001117F3" w:rsidRPr="00D00ED1" w:rsidRDefault="001117F3" w:rsidP="00D93256">
            <w:pPr>
              <w:pStyle w:val="STPR2TableBody"/>
            </w:pPr>
            <w:r>
              <w:t>26</w:t>
            </w:r>
          </w:p>
        </w:tc>
        <w:tc>
          <w:tcPr>
            <w:tcW w:w="688" w:type="pct"/>
            <w:tcBorders>
              <w:top w:val="single" w:sz="18" w:space="0" w:color="FFFFFF" w:themeColor="background1"/>
              <w:bottom w:val="single" w:sz="18" w:space="0" w:color="FFFFFF" w:themeColor="background1"/>
            </w:tcBorders>
            <w:shd w:val="clear" w:color="auto" w:fill="DCEDC6"/>
          </w:tcPr>
          <w:p w14:paraId="05E08735" w14:textId="42DEF5E1" w:rsidR="001117F3" w:rsidRPr="00D00ED1" w:rsidRDefault="00D34A33" w:rsidP="00D93256">
            <w:pPr>
              <w:pStyle w:val="STPR2TableBody"/>
            </w:pPr>
            <w:r>
              <w:t>+</w:t>
            </w:r>
          </w:p>
        </w:tc>
      </w:tr>
      <w:tr w:rsidR="00D27D26" w:rsidRPr="00D00ED1" w14:paraId="6B41E334"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1CF53F19" w14:textId="52E8F25F" w:rsidR="001117F3" w:rsidRPr="00D00ED1" w:rsidRDefault="001117F3" w:rsidP="00D93256">
            <w:pPr>
              <w:pStyle w:val="STPR2TableBody"/>
            </w:pPr>
            <w:r w:rsidRPr="00864E65">
              <w:t>Behaviour</w:t>
            </w:r>
            <w:r w:rsidR="004F6AD3">
              <w:t>al</w:t>
            </w:r>
            <w:r w:rsidRPr="00864E65">
              <w:t xml:space="preserve"> change and modal shift for freight</w:t>
            </w:r>
          </w:p>
        </w:tc>
        <w:tc>
          <w:tcPr>
            <w:tcW w:w="964" w:type="pct"/>
            <w:tcBorders>
              <w:top w:val="single" w:sz="18" w:space="0" w:color="FFFFFF" w:themeColor="background1"/>
              <w:bottom w:val="single" w:sz="18" w:space="0" w:color="FFFFFF" w:themeColor="background1"/>
            </w:tcBorders>
            <w:shd w:val="clear" w:color="auto" w:fill="DCEDC6"/>
          </w:tcPr>
          <w:p w14:paraId="078265F9" w14:textId="2CD6C179" w:rsidR="001117F3" w:rsidRPr="00D00ED1" w:rsidRDefault="001117F3" w:rsidP="00D93256">
            <w:pPr>
              <w:pStyle w:val="STPR2TableBody"/>
            </w:pPr>
            <w:r>
              <w:t>27</w:t>
            </w:r>
          </w:p>
        </w:tc>
        <w:tc>
          <w:tcPr>
            <w:tcW w:w="688" w:type="pct"/>
            <w:tcBorders>
              <w:top w:val="single" w:sz="18" w:space="0" w:color="FFFFFF" w:themeColor="background1"/>
              <w:bottom w:val="single" w:sz="18" w:space="0" w:color="FFFFFF" w:themeColor="background1"/>
            </w:tcBorders>
            <w:shd w:val="clear" w:color="auto" w:fill="DCEDC6"/>
          </w:tcPr>
          <w:p w14:paraId="308EA44D" w14:textId="7E8B8815" w:rsidR="001117F3" w:rsidRPr="00D00ED1" w:rsidRDefault="00D34A33" w:rsidP="00D93256">
            <w:pPr>
              <w:pStyle w:val="STPR2TableBody"/>
            </w:pPr>
            <w:r>
              <w:t>+</w:t>
            </w:r>
          </w:p>
        </w:tc>
      </w:tr>
      <w:tr w:rsidR="00D27D26" w:rsidRPr="00D00ED1" w14:paraId="6D635EED"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59B63BCC" w14:textId="1BE39F1A" w:rsidR="001117F3" w:rsidRPr="00D00ED1" w:rsidRDefault="001117F3" w:rsidP="00D93256">
            <w:pPr>
              <w:pStyle w:val="STPR2TableBody"/>
            </w:pPr>
            <w:r w:rsidRPr="00864E65">
              <w:t xml:space="preserve">Zero </w:t>
            </w:r>
            <w:r w:rsidR="004F6AD3">
              <w:t>e</w:t>
            </w:r>
            <w:r w:rsidRPr="00864E65">
              <w:t xml:space="preserve">mission </w:t>
            </w:r>
            <w:r w:rsidR="004F6AD3">
              <w:t>v</w:t>
            </w:r>
            <w:r w:rsidRPr="00864E65">
              <w:t xml:space="preserve">ehicles and </w:t>
            </w:r>
            <w:r w:rsidR="004F6AD3">
              <w:t>i</w:t>
            </w:r>
            <w:r w:rsidRPr="00864E65">
              <w:t xml:space="preserve">nfrastructure </w:t>
            </w:r>
            <w:r w:rsidR="004F6AD3">
              <w:t>t</w:t>
            </w:r>
            <w:r w:rsidRPr="00864E65">
              <w:t>ransition</w:t>
            </w:r>
          </w:p>
        </w:tc>
        <w:tc>
          <w:tcPr>
            <w:tcW w:w="964" w:type="pct"/>
            <w:tcBorders>
              <w:top w:val="single" w:sz="18" w:space="0" w:color="FFFFFF" w:themeColor="background1"/>
              <w:bottom w:val="single" w:sz="18" w:space="0" w:color="FFFFFF" w:themeColor="background1"/>
            </w:tcBorders>
            <w:shd w:val="clear" w:color="auto" w:fill="DCEDC6"/>
          </w:tcPr>
          <w:p w14:paraId="3F20EF54" w14:textId="49D574D0" w:rsidR="001117F3" w:rsidRPr="00D00ED1" w:rsidRDefault="001117F3" w:rsidP="00D93256">
            <w:pPr>
              <w:pStyle w:val="STPR2TableBody"/>
            </w:pPr>
            <w:r>
              <w:t>28</w:t>
            </w:r>
          </w:p>
        </w:tc>
        <w:tc>
          <w:tcPr>
            <w:tcW w:w="688" w:type="pct"/>
            <w:tcBorders>
              <w:top w:val="single" w:sz="18" w:space="0" w:color="FFFFFF" w:themeColor="background1"/>
              <w:bottom w:val="single" w:sz="18" w:space="0" w:color="FFFFFF" w:themeColor="background1"/>
            </w:tcBorders>
            <w:shd w:val="clear" w:color="auto" w:fill="DCEDC6"/>
          </w:tcPr>
          <w:p w14:paraId="6D8A4AC5" w14:textId="49F09B8B" w:rsidR="001117F3" w:rsidRPr="00D00ED1" w:rsidRDefault="00D34A33" w:rsidP="00D93256">
            <w:pPr>
              <w:pStyle w:val="STPR2TableBody"/>
            </w:pPr>
            <w:r>
              <w:t>+</w:t>
            </w:r>
          </w:p>
        </w:tc>
      </w:tr>
      <w:tr w:rsidR="00D27D26" w:rsidRPr="00D00ED1" w14:paraId="23CBBE15"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183D9194" w14:textId="144044A8" w:rsidR="001117F3" w:rsidRPr="00D00ED1" w:rsidRDefault="001117F3" w:rsidP="00D93256">
            <w:pPr>
              <w:pStyle w:val="STPR2TableBody"/>
            </w:pPr>
            <w:r w:rsidRPr="00864E65">
              <w:t>Access to Argyll</w:t>
            </w:r>
            <w:r w:rsidR="00402585">
              <w:t xml:space="preserve"> (A83)</w:t>
            </w:r>
          </w:p>
        </w:tc>
        <w:tc>
          <w:tcPr>
            <w:tcW w:w="964" w:type="pct"/>
            <w:tcBorders>
              <w:top w:val="single" w:sz="18" w:space="0" w:color="FFFFFF" w:themeColor="background1"/>
              <w:bottom w:val="single" w:sz="18" w:space="0" w:color="FFFFFF" w:themeColor="background1"/>
            </w:tcBorders>
            <w:shd w:val="clear" w:color="auto" w:fill="DCEDC6"/>
          </w:tcPr>
          <w:p w14:paraId="0D068867" w14:textId="2027EE2B" w:rsidR="001117F3" w:rsidRPr="00D00ED1" w:rsidRDefault="001117F3" w:rsidP="00D93256">
            <w:pPr>
              <w:pStyle w:val="STPR2TableBody"/>
            </w:pPr>
            <w:r>
              <w:t>29</w:t>
            </w:r>
          </w:p>
        </w:tc>
        <w:tc>
          <w:tcPr>
            <w:tcW w:w="688" w:type="pct"/>
            <w:tcBorders>
              <w:top w:val="single" w:sz="18" w:space="0" w:color="FFFFFF" w:themeColor="background1"/>
              <w:bottom w:val="single" w:sz="18" w:space="0" w:color="FFFFFF" w:themeColor="background1"/>
            </w:tcBorders>
            <w:shd w:val="clear" w:color="auto" w:fill="DCEDC6"/>
          </w:tcPr>
          <w:p w14:paraId="4EAB7C48" w14:textId="445FF6F3" w:rsidR="001117F3" w:rsidRPr="00D00ED1" w:rsidRDefault="00E42290" w:rsidP="00D93256">
            <w:pPr>
              <w:pStyle w:val="STPR2TableBody"/>
            </w:pPr>
            <w:r>
              <w:t>-</w:t>
            </w:r>
          </w:p>
        </w:tc>
      </w:tr>
      <w:tr w:rsidR="00D27D26" w:rsidRPr="00D00ED1" w14:paraId="12ECC041" w14:textId="77777777" w:rsidTr="00D27D26">
        <w:trPr>
          <w:cantSplit/>
          <w:trHeight w:val="435"/>
        </w:trPr>
        <w:tc>
          <w:tcPr>
            <w:tcW w:w="3348" w:type="pct"/>
            <w:tcBorders>
              <w:top w:val="single" w:sz="18" w:space="0" w:color="FFFFFF" w:themeColor="background1"/>
            </w:tcBorders>
            <w:shd w:val="clear" w:color="auto" w:fill="DCEDC6"/>
            <w:vAlign w:val="center"/>
          </w:tcPr>
          <w:p w14:paraId="5A4802FE" w14:textId="5475F75A" w:rsidR="001117F3" w:rsidRPr="00D00ED1" w:rsidRDefault="001117F3" w:rsidP="00D93256">
            <w:pPr>
              <w:pStyle w:val="STPR2TableBody"/>
            </w:pPr>
            <w:r w:rsidRPr="00864E65">
              <w:t xml:space="preserve">Trunk </w:t>
            </w:r>
            <w:r w:rsidR="00E31D06">
              <w:t>r</w:t>
            </w:r>
            <w:r w:rsidRPr="00864E65">
              <w:t xml:space="preserve">oad and </w:t>
            </w:r>
            <w:r w:rsidR="00E31D06">
              <w:t>m</w:t>
            </w:r>
            <w:r w:rsidRPr="00864E65">
              <w:t xml:space="preserve">otorway </w:t>
            </w:r>
            <w:r w:rsidR="00E31D06">
              <w:t>n</w:t>
            </w:r>
            <w:r w:rsidRPr="00864E65">
              <w:t xml:space="preserve">etwork </w:t>
            </w:r>
            <w:r w:rsidR="00E31D06">
              <w:t>s</w:t>
            </w:r>
            <w:r w:rsidRPr="00864E65">
              <w:t xml:space="preserve">afety </w:t>
            </w:r>
            <w:r w:rsidR="00E31D06">
              <w:t>i</w:t>
            </w:r>
            <w:r w:rsidRPr="00864E65">
              <w:t>mprovements</w:t>
            </w:r>
            <w:r w:rsidR="00735660">
              <w:t xml:space="preserve"> to progress towards ‘Vision Zero’ </w:t>
            </w:r>
          </w:p>
        </w:tc>
        <w:tc>
          <w:tcPr>
            <w:tcW w:w="964" w:type="pct"/>
            <w:tcBorders>
              <w:top w:val="single" w:sz="18" w:space="0" w:color="FFFFFF" w:themeColor="background1"/>
            </w:tcBorders>
            <w:shd w:val="clear" w:color="auto" w:fill="DCEDC6"/>
          </w:tcPr>
          <w:p w14:paraId="17A7C289" w14:textId="7ED2B536" w:rsidR="001117F3" w:rsidRPr="00D00ED1" w:rsidRDefault="001117F3" w:rsidP="00D93256">
            <w:pPr>
              <w:pStyle w:val="STPR2TableBody"/>
            </w:pPr>
            <w:r>
              <w:t>30</w:t>
            </w:r>
          </w:p>
        </w:tc>
        <w:tc>
          <w:tcPr>
            <w:tcW w:w="688" w:type="pct"/>
            <w:tcBorders>
              <w:top w:val="single" w:sz="18" w:space="0" w:color="FFFFFF" w:themeColor="background1"/>
            </w:tcBorders>
            <w:shd w:val="clear" w:color="auto" w:fill="DCEDC6"/>
          </w:tcPr>
          <w:p w14:paraId="19DEC9B4" w14:textId="5C26F434" w:rsidR="001117F3" w:rsidRPr="00513F99" w:rsidRDefault="00351BCF" w:rsidP="00D93256">
            <w:pPr>
              <w:pStyle w:val="STPR2TableBody"/>
            </w:pPr>
            <w:r>
              <w:t>-</w:t>
            </w:r>
          </w:p>
        </w:tc>
      </w:tr>
      <w:tr w:rsidR="00D27D26" w:rsidRPr="00D00ED1" w14:paraId="42835DCA"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1F984A7E" w14:textId="7EF78EA8" w:rsidR="001117F3" w:rsidRPr="00864E65" w:rsidRDefault="00AF2244" w:rsidP="00D93256">
            <w:pPr>
              <w:pStyle w:val="STPR2TableBody"/>
            </w:pPr>
            <w:r w:rsidRPr="00AF2244">
              <w:lastRenderedPageBreak/>
              <w:t xml:space="preserve">Trunk road and motorway network </w:t>
            </w:r>
            <w:r w:rsidR="00921EF3">
              <w:t>c</w:t>
            </w:r>
            <w:r w:rsidR="001117F3" w:rsidRPr="00864E65">
              <w:t xml:space="preserve">limate </w:t>
            </w:r>
            <w:r w:rsidR="00921EF3">
              <w:t>c</w:t>
            </w:r>
            <w:r w:rsidR="001117F3" w:rsidRPr="00864E65">
              <w:t xml:space="preserve">hange </w:t>
            </w:r>
            <w:r w:rsidR="00921EF3">
              <w:t>a</w:t>
            </w:r>
            <w:r w:rsidR="001117F3" w:rsidRPr="00864E65">
              <w:t xml:space="preserve">daptation and </w:t>
            </w:r>
            <w:r w:rsidR="00921EF3">
              <w:t>r</w:t>
            </w:r>
            <w:r w:rsidR="001117F3" w:rsidRPr="00864E65">
              <w:t xml:space="preserve">esilience </w:t>
            </w:r>
          </w:p>
        </w:tc>
        <w:tc>
          <w:tcPr>
            <w:tcW w:w="964" w:type="pct"/>
            <w:tcBorders>
              <w:top w:val="single" w:sz="18" w:space="0" w:color="FFFFFF" w:themeColor="background1"/>
              <w:bottom w:val="single" w:sz="18" w:space="0" w:color="FFFFFF" w:themeColor="background1"/>
            </w:tcBorders>
            <w:shd w:val="clear" w:color="auto" w:fill="DCEDC6"/>
          </w:tcPr>
          <w:p w14:paraId="306E8530" w14:textId="43590A8E" w:rsidR="001117F3" w:rsidRPr="00D00ED1" w:rsidRDefault="001117F3" w:rsidP="00D93256">
            <w:pPr>
              <w:pStyle w:val="STPR2TableBody"/>
            </w:pPr>
            <w:r>
              <w:t>31</w:t>
            </w:r>
          </w:p>
        </w:tc>
        <w:tc>
          <w:tcPr>
            <w:tcW w:w="688" w:type="pct"/>
            <w:tcBorders>
              <w:top w:val="single" w:sz="18" w:space="0" w:color="FFFFFF" w:themeColor="background1"/>
              <w:bottom w:val="single" w:sz="18" w:space="0" w:color="FFFFFF" w:themeColor="background1"/>
            </w:tcBorders>
            <w:shd w:val="clear" w:color="auto" w:fill="DCEDC6"/>
          </w:tcPr>
          <w:p w14:paraId="1AF84BDF" w14:textId="1DED3987" w:rsidR="001117F3" w:rsidRPr="00513F99" w:rsidRDefault="00A26249" w:rsidP="00D93256">
            <w:pPr>
              <w:pStyle w:val="STPR2TableBody"/>
            </w:pPr>
            <w:r w:rsidRPr="00513F99">
              <w:t>+</w:t>
            </w:r>
          </w:p>
        </w:tc>
      </w:tr>
      <w:tr w:rsidR="00D27D26" w:rsidRPr="00D00ED1" w14:paraId="08D44A3A"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44B1D591" w14:textId="5D285E13" w:rsidR="001117F3" w:rsidRPr="00864E65" w:rsidRDefault="00AF2244" w:rsidP="00D93256">
            <w:pPr>
              <w:pStyle w:val="STPR2TableBody"/>
            </w:pPr>
            <w:r w:rsidRPr="00AF2244">
              <w:t xml:space="preserve">Trunk road and motorway network </w:t>
            </w:r>
            <w:r w:rsidR="00921EF3">
              <w:t>r</w:t>
            </w:r>
            <w:r w:rsidR="001117F3" w:rsidRPr="00864E65">
              <w:t xml:space="preserve">enewal for </w:t>
            </w:r>
            <w:r w:rsidR="00040DDD">
              <w:t>r</w:t>
            </w:r>
            <w:r w:rsidR="001117F3" w:rsidRPr="00864E65">
              <w:t xml:space="preserve">eliability, </w:t>
            </w:r>
            <w:r w:rsidR="00040DDD">
              <w:t>r</w:t>
            </w:r>
            <w:r w:rsidR="001117F3" w:rsidRPr="00864E65">
              <w:t xml:space="preserve">esilience and </w:t>
            </w:r>
            <w:r w:rsidR="00040DDD">
              <w:t>s</w:t>
            </w:r>
            <w:r w:rsidR="001117F3" w:rsidRPr="00864E65">
              <w:t xml:space="preserve">afety </w:t>
            </w:r>
          </w:p>
        </w:tc>
        <w:tc>
          <w:tcPr>
            <w:tcW w:w="964" w:type="pct"/>
            <w:tcBorders>
              <w:top w:val="single" w:sz="18" w:space="0" w:color="FFFFFF" w:themeColor="background1"/>
              <w:bottom w:val="single" w:sz="18" w:space="0" w:color="FFFFFF" w:themeColor="background1"/>
            </w:tcBorders>
            <w:shd w:val="clear" w:color="auto" w:fill="DCEDC6"/>
          </w:tcPr>
          <w:p w14:paraId="755AE494" w14:textId="18191C47" w:rsidR="001117F3" w:rsidRPr="00D00ED1" w:rsidRDefault="001117F3" w:rsidP="00D93256">
            <w:pPr>
              <w:pStyle w:val="STPR2TableBody"/>
            </w:pPr>
            <w:r>
              <w:t>32</w:t>
            </w:r>
          </w:p>
        </w:tc>
        <w:tc>
          <w:tcPr>
            <w:tcW w:w="688" w:type="pct"/>
            <w:tcBorders>
              <w:top w:val="single" w:sz="18" w:space="0" w:color="FFFFFF" w:themeColor="background1"/>
              <w:bottom w:val="single" w:sz="18" w:space="0" w:color="FFFFFF" w:themeColor="background1"/>
            </w:tcBorders>
            <w:shd w:val="clear" w:color="auto" w:fill="DCEDC6"/>
          </w:tcPr>
          <w:p w14:paraId="3AFFF7DA" w14:textId="3C300B9C" w:rsidR="001117F3" w:rsidRPr="00513F99" w:rsidRDefault="00513F99" w:rsidP="00D93256">
            <w:pPr>
              <w:pStyle w:val="STPR2TableBody"/>
            </w:pPr>
            <w:r w:rsidRPr="00513F99">
              <w:t>0</w:t>
            </w:r>
          </w:p>
        </w:tc>
      </w:tr>
      <w:tr w:rsidR="00D27D26" w:rsidRPr="00D00ED1" w14:paraId="1E729F3C"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5330595A" w14:textId="089F2E32" w:rsidR="001117F3" w:rsidRPr="00864E65" w:rsidRDefault="001117F3" w:rsidP="00D93256">
            <w:pPr>
              <w:pStyle w:val="STPR2TableBody"/>
            </w:pPr>
            <w:r w:rsidRPr="00864E65">
              <w:t xml:space="preserve">Future </w:t>
            </w:r>
            <w:r w:rsidR="000379A1">
              <w:t>Intelligent Transport Systems</w:t>
            </w:r>
          </w:p>
        </w:tc>
        <w:tc>
          <w:tcPr>
            <w:tcW w:w="964" w:type="pct"/>
            <w:tcBorders>
              <w:top w:val="single" w:sz="18" w:space="0" w:color="FFFFFF" w:themeColor="background1"/>
              <w:bottom w:val="single" w:sz="18" w:space="0" w:color="FFFFFF" w:themeColor="background1"/>
            </w:tcBorders>
            <w:shd w:val="clear" w:color="auto" w:fill="DCEDC6"/>
          </w:tcPr>
          <w:p w14:paraId="00E0BA13" w14:textId="425A85B0" w:rsidR="001117F3" w:rsidRPr="00D00ED1" w:rsidRDefault="001117F3" w:rsidP="00D93256">
            <w:pPr>
              <w:pStyle w:val="STPR2TableBody"/>
            </w:pPr>
            <w:r>
              <w:t>33</w:t>
            </w:r>
          </w:p>
        </w:tc>
        <w:tc>
          <w:tcPr>
            <w:tcW w:w="688" w:type="pct"/>
            <w:tcBorders>
              <w:top w:val="single" w:sz="18" w:space="0" w:color="FFFFFF" w:themeColor="background1"/>
              <w:bottom w:val="single" w:sz="18" w:space="0" w:color="FFFFFF" w:themeColor="background1"/>
            </w:tcBorders>
            <w:shd w:val="clear" w:color="auto" w:fill="DCEDC6"/>
          </w:tcPr>
          <w:p w14:paraId="484F1F5A" w14:textId="328AFA37" w:rsidR="001117F3" w:rsidRPr="00D00ED1" w:rsidRDefault="000F2D3F" w:rsidP="00D93256">
            <w:pPr>
              <w:pStyle w:val="STPR2TableBody"/>
            </w:pPr>
            <w:r>
              <w:t>+</w:t>
            </w:r>
          </w:p>
        </w:tc>
      </w:tr>
      <w:tr w:rsidR="00D27D26" w:rsidRPr="00D00ED1" w14:paraId="55A5A59D"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2E537014" w14:textId="55CAEDF5" w:rsidR="001117F3" w:rsidRPr="00864E65" w:rsidRDefault="003A7237" w:rsidP="00D93256">
            <w:pPr>
              <w:pStyle w:val="STPR2TableBody"/>
            </w:pPr>
            <w:r>
              <w:t>Traffic Scotland</w:t>
            </w:r>
            <w:r w:rsidR="00362252">
              <w:t xml:space="preserve"> system renewal</w:t>
            </w:r>
            <w:r w:rsidR="001117F3" w:rsidRPr="00864E65">
              <w:t xml:space="preserve"> </w:t>
            </w:r>
          </w:p>
        </w:tc>
        <w:tc>
          <w:tcPr>
            <w:tcW w:w="964" w:type="pct"/>
            <w:tcBorders>
              <w:top w:val="single" w:sz="18" w:space="0" w:color="FFFFFF" w:themeColor="background1"/>
              <w:bottom w:val="single" w:sz="18" w:space="0" w:color="FFFFFF" w:themeColor="background1"/>
            </w:tcBorders>
            <w:shd w:val="clear" w:color="auto" w:fill="DCEDC6"/>
          </w:tcPr>
          <w:p w14:paraId="51FF7A58" w14:textId="72BC4A9E" w:rsidR="001117F3" w:rsidRPr="00D00ED1" w:rsidRDefault="001117F3" w:rsidP="00D93256">
            <w:pPr>
              <w:pStyle w:val="STPR2TableBody"/>
            </w:pPr>
            <w:r>
              <w:t>34</w:t>
            </w:r>
          </w:p>
        </w:tc>
        <w:tc>
          <w:tcPr>
            <w:tcW w:w="688" w:type="pct"/>
            <w:tcBorders>
              <w:top w:val="single" w:sz="18" w:space="0" w:color="FFFFFF" w:themeColor="background1"/>
              <w:bottom w:val="single" w:sz="18" w:space="0" w:color="FFFFFF" w:themeColor="background1"/>
            </w:tcBorders>
            <w:shd w:val="clear" w:color="auto" w:fill="DCEDC6"/>
          </w:tcPr>
          <w:p w14:paraId="51055BF5" w14:textId="435931D0" w:rsidR="001117F3" w:rsidRPr="00D00ED1" w:rsidRDefault="00D34A33" w:rsidP="00D93256">
            <w:pPr>
              <w:pStyle w:val="STPR2TableBody"/>
            </w:pPr>
            <w:r>
              <w:t>0</w:t>
            </w:r>
          </w:p>
        </w:tc>
      </w:tr>
      <w:tr w:rsidR="00D27D26" w:rsidRPr="00D00ED1" w14:paraId="553C7D74"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4ECF492F" w14:textId="130CCC9D" w:rsidR="001117F3" w:rsidRPr="00864E65" w:rsidRDefault="001117F3" w:rsidP="00D93256">
            <w:pPr>
              <w:pStyle w:val="STPR2TableBody"/>
            </w:pPr>
            <w:r w:rsidRPr="00864E65">
              <w:t>Intelligent Transport System</w:t>
            </w:r>
            <w:r w:rsidR="00362252">
              <w:t xml:space="preserve"> </w:t>
            </w:r>
            <w:r w:rsidR="00362252" w:rsidRPr="00362252">
              <w:t>renewal</w:t>
            </w:r>
            <w:r w:rsidR="00362252">
              <w:t xml:space="preserve"> and replacement</w:t>
            </w:r>
          </w:p>
        </w:tc>
        <w:tc>
          <w:tcPr>
            <w:tcW w:w="964" w:type="pct"/>
            <w:tcBorders>
              <w:top w:val="single" w:sz="18" w:space="0" w:color="FFFFFF" w:themeColor="background1"/>
              <w:bottom w:val="single" w:sz="18" w:space="0" w:color="FFFFFF" w:themeColor="background1"/>
            </w:tcBorders>
            <w:shd w:val="clear" w:color="auto" w:fill="DCEDC6"/>
          </w:tcPr>
          <w:p w14:paraId="01375F0E" w14:textId="36C82243" w:rsidR="001117F3" w:rsidRPr="00D00ED1" w:rsidRDefault="001117F3" w:rsidP="00D93256">
            <w:pPr>
              <w:pStyle w:val="STPR2TableBody"/>
            </w:pPr>
            <w:r>
              <w:t>35</w:t>
            </w:r>
          </w:p>
        </w:tc>
        <w:tc>
          <w:tcPr>
            <w:tcW w:w="688" w:type="pct"/>
            <w:tcBorders>
              <w:top w:val="single" w:sz="18" w:space="0" w:color="FFFFFF" w:themeColor="background1"/>
              <w:bottom w:val="single" w:sz="18" w:space="0" w:color="FFFFFF" w:themeColor="background1"/>
            </w:tcBorders>
            <w:shd w:val="clear" w:color="auto" w:fill="DCEDC6"/>
          </w:tcPr>
          <w:p w14:paraId="44463A6F" w14:textId="2B593ED8" w:rsidR="001117F3" w:rsidRPr="00D00ED1" w:rsidRDefault="00D8521E" w:rsidP="00D93256">
            <w:pPr>
              <w:pStyle w:val="STPR2TableBody"/>
            </w:pPr>
            <w:r>
              <w:t>+</w:t>
            </w:r>
          </w:p>
        </w:tc>
      </w:tr>
      <w:tr w:rsidR="00D27D26" w:rsidRPr="00D00ED1" w14:paraId="10B798BA"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0CA5BB3D" w14:textId="77777777" w:rsidR="001117F3" w:rsidRPr="00864E65" w:rsidRDefault="001117F3" w:rsidP="00D93256">
            <w:pPr>
              <w:pStyle w:val="STPR2TableBody"/>
            </w:pPr>
            <w:r w:rsidRPr="00864E65">
              <w:t xml:space="preserve">Strategy for improving rest and welfare facilities for hauliers  </w:t>
            </w:r>
          </w:p>
        </w:tc>
        <w:tc>
          <w:tcPr>
            <w:tcW w:w="964" w:type="pct"/>
            <w:tcBorders>
              <w:top w:val="single" w:sz="18" w:space="0" w:color="FFFFFF" w:themeColor="background1"/>
              <w:bottom w:val="single" w:sz="18" w:space="0" w:color="FFFFFF" w:themeColor="background1"/>
            </w:tcBorders>
            <w:shd w:val="clear" w:color="auto" w:fill="DCEDC6"/>
          </w:tcPr>
          <w:p w14:paraId="4D0CBC72" w14:textId="7B28947E" w:rsidR="001117F3" w:rsidRPr="00D00ED1" w:rsidRDefault="001117F3" w:rsidP="00D93256">
            <w:pPr>
              <w:pStyle w:val="STPR2TableBody"/>
            </w:pPr>
            <w:r>
              <w:t>36</w:t>
            </w:r>
          </w:p>
        </w:tc>
        <w:tc>
          <w:tcPr>
            <w:tcW w:w="688" w:type="pct"/>
            <w:tcBorders>
              <w:top w:val="single" w:sz="18" w:space="0" w:color="FFFFFF" w:themeColor="background1"/>
              <w:bottom w:val="single" w:sz="18" w:space="0" w:color="FFFFFF" w:themeColor="background1"/>
            </w:tcBorders>
            <w:shd w:val="clear" w:color="auto" w:fill="DCEDC6"/>
          </w:tcPr>
          <w:p w14:paraId="7CA63E79" w14:textId="4C4EA81D" w:rsidR="001117F3" w:rsidRPr="00D00ED1" w:rsidRDefault="00D34A33" w:rsidP="00D93256">
            <w:pPr>
              <w:pStyle w:val="STPR2TableBody"/>
            </w:pPr>
            <w:r>
              <w:t>0</w:t>
            </w:r>
          </w:p>
        </w:tc>
      </w:tr>
      <w:tr w:rsidR="00D27D26" w:rsidRPr="00D00ED1" w14:paraId="4A6C195C"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6E6AD948" w14:textId="77777777" w:rsidR="001117F3" w:rsidRPr="00864E65" w:rsidRDefault="001117F3" w:rsidP="00D93256">
            <w:pPr>
              <w:pStyle w:val="STPR2TableBody"/>
            </w:pPr>
            <w:r w:rsidRPr="00864E65">
              <w:t>Improving active travel on trunk roads through communities</w:t>
            </w:r>
          </w:p>
        </w:tc>
        <w:tc>
          <w:tcPr>
            <w:tcW w:w="964" w:type="pct"/>
            <w:tcBorders>
              <w:top w:val="single" w:sz="18" w:space="0" w:color="FFFFFF" w:themeColor="background1"/>
              <w:bottom w:val="single" w:sz="18" w:space="0" w:color="FFFFFF" w:themeColor="background1"/>
            </w:tcBorders>
            <w:shd w:val="clear" w:color="auto" w:fill="DCEDC6"/>
          </w:tcPr>
          <w:p w14:paraId="141E8476" w14:textId="420E7F04" w:rsidR="001117F3" w:rsidRPr="00D00ED1" w:rsidRDefault="001117F3" w:rsidP="00D93256">
            <w:pPr>
              <w:pStyle w:val="STPR2TableBody"/>
            </w:pPr>
            <w:r>
              <w:t>37</w:t>
            </w:r>
          </w:p>
        </w:tc>
        <w:tc>
          <w:tcPr>
            <w:tcW w:w="688" w:type="pct"/>
            <w:tcBorders>
              <w:top w:val="single" w:sz="18" w:space="0" w:color="FFFFFF" w:themeColor="background1"/>
              <w:bottom w:val="single" w:sz="18" w:space="0" w:color="FFFFFF" w:themeColor="background1"/>
            </w:tcBorders>
            <w:shd w:val="clear" w:color="auto" w:fill="DCEDC6"/>
          </w:tcPr>
          <w:p w14:paraId="71CC6C85" w14:textId="00944E3C" w:rsidR="001117F3" w:rsidRPr="00D00ED1" w:rsidRDefault="00D34A33" w:rsidP="00D93256">
            <w:pPr>
              <w:pStyle w:val="STPR2TableBody"/>
            </w:pPr>
            <w:r>
              <w:t>+</w:t>
            </w:r>
          </w:p>
        </w:tc>
      </w:tr>
      <w:tr w:rsidR="00D27D26" w:rsidRPr="00D00ED1" w14:paraId="0B968130"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3015BFC1" w14:textId="77777777" w:rsidR="001117F3" w:rsidRPr="00864E65" w:rsidRDefault="001117F3" w:rsidP="00D93256">
            <w:pPr>
              <w:pStyle w:val="STPR2TableBody"/>
            </w:pPr>
            <w:r w:rsidRPr="00864E65">
              <w:t xml:space="preserve">Speed Management Plan </w:t>
            </w:r>
          </w:p>
        </w:tc>
        <w:tc>
          <w:tcPr>
            <w:tcW w:w="964" w:type="pct"/>
            <w:tcBorders>
              <w:top w:val="single" w:sz="18" w:space="0" w:color="FFFFFF" w:themeColor="background1"/>
              <w:bottom w:val="single" w:sz="18" w:space="0" w:color="FFFFFF" w:themeColor="background1"/>
            </w:tcBorders>
            <w:shd w:val="clear" w:color="auto" w:fill="DCEDC6"/>
          </w:tcPr>
          <w:p w14:paraId="4D6A2714" w14:textId="427912AA" w:rsidR="001117F3" w:rsidRPr="00D00ED1" w:rsidRDefault="001117F3" w:rsidP="00D93256">
            <w:pPr>
              <w:pStyle w:val="STPR2TableBody"/>
            </w:pPr>
            <w:r>
              <w:t>38</w:t>
            </w:r>
          </w:p>
        </w:tc>
        <w:tc>
          <w:tcPr>
            <w:tcW w:w="688" w:type="pct"/>
            <w:tcBorders>
              <w:top w:val="single" w:sz="18" w:space="0" w:color="FFFFFF" w:themeColor="background1"/>
              <w:bottom w:val="single" w:sz="18" w:space="0" w:color="FFFFFF" w:themeColor="background1"/>
            </w:tcBorders>
            <w:shd w:val="clear" w:color="auto" w:fill="DCEDC6"/>
          </w:tcPr>
          <w:p w14:paraId="7C6A0D8B" w14:textId="548A0446" w:rsidR="001117F3" w:rsidRPr="00D00ED1" w:rsidRDefault="00D34A33" w:rsidP="00D93256">
            <w:pPr>
              <w:pStyle w:val="STPR2TableBody"/>
            </w:pPr>
            <w:r>
              <w:t>0</w:t>
            </w:r>
          </w:p>
        </w:tc>
      </w:tr>
      <w:tr w:rsidR="00D27D26" w:rsidRPr="00D00ED1" w14:paraId="2E348437"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27E6D34C" w14:textId="77777777" w:rsidR="001117F3" w:rsidRPr="00864E65" w:rsidRDefault="001117F3" w:rsidP="00D93256">
            <w:pPr>
              <w:pStyle w:val="STPR2TableBody"/>
            </w:pPr>
            <w:r w:rsidRPr="00864E65">
              <w:t>Sustainable Access to Grangemouth Investment Zone</w:t>
            </w:r>
          </w:p>
        </w:tc>
        <w:tc>
          <w:tcPr>
            <w:tcW w:w="964" w:type="pct"/>
            <w:tcBorders>
              <w:top w:val="single" w:sz="18" w:space="0" w:color="FFFFFF" w:themeColor="background1"/>
              <w:bottom w:val="single" w:sz="18" w:space="0" w:color="FFFFFF" w:themeColor="background1"/>
            </w:tcBorders>
            <w:shd w:val="clear" w:color="auto" w:fill="DCEDC6"/>
          </w:tcPr>
          <w:p w14:paraId="5D44E1AD" w14:textId="2AC65C3A" w:rsidR="001117F3" w:rsidRPr="00D00ED1" w:rsidRDefault="001117F3" w:rsidP="00D93256">
            <w:pPr>
              <w:pStyle w:val="STPR2TableBody"/>
            </w:pPr>
            <w:r>
              <w:t>39</w:t>
            </w:r>
          </w:p>
        </w:tc>
        <w:tc>
          <w:tcPr>
            <w:tcW w:w="688" w:type="pct"/>
            <w:tcBorders>
              <w:top w:val="single" w:sz="18" w:space="0" w:color="FFFFFF" w:themeColor="background1"/>
              <w:bottom w:val="single" w:sz="18" w:space="0" w:color="FFFFFF" w:themeColor="background1"/>
            </w:tcBorders>
            <w:shd w:val="clear" w:color="auto" w:fill="DCEDC6"/>
          </w:tcPr>
          <w:p w14:paraId="3692863C" w14:textId="4DD2DF46" w:rsidR="001117F3" w:rsidRPr="00D00ED1" w:rsidRDefault="00D34A33" w:rsidP="00D93256">
            <w:pPr>
              <w:pStyle w:val="STPR2TableBody"/>
            </w:pPr>
            <w:r>
              <w:t>+</w:t>
            </w:r>
          </w:p>
        </w:tc>
      </w:tr>
      <w:tr w:rsidR="00D27D26" w:rsidRPr="00D00ED1" w14:paraId="4AEA01C3"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2FC0F258" w14:textId="77777777" w:rsidR="001117F3" w:rsidRPr="00864E65" w:rsidRDefault="001117F3" w:rsidP="00D93256">
            <w:pPr>
              <w:pStyle w:val="STPR2TableBody"/>
            </w:pPr>
            <w:r w:rsidRPr="00864E65">
              <w:t>Access to Stranraer and the ports at Cairnryan</w:t>
            </w:r>
          </w:p>
        </w:tc>
        <w:tc>
          <w:tcPr>
            <w:tcW w:w="964" w:type="pct"/>
            <w:tcBorders>
              <w:top w:val="single" w:sz="18" w:space="0" w:color="FFFFFF" w:themeColor="background1"/>
              <w:bottom w:val="single" w:sz="18" w:space="0" w:color="FFFFFF" w:themeColor="background1"/>
            </w:tcBorders>
            <w:shd w:val="clear" w:color="auto" w:fill="DCEDC6"/>
          </w:tcPr>
          <w:p w14:paraId="181DF4EF" w14:textId="50263A72" w:rsidR="001117F3" w:rsidRPr="00D00ED1" w:rsidRDefault="001117F3" w:rsidP="00D93256">
            <w:pPr>
              <w:pStyle w:val="STPR2TableBody"/>
            </w:pPr>
            <w:r>
              <w:t>40</w:t>
            </w:r>
          </w:p>
        </w:tc>
        <w:tc>
          <w:tcPr>
            <w:tcW w:w="688" w:type="pct"/>
            <w:tcBorders>
              <w:top w:val="single" w:sz="18" w:space="0" w:color="FFFFFF" w:themeColor="background1"/>
              <w:bottom w:val="single" w:sz="18" w:space="0" w:color="FFFFFF" w:themeColor="background1"/>
            </w:tcBorders>
            <w:shd w:val="clear" w:color="auto" w:fill="DCEDC6"/>
          </w:tcPr>
          <w:p w14:paraId="504A3BEE" w14:textId="1DB47C44" w:rsidR="001117F3" w:rsidRPr="00860B65" w:rsidRDefault="00011F11" w:rsidP="00D93256">
            <w:pPr>
              <w:pStyle w:val="STPR2TableBody"/>
              <w:rPr>
                <w:highlight w:val="yellow"/>
              </w:rPr>
            </w:pPr>
            <w:r w:rsidRPr="00011F11">
              <w:t>-</w:t>
            </w:r>
          </w:p>
        </w:tc>
      </w:tr>
      <w:tr w:rsidR="00D27D26" w:rsidRPr="00D00ED1" w14:paraId="319A49C7"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0E5269B0" w14:textId="4B6CE6EA" w:rsidR="001117F3" w:rsidRPr="00864E65" w:rsidRDefault="001117F3" w:rsidP="00D93256">
            <w:pPr>
              <w:pStyle w:val="STPR2TableBody"/>
            </w:pPr>
            <w:r w:rsidRPr="00864E65">
              <w:t>Potential Sound of Harris</w:t>
            </w:r>
            <w:r w:rsidR="00281851">
              <w:t>,</w:t>
            </w:r>
            <w:r w:rsidRPr="00864E65">
              <w:t xml:space="preserve"> Sound of Barra Fixed Link and Fixed Link between Mull and Scottish mainland</w:t>
            </w:r>
          </w:p>
        </w:tc>
        <w:tc>
          <w:tcPr>
            <w:tcW w:w="964" w:type="pct"/>
            <w:tcBorders>
              <w:top w:val="single" w:sz="18" w:space="0" w:color="FFFFFF" w:themeColor="background1"/>
              <w:bottom w:val="single" w:sz="18" w:space="0" w:color="FFFFFF" w:themeColor="background1"/>
            </w:tcBorders>
            <w:shd w:val="clear" w:color="auto" w:fill="DCEDC6"/>
          </w:tcPr>
          <w:p w14:paraId="0AAD423C" w14:textId="53D2C5F3" w:rsidR="001117F3" w:rsidRPr="00D00ED1" w:rsidRDefault="001117F3" w:rsidP="00D93256">
            <w:pPr>
              <w:pStyle w:val="STPR2TableBody"/>
            </w:pPr>
            <w:r>
              <w:t>41</w:t>
            </w:r>
          </w:p>
        </w:tc>
        <w:tc>
          <w:tcPr>
            <w:tcW w:w="688" w:type="pct"/>
            <w:tcBorders>
              <w:top w:val="single" w:sz="18" w:space="0" w:color="FFFFFF" w:themeColor="background1"/>
              <w:bottom w:val="single" w:sz="18" w:space="0" w:color="FFFFFF" w:themeColor="background1"/>
            </w:tcBorders>
            <w:shd w:val="clear" w:color="auto" w:fill="DCEDC6"/>
          </w:tcPr>
          <w:p w14:paraId="33D29B3D" w14:textId="09726017" w:rsidR="001117F3" w:rsidRPr="00860B65" w:rsidRDefault="00BC0884" w:rsidP="00D93256">
            <w:pPr>
              <w:pStyle w:val="STPR2TableBody"/>
              <w:rPr>
                <w:highlight w:val="yellow"/>
              </w:rPr>
            </w:pPr>
            <w:r w:rsidRPr="00BC0884">
              <w:t>--</w:t>
            </w:r>
          </w:p>
        </w:tc>
      </w:tr>
      <w:tr w:rsidR="00D27D26" w:rsidRPr="00D00ED1" w14:paraId="3743FED5"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070D303D" w14:textId="48452755" w:rsidR="001117F3" w:rsidRPr="00864E65" w:rsidRDefault="001117F3" w:rsidP="00D93256">
            <w:pPr>
              <w:pStyle w:val="STPR2TableBody"/>
            </w:pPr>
            <w:r w:rsidRPr="00864E65">
              <w:t>Investment in port infrastructure to support vessel renewal and replacement</w:t>
            </w:r>
            <w:r w:rsidR="00A8452B">
              <w:t>,</w:t>
            </w:r>
            <w:r w:rsidRPr="00864E65">
              <w:t xml:space="preserve"> and progressive decarbonisation</w:t>
            </w:r>
          </w:p>
        </w:tc>
        <w:tc>
          <w:tcPr>
            <w:tcW w:w="964" w:type="pct"/>
            <w:tcBorders>
              <w:top w:val="single" w:sz="18" w:space="0" w:color="FFFFFF" w:themeColor="background1"/>
              <w:bottom w:val="single" w:sz="18" w:space="0" w:color="FFFFFF" w:themeColor="background1"/>
            </w:tcBorders>
            <w:shd w:val="clear" w:color="auto" w:fill="DCEDC6"/>
          </w:tcPr>
          <w:p w14:paraId="20003894" w14:textId="316763CE" w:rsidR="001117F3" w:rsidRPr="00D00ED1" w:rsidRDefault="001117F3" w:rsidP="00D93256">
            <w:pPr>
              <w:pStyle w:val="STPR2TableBody"/>
            </w:pPr>
            <w:r>
              <w:t>42</w:t>
            </w:r>
          </w:p>
        </w:tc>
        <w:tc>
          <w:tcPr>
            <w:tcW w:w="688" w:type="pct"/>
            <w:tcBorders>
              <w:top w:val="single" w:sz="18" w:space="0" w:color="FFFFFF" w:themeColor="background1"/>
              <w:bottom w:val="single" w:sz="18" w:space="0" w:color="FFFFFF" w:themeColor="background1"/>
            </w:tcBorders>
            <w:shd w:val="clear" w:color="auto" w:fill="DCEDC6"/>
          </w:tcPr>
          <w:p w14:paraId="438743E2" w14:textId="45991B0E" w:rsidR="001117F3" w:rsidRPr="00860B65" w:rsidRDefault="009B6B16" w:rsidP="00D93256">
            <w:pPr>
              <w:pStyle w:val="STPR2TableBody"/>
              <w:rPr>
                <w:highlight w:val="yellow"/>
              </w:rPr>
            </w:pPr>
            <w:r w:rsidRPr="009B6B16">
              <w:t>+</w:t>
            </w:r>
          </w:p>
        </w:tc>
      </w:tr>
      <w:tr w:rsidR="00D27D26" w:rsidRPr="00D00ED1" w14:paraId="7E72981D" w14:textId="77777777" w:rsidTr="00D27D26">
        <w:trPr>
          <w:cantSplit/>
          <w:trHeight w:val="435"/>
        </w:trPr>
        <w:tc>
          <w:tcPr>
            <w:tcW w:w="3348" w:type="pct"/>
            <w:tcBorders>
              <w:top w:val="single" w:sz="18" w:space="0" w:color="FFFFFF" w:themeColor="background1"/>
              <w:bottom w:val="single" w:sz="18" w:space="0" w:color="FFFFFF" w:themeColor="background1"/>
            </w:tcBorders>
            <w:shd w:val="clear" w:color="auto" w:fill="DCEDC6"/>
            <w:vAlign w:val="center"/>
          </w:tcPr>
          <w:p w14:paraId="46940107" w14:textId="64421A40" w:rsidR="001117F3" w:rsidRPr="00864E65" w:rsidRDefault="001117F3" w:rsidP="00D93256">
            <w:pPr>
              <w:pStyle w:val="STPR2TableBody"/>
            </w:pPr>
            <w:r w:rsidRPr="00864E65">
              <w:t xml:space="preserve">Major </w:t>
            </w:r>
            <w:r w:rsidR="00141B1A">
              <w:t>s</w:t>
            </w:r>
            <w:r w:rsidRPr="00864E65">
              <w:t xml:space="preserve">tation </w:t>
            </w:r>
            <w:r w:rsidR="00141B1A">
              <w:t>m</w:t>
            </w:r>
            <w:r w:rsidRPr="00864E65">
              <w:t>asterplans</w:t>
            </w:r>
          </w:p>
        </w:tc>
        <w:tc>
          <w:tcPr>
            <w:tcW w:w="964" w:type="pct"/>
            <w:tcBorders>
              <w:top w:val="single" w:sz="18" w:space="0" w:color="FFFFFF" w:themeColor="background1"/>
              <w:bottom w:val="single" w:sz="18" w:space="0" w:color="FFFFFF" w:themeColor="background1"/>
            </w:tcBorders>
            <w:shd w:val="clear" w:color="auto" w:fill="DCEDC6"/>
          </w:tcPr>
          <w:p w14:paraId="36F8469B" w14:textId="7362A898" w:rsidR="001117F3" w:rsidRPr="00D00ED1" w:rsidRDefault="001117F3" w:rsidP="00D93256">
            <w:pPr>
              <w:pStyle w:val="STPR2TableBody"/>
            </w:pPr>
            <w:r>
              <w:t>43</w:t>
            </w:r>
          </w:p>
        </w:tc>
        <w:tc>
          <w:tcPr>
            <w:tcW w:w="688" w:type="pct"/>
            <w:tcBorders>
              <w:top w:val="single" w:sz="18" w:space="0" w:color="FFFFFF" w:themeColor="background1"/>
              <w:bottom w:val="single" w:sz="18" w:space="0" w:color="FFFFFF" w:themeColor="background1"/>
            </w:tcBorders>
            <w:shd w:val="clear" w:color="auto" w:fill="DCEDC6"/>
          </w:tcPr>
          <w:p w14:paraId="6DB972B6" w14:textId="51562126" w:rsidR="001117F3" w:rsidRPr="00D00ED1" w:rsidRDefault="00B73EAA" w:rsidP="00D93256">
            <w:pPr>
              <w:pStyle w:val="STPR2TableBody"/>
            </w:pPr>
            <w:r>
              <w:t>+</w:t>
            </w:r>
          </w:p>
        </w:tc>
      </w:tr>
      <w:tr w:rsidR="00D27D26" w:rsidRPr="00D00ED1" w14:paraId="757DED58" w14:textId="77777777" w:rsidTr="00D27D26">
        <w:trPr>
          <w:cantSplit/>
          <w:trHeight w:val="435"/>
        </w:trPr>
        <w:tc>
          <w:tcPr>
            <w:tcW w:w="3348" w:type="pct"/>
            <w:tcBorders>
              <w:top w:val="single" w:sz="18" w:space="0" w:color="FFFFFF" w:themeColor="background1"/>
            </w:tcBorders>
            <w:shd w:val="clear" w:color="auto" w:fill="DCEDC6"/>
            <w:vAlign w:val="center"/>
          </w:tcPr>
          <w:p w14:paraId="0D42953D" w14:textId="43FA28A1" w:rsidR="001117F3" w:rsidRPr="00864E65" w:rsidRDefault="001117F3" w:rsidP="00D93256">
            <w:pPr>
              <w:pStyle w:val="STPR2TableBody"/>
            </w:pPr>
            <w:r w:rsidRPr="00864E65">
              <w:t xml:space="preserve">Rail </w:t>
            </w:r>
            <w:r w:rsidR="00141B1A">
              <w:t>f</w:t>
            </w:r>
            <w:r w:rsidRPr="00864E65">
              <w:t xml:space="preserve">reight </w:t>
            </w:r>
            <w:r w:rsidR="00141B1A">
              <w:t>t</w:t>
            </w:r>
            <w:r w:rsidRPr="00864E65">
              <w:t xml:space="preserve">erminals and </w:t>
            </w:r>
            <w:r w:rsidR="00141B1A">
              <w:t>f</w:t>
            </w:r>
            <w:r w:rsidRPr="00864E65">
              <w:t xml:space="preserve">acilities </w:t>
            </w:r>
          </w:p>
        </w:tc>
        <w:tc>
          <w:tcPr>
            <w:tcW w:w="964" w:type="pct"/>
            <w:tcBorders>
              <w:top w:val="single" w:sz="18" w:space="0" w:color="FFFFFF" w:themeColor="background1"/>
            </w:tcBorders>
            <w:shd w:val="clear" w:color="auto" w:fill="DCEDC6"/>
          </w:tcPr>
          <w:p w14:paraId="4E63ECA6" w14:textId="0AB47020" w:rsidR="001117F3" w:rsidRPr="00D00ED1" w:rsidRDefault="001117F3" w:rsidP="00D93256">
            <w:pPr>
              <w:pStyle w:val="STPR2TableBody"/>
            </w:pPr>
            <w:r>
              <w:t>44</w:t>
            </w:r>
          </w:p>
        </w:tc>
        <w:tc>
          <w:tcPr>
            <w:tcW w:w="688" w:type="pct"/>
            <w:tcBorders>
              <w:top w:val="single" w:sz="18" w:space="0" w:color="FFFFFF" w:themeColor="background1"/>
            </w:tcBorders>
            <w:shd w:val="clear" w:color="auto" w:fill="DCEDC6"/>
          </w:tcPr>
          <w:p w14:paraId="6A7A6B94" w14:textId="7042863E" w:rsidR="001117F3" w:rsidRPr="00D00ED1" w:rsidRDefault="00B73EAA" w:rsidP="00D93256">
            <w:pPr>
              <w:pStyle w:val="STPR2TableBody"/>
            </w:pPr>
            <w:r>
              <w:t>+</w:t>
            </w:r>
          </w:p>
        </w:tc>
      </w:tr>
      <w:tr w:rsidR="00D27D26" w:rsidRPr="00D00ED1" w14:paraId="31548753" w14:textId="77777777" w:rsidTr="00D27D26">
        <w:trPr>
          <w:cantSplit/>
          <w:trHeight w:val="435"/>
        </w:trPr>
        <w:tc>
          <w:tcPr>
            <w:tcW w:w="3348" w:type="pct"/>
            <w:tcBorders>
              <w:top w:val="single" w:sz="18" w:space="0" w:color="FFFFFF" w:themeColor="background1"/>
            </w:tcBorders>
            <w:shd w:val="clear" w:color="auto" w:fill="DCEDC6"/>
            <w:vAlign w:val="center"/>
          </w:tcPr>
          <w:p w14:paraId="7B074E56" w14:textId="37797CF4" w:rsidR="001117F3" w:rsidRPr="00864E65" w:rsidRDefault="001117F3" w:rsidP="00D93256">
            <w:pPr>
              <w:pStyle w:val="STPR2TableBody"/>
            </w:pPr>
            <w:r w:rsidRPr="00864E65">
              <w:t xml:space="preserve">High </w:t>
            </w:r>
            <w:r w:rsidR="0068742E">
              <w:t>s</w:t>
            </w:r>
            <w:r w:rsidRPr="00864E65">
              <w:t>peed</w:t>
            </w:r>
            <w:r w:rsidR="00141B1A">
              <w:t xml:space="preserve"> and</w:t>
            </w:r>
            <w:r w:rsidRPr="00864E65">
              <w:t xml:space="preserve"> </w:t>
            </w:r>
            <w:r w:rsidR="00141B1A">
              <w:t>c</w:t>
            </w:r>
            <w:r w:rsidRPr="00864E65">
              <w:t>ross</w:t>
            </w:r>
            <w:r w:rsidR="00141B1A">
              <w:t>-b</w:t>
            </w:r>
            <w:r w:rsidRPr="00864E65">
              <w:t xml:space="preserve">order </w:t>
            </w:r>
            <w:r w:rsidR="00141B1A">
              <w:t>r</w:t>
            </w:r>
            <w:r w:rsidRPr="00864E65">
              <w:t xml:space="preserve">ail </w:t>
            </w:r>
            <w:r w:rsidR="00141B1A">
              <w:t>e</w:t>
            </w:r>
            <w:r w:rsidRPr="00864E65">
              <w:t>nhancements</w:t>
            </w:r>
          </w:p>
        </w:tc>
        <w:tc>
          <w:tcPr>
            <w:tcW w:w="964" w:type="pct"/>
            <w:tcBorders>
              <w:top w:val="single" w:sz="18" w:space="0" w:color="FFFFFF" w:themeColor="background1"/>
            </w:tcBorders>
            <w:shd w:val="clear" w:color="auto" w:fill="DCEDC6"/>
          </w:tcPr>
          <w:p w14:paraId="625545BB" w14:textId="35B0807E" w:rsidR="001117F3" w:rsidRPr="00D00ED1" w:rsidRDefault="001117F3" w:rsidP="00D93256">
            <w:pPr>
              <w:pStyle w:val="STPR2TableBody"/>
            </w:pPr>
            <w:r>
              <w:t>45</w:t>
            </w:r>
          </w:p>
        </w:tc>
        <w:tc>
          <w:tcPr>
            <w:tcW w:w="688" w:type="pct"/>
            <w:tcBorders>
              <w:top w:val="single" w:sz="18" w:space="0" w:color="FFFFFF" w:themeColor="background1"/>
            </w:tcBorders>
            <w:shd w:val="clear" w:color="auto" w:fill="DCEDC6"/>
          </w:tcPr>
          <w:p w14:paraId="7C6106F3" w14:textId="452C57E9" w:rsidR="001117F3" w:rsidRPr="00D00ED1" w:rsidRDefault="00D34A33" w:rsidP="00D93256">
            <w:pPr>
              <w:pStyle w:val="STPR2TableBody"/>
            </w:pPr>
            <w:r>
              <w:t>-</w:t>
            </w:r>
          </w:p>
        </w:tc>
      </w:tr>
    </w:tbl>
    <w:p w14:paraId="26FC854F" w14:textId="2F28CA95" w:rsidR="001117F3" w:rsidRDefault="001117F3" w:rsidP="00F318B9">
      <w:pPr>
        <w:rPr>
          <w:rFonts w:ascii="Arial" w:hAnsi="Arial" w:cs="Arial"/>
          <w:color w:val="000000"/>
          <w:sz w:val="24"/>
          <w:szCs w:val="20"/>
          <w:highlight w:val="yellow"/>
        </w:rPr>
        <w:sectPr w:rsidR="001117F3" w:rsidSect="00BE17C4">
          <w:headerReference w:type="default" r:id="rId35"/>
          <w:pgSz w:w="16838" w:h="11906" w:orient="landscape" w:code="9"/>
          <w:pgMar w:top="1134" w:right="1701" w:bottom="1134" w:left="1134" w:header="454" w:footer="567" w:gutter="0"/>
          <w:cols w:space="720"/>
          <w:noEndnote/>
          <w:docGrid w:linePitch="299"/>
        </w:sectPr>
      </w:pPr>
    </w:p>
    <w:p w14:paraId="12A3D8DD" w14:textId="3ABAB87C" w:rsidR="00F318B9" w:rsidRPr="00781FCD" w:rsidRDefault="00557E2B" w:rsidP="00F318B9">
      <w:pPr>
        <w:rPr>
          <w:rFonts w:ascii="Arial" w:hAnsi="Arial" w:cs="Arial"/>
          <w:color w:val="000000"/>
          <w:sz w:val="24"/>
          <w:szCs w:val="20"/>
        </w:rPr>
      </w:pPr>
      <w:r w:rsidRPr="00D27D26">
        <w:rPr>
          <w:rFonts w:ascii="Arial" w:hAnsi="Arial" w:cs="Arial"/>
          <w:color w:val="000000"/>
          <w:sz w:val="24"/>
          <w:szCs w:val="20"/>
        </w:rPr>
        <w:lastRenderedPageBreak/>
        <w:t>The compatibility check found tha</w:t>
      </w:r>
      <w:r w:rsidR="00D27D26" w:rsidRPr="00D27D26">
        <w:rPr>
          <w:rFonts w:ascii="Arial" w:hAnsi="Arial" w:cs="Arial"/>
          <w:color w:val="000000"/>
          <w:sz w:val="24"/>
          <w:szCs w:val="20"/>
        </w:rPr>
        <w:t>t the</w:t>
      </w:r>
      <w:r w:rsidR="00D27D26">
        <w:rPr>
          <w:rFonts w:ascii="Arial" w:hAnsi="Arial" w:cs="Arial"/>
          <w:color w:val="000000"/>
          <w:sz w:val="24"/>
          <w:szCs w:val="20"/>
        </w:rPr>
        <w:t xml:space="preserve"> majority of recommendations are compatible with the SEA Objectives and their underlying guide questions. Overall, there are more positive cumulative scores than any other scores. Many of the recommendations also received neutral scores, where the recommendations did not directly relate to the SEA objectives. The uncertain scores are largely due to the uncertainty associated with where and how a recommendation might eventually be implemented ‘on the ground.’ Further</w:t>
      </w:r>
      <w:r w:rsidR="00DE1280">
        <w:rPr>
          <w:rFonts w:ascii="Arial" w:hAnsi="Arial" w:cs="Arial"/>
          <w:color w:val="000000"/>
          <w:sz w:val="24"/>
          <w:szCs w:val="20"/>
        </w:rPr>
        <w:t>, project-level</w:t>
      </w:r>
      <w:r w:rsidR="00D27D26">
        <w:rPr>
          <w:rFonts w:ascii="Arial" w:hAnsi="Arial" w:cs="Arial"/>
          <w:color w:val="000000"/>
          <w:sz w:val="24"/>
          <w:szCs w:val="20"/>
        </w:rPr>
        <w:t xml:space="preserve"> environmental assessment will be undertaken to allow these </w:t>
      </w:r>
      <w:r w:rsidR="00C34C4A" w:rsidRPr="00860B65">
        <w:rPr>
          <w:rFonts w:ascii="Arial" w:hAnsi="Arial" w:cs="Arial"/>
          <w:color w:val="000000"/>
          <w:sz w:val="24"/>
          <w:szCs w:val="20"/>
        </w:rPr>
        <w:t xml:space="preserve">effects </w:t>
      </w:r>
      <w:r w:rsidR="00D27D26">
        <w:rPr>
          <w:rFonts w:ascii="Arial" w:hAnsi="Arial" w:cs="Arial"/>
          <w:color w:val="000000"/>
          <w:sz w:val="24"/>
          <w:szCs w:val="20"/>
        </w:rPr>
        <w:t xml:space="preserve">to be better understood, as described in </w:t>
      </w:r>
      <w:r w:rsidR="00D27D26" w:rsidRPr="003C06C1">
        <w:rPr>
          <w:rFonts w:ascii="Arial" w:hAnsi="Arial" w:cs="Arial"/>
          <w:b/>
          <w:bCs/>
          <w:color w:val="000000"/>
          <w:sz w:val="24"/>
          <w:szCs w:val="20"/>
        </w:rPr>
        <w:t>Section 9.9</w:t>
      </w:r>
      <w:r w:rsidR="00D27D26">
        <w:rPr>
          <w:rFonts w:ascii="Arial" w:hAnsi="Arial" w:cs="Arial"/>
          <w:color w:val="000000"/>
          <w:sz w:val="24"/>
          <w:szCs w:val="20"/>
        </w:rPr>
        <w:t>.</w:t>
      </w:r>
    </w:p>
    <w:p w14:paraId="68DBD285" w14:textId="3125312B" w:rsidR="00A86B56" w:rsidRDefault="00640710" w:rsidP="00C24082">
      <w:pPr>
        <w:pStyle w:val="Heading2"/>
      </w:pPr>
      <w:bookmarkStart w:id="1912" w:name="_Toc121339157"/>
      <w:r>
        <w:t>In</w:t>
      </w:r>
      <w:r w:rsidR="00A503D3">
        <w:t>-Com</w:t>
      </w:r>
      <w:r w:rsidR="00C24082">
        <w:t>bination Assessment</w:t>
      </w:r>
      <w:bookmarkEnd w:id="1912"/>
      <w:r w:rsidR="00C24082">
        <w:t xml:space="preserve"> </w:t>
      </w:r>
    </w:p>
    <w:p w14:paraId="7F91E1D7" w14:textId="7A0AB72C" w:rsidR="00BF5567" w:rsidRPr="00371D33" w:rsidRDefault="00531AA2" w:rsidP="00D93256">
      <w:pPr>
        <w:pStyle w:val="STPR2BodyText"/>
      </w:pPr>
      <w:r>
        <w:fldChar w:fldCharType="begin"/>
      </w:r>
      <w:r>
        <w:instrText xml:space="preserve"> REF _Ref92991463 \h </w:instrText>
      </w:r>
      <w:r>
        <w:fldChar w:fldCharType="separate"/>
      </w:r>
      <w:r w:rsidR="00C22A9E" w:rsidRPr="00A64CF2">
        <w:t xml:space="preserve">Table </w:t>
      </w:r>
      <w:r w:rsidR="00C22A9E">
        <w:rPr>
          <w:noProof/>
        </w:rPr>
        <w:t>8</w:t>
      </w:r>
      <w:r>
        <w:fldChar w:fldCharType="end"/>
      </w:r>
      <w:r w:rsidR="00D96196" w:rsidRPr="00371D33">
        <w:t xml:space="preserve"> l</w:t>
      </w:r>
      <w:r w:rsidR="002F2FB1" w:rsidRPr="00371D33">
        <w:t xml:space="preserve">ists the </w:t>
      </w:r>
      <w:r w:rsidR="00A64CF2" w:rsidRPr="00371D33">
        <w:t>PPS</w:t>
      </w:r>
      <w:r w:rsidR="002F2FB1" w:rsidRPr="00371D33">
        <w:t xml:space="preserve"> that were considered to have in-co</w:t>
      </w:r>
      <w:r w:rsidR="008D6EBA" w:rsidRPr="00371D33">
        <w:t xml:space="preserve">mbination cumulative effects with </w:t>
      </w:r>
      <w:r w:rsidR="00FC3074" w:rsidRPr="00FC3074">
        <w:t xml:space="preserve">the </w:t>
      </w:r>
      <w:r w:rsidR="008D6EBA" w:rsidRPr="00371D33">
        <w:t>STPR2</w:t>
      </w:r>
      <w:r w:rsidR="009D0716">
        <w:t xml:space="preserve"> and provides a summary description of these effects</w:t>
      </w:r>
      <w:r w:rsidR="008D6EBA" w:rsidRPr="00371D33">
        <w:t xml:space="preserve">. </w:t>
      </w:r>
      <w:r w:rsidR="006B4309" w:rsidRPr="00371D33">
        <w:t>The table does not provide a comprehensive list of PPS</w:t>
      </w:r>
      <w:r w:rsidR="00C45F48" w:rsidRPr="00371D33">
        <w:t xml:space="preserve"> but focuses on the national-level PPS that were considered most likely to have in-combination effects</w:t>
      </w:r>
      <w:r w:rsidR="00E578D0">
        <w:t xml:space="preserve"> at the strategic level</w:t>
      </w:r>
      <w:r w:rsidR="00C45F48" w:rsidRPr="00371D33">
        <w:t>. A wider list</w:t>
      </w:r>
      <w:r w:rsidR="00DE6231" w:rsidRPr="00371D33">
        <w:t xml:space="preserve"> of PPS is provided in </w:t>
      </w:r>
      <w:r w:rsidR="00DE6231" w:rsidRPr="00371D33">
        <w:rPr>
          <w:b/>
          <w:bCs/>
        </w:rPr>
        <w:t>Appendix B</w:t>
      </w:r>
      <w:r w:rsidR="002557FF" w:rsidRPr="00371D33">
        <w:rPr>
          <w:b/>
          <w:bCs/>
        </w:rPr>
        <w:t xml:space="preserve"> (Plans, Programmes and Strategies)</w:t>
      </w:r>
      <w:r w:rsidR="00DE6231" w:rsidRPr="00371D33">
        <w:t xml:space="preserve"> and </w:t>
      </w:r>
      <w:r w:rsidR="00B74004" w:rsidRPr="00371D33">
        <w:t>summary descriptions of</w:t>
      </w:r>
      <w:r w:rsidR="00DE6231" w:rsidRPr="00371D33">
        <w:t xml:space="preserve"> key PPS </w:t>
      </w:r>
      <w:r w:rsidR="00B74004" w:rsidRPr="00371D33">
        <w:t xml:space="preserve">are also provided </w:t>
      </w:r>
      <w:r w:rsidR="00FB1EFC" w:rsidRPr="00371D33">
        <w:t xml:space="preserve">in </w:t>
      </w:r>
      <w:r w:rsidR="00FB1EFC" w:rsidRPr="00371D33">
        <w:rPr>
          <w:b/>
          <w:bCs/>
        </w:rPr>
        <w:t>Chapter 3</w:t>
      </w:r>
      <w:r w:rsidR="00BF2C6B" w:rsidRPr="00371D33">
        <w:rPr>
          <w:b/>
          <w:bCs/>
        </w:rPr>
        <w:t xml:space="preserve"> (Policy</w:t>
      </w:r>
      <w:r w:rsidR="007A20DA">
        <w:rPr>
          <w:b/>
          <w:bCs/>
        </w:rPr>
        <w:t> </w:t>
      </w:r>
      <w:r w:rsidR="00BF2C6B" w:rsidRPr="00371D33">
        <w:rPr>
          <w:b/>
          <w:bCs/>
        </w:rPr>
        <w:t>Context)</w:t>
      </w:r>
      <w:r w:rsidR="00FB1EFC" w:rsidRPr="00371D33">
        <w:rPr>
          <w:b/>
          <w:bCs/>
        </w:rPr>
        <w:t>.</w:t>
      </w:r>
    </w:p>
    <w:p w14:paraId="63234221" w14:textId="4B1684ED" w:rsidR="00F5606E" w:rsidRPr="00A64CF2" w:rsidRDefault="00F5606E" w:rsidP="00D93256">
      <w:pPr>
        <w:pStyle w:val="STPR2Caption"/>
      </w:pPr>
      <w:bookmarkStart w:id="1913" w:name="_Ref90624472"/>
      <w:bookmarkStart w:id="1914" w:name="_Ref92991463"/>
      <w:bookmarkStart w:id="1915" w:name="_Toc121231979"/>
      <w:r w:rsidRPr="00A64CF2">
        <w:t xml:space="preserve">Table </w:t>
      </w:r>
      <w:bookmarkEnd w:id="1913"/>
      <w:r w:rsidR="00E428D4">
        <w:fldChar w:fldCharType="begin"/>
      </w:r>
      <w:r w:rsidR="00E428D4">
        <w:instrText xml:space="preserve"> SEQ Table \* ARABIC </w:instrText>
      </w:r>
      <w:r w:rsidR="00E428D4">
        <w:fldChar w:fldCharType="separate"/>
      </w:r>
      <w:r w:rsidR="00C22A9E">
        <w:rPr>
          <w:noProof/>
        </w:rPr>
        <w:t>8</w:t>
      </w:r>
      <w:r w:rsidR="00E428D4">
        <w:fldChar w:fldCharType="end"/>
      </w:r>
      <w:bookmarkEnd w:id="1914"/>
      <w:r w:rsidR="005679D0">
        <w:t>:</w:t>
      </w:r>
      <w:r w:rsidRPr="00A64CF2">
        <w:t xml:space="preserve"> STPR2 in-combination effects with other PPS</w:t>
      </w:r>
      <w:bookmarkEnd w:id="1915"/>
    </w:p>
    <w:tbl>
      <w:tblPr>
        <w:tblStyle w:val="TableGrid6"/>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6"/>
        <w:gridCol w:w="5172"/>
      </w:tblGrid>
      <w:tr w:rsidR="00F318B9" w:rsidRPr="00F318B9" w14:paraId="58127073" w14:textId="77777777" w:rsidTr="00886BD5">
        <w:trPr>
          <w:cantSplit/>
          <w:trHeight w:val="770"/>
          <w:tblHeader/>
        </w:trPr>
        <w:tc>
          <w:tcPr>
            <w:tcW w:w="2314" w:type="pct"/>
            <w:tcBorders>
              <w:bottom w:val="single" w:sz="18" w:space="0" w:color="FFFFFF"/>
            </w:tcBorders>
            <w:shd w:val="clear" w:color="auto" w:fill="007D55"/>
            <w:vAlign w:val="center"/>
          </w:tcPr>
          <w:p w14:paraId="2B326302" w14:textId="0C34EC64" w:rsidR="001C2CA2" w:rsidRPr="000F5D46" w:rsidRDefault="00F318B9" w:rsidP="00D93256">
            <w:pPr>
              <w:pStyle w:val="STPR2WhiteTableHeading"/>
            </w:pPr>
            <w:bookmarkStart w:id="1916" w:name="_Toc81993613"/>
            <w:r w:rsidRPr="000F5D46">
              <w:lastRenderedPageBreak/>
              <w:t>PPS</w:t>
            </w:r>
          </w:p>
        </w:tc>
        <w:tc>
          <w:tcPr>
            <w:tcW w:w="2686" w:type="pct"/>
            <w:tcBorders>
              <w:bottom w:val="single" w:sz="18" w:space="0" w:color="FFFFFF"/>
            </w:tcBorders>
            <w:shd w:val="clear" w:color="auto" w:fill="007D55"/>
            <w:vAlign w:val="center"/>
          </w:tcPr>
          <w:p w14:paraId="470CFB53" w14:textId="0B5EE231" w:rsidR="001C2CA2" w:rsidRPr="000F5D46" w:rsidRDefault="00F318B9" w:rsidP="00D93256">
            <w:pPr>
              <w:pStyle w:val="STPR2WhiteTableHeading"/>
            </w:pPr>
            <w:r w:rsidRPr="000F5D46">
              <w:t xml:space="preserve">COMBINED EFFECTS WITH </w:t>
            </w:r>
            <w:r w:rsidR="00DE3083">
              <w:t xml:space="preserve">the </w:t>
            </w:r>
            <w:r w:rsidRPr="000F5D46">
              <w:t>STPR2</w:t>
            </w:r>
          </w:p>
        </w:tc>
      </w:tr>
      <w:tr w:rsidR="00FF79B7" w:rsidRPr="00795C1F" w14:paraId="316EFFB4" w14:textId="77777777" w:rsidTr="00886BD5">
        <w:trPr>
          <w:cantSplit/>
          <w:trHeight w:val="11013"/>
        </w:trPr>
        <w:tc>
          <w:tcPr>
            <w:tcW w:w="2314" w:type="pct"/>
            <w:shd w:val="clear" w:color="auto" w:fill="DCEDC6"/>
          </w:tcPr>
          <w:p w14:paraId="5670C8B0" w14:textId="1E44376B" w:rsidR="001C2CA2" w:rsidRPr="00795C1F" w:rsidRDefault="001C2CA2" w:rsidP="00D93256">
            <w:pPr>
              <w:pStyle w:val="STPR2TableBody"/>
            </w:pPr>
            <w:r w:rsidRPr="00795C1F">
              <w:t xml:space="preserve">Securing a green recovery on a path to net zero: climate change plan 2018–2032 </w:t>
            </w:r>
            <w:r w:rsidR="00C3206C" w:rsidRPr="00795C1F">
              <w:t>–</w:t>
            </w:r>
            <w:r w:rsidRPr="00795C1F">
              <w:t xml:space="preserve"> </w:t>
            </w:r>
            <w:r w:rsidR="00C3206C" w:rsidRPr="00795C1F">
              <w:t xml:space="preserve">2021 </w:t>
            </w:r>
            <w:r w:rsidRPr="00795C1F">
              <w:t>update </w:t>
            </w:r>
          </w:p>
          <w:p w14:paraId="3FCFEAC5" w14:textId="77777777" w:rsidR="001C2CA2" w:rsidRPr="00795C1F" w:rsidRDefault="001C2CA2" w:rsidP="00D93256">
            <w:pPr>
              <w:pStyle w:val="STPR2TableBody"/>
            </w:pPr>
            <w:r w:rsidRPr="00795C1F">
              <w:t>Climate Change (Emissions Reduction Targets) (Scotland) Act 2019</w:t>
            </w:r>
          </w:p>
          <w:p w14:paraId="71375FFF" w14:textId="77777777" w:rsidR="001C2CA2" w:rsidRPr="00795C1F" w:rsidRDefault="001C2CA2" w:rsidP="00D93256">
            <w:pPr>
              <w:pStyle w:val="STPR2TableBody"/>
            </w:pPr>
            <w:r w:rsidRPr="00795C1F">
              <w:t>Securing a Green Recovery on a Path to Net Zero</w:t>
            </w:r>
          </w:p>
          <w:p w14:paraId="746AB4D1" w14:textId="77777777" w:rsidR="001C2CA2" w:rsidRPr="00795C1F" w:rsidRDefault="001C2CA2" w:rsidP="00D93256">
            <w:pPr>
              <w:pStyle w:val="STPR2TableBody"/>
            </w:pPr>
            <w:r w:rsidRPr="00795C1F">
              <w:t>Climate Ready Scotland: Second Scottish Climate Change Adaptation Programme 2019-2024 </w:t>
            </w:r>
          </w:p>
          <w:p w14:paraId="06CF7B16" w14:textId="77777777" w:rsidR="001C2CA2" w:rsidRPr="00795C1F" w:rsidRDefault="001C2CA2" w:rsidP="00D93256">
            <w:pPr>
              <w:pStyle w:val="STPR2TableBody"/>
            </w:pPr>
            <w:r w:rsidRPr="00795C1F">
              <w:t>Carbon Account for Transport No. 12: 2020 Edition</w:t>
            </w:r>
          </w:p>
          <w:p w14:paraId="60B1B715" w14:textId="10E0484E" w:rsidR="001C2CA2" w:rsidRPr="00795C1F" w:rsidRDefault="001C2CA2" w:rsidP="00D93256">
            <w:pPr>
              <w:pStyle w:val="STPR2TableBody"/>
            </w:pPr>
            <w:r w:rsidRPr="00795C1F">
              <w:t>A Low Carbon Economic Strategy for</w:t>
            </w:r>
            <w:r w:rsidR="00F71A37">
              <w:t> </w:t>
            </w:r>
            <w:r w:rsidRPr="00795C1F">
              <w:t>Scotland</w:t>
            </w:r>
            <w:r w:rsidR="00DF6ACA">
              <w:t xml:space="preserve"> </w:t>
            </w:r>
          </w:p>
          <w:p w14:paraId="1CC99465" w14:textId="77777777" w:rsidR="001C2CA2" w:rsidRPr="00795C1F" w:rsidRDefault="001C2CA2" w:rsidP="00D93256">
            <w:pPr>
              <w:pStyle w:val="STPR2TableBody"/>
            </w:pPr>
            <w:r w:rsidRPr="00795C1F">
              <w:t>Low Carbon Scotland – Meeting Our Emissions Reduction Targets 2013-2017: Second Report </w:t>
            </w:r>
          </w:p>
          <w:p w14:paraId="7C4EB284" w14:textId="77777777" w:rsidR="001C2CA2" w:rsidRPr="00795C1F" w:rsidRDefault="001C2CA2" w:rsidP="00D93256">
            <w:pPr>
              <w:pStyle w:val="STPR2TableBody"/>
            </w:pPr>
            <w:r w:rsidRPr="00795C1F">
              <w:t>Climate Change Adaptation Plan 2020</w:t>
            </w:r>
          </w:p>
          <w:p w14:paraId="72236B42" w14:textId="7C57371D" w:rsidR="001C2CA2" w:rsidRPr="00795C1F" w:rsidRDefault="001C2CA2" w:rsidP="00D93256">
            <w:pPr>
              <w:pStyle w:val="STPR2TableBody"/>
            </w:pPr>
            <w:r w:rsidRPr="00795C1F">
              <w:t>Decarbonising the Scottish Transport</w:t>
            </w:r>
            <w:r w:rsidR="00F71A37">
              <w:t> </w:t>
            </w:r>
            <w:r w:rsidRPr="00795C1F">
              <w:t>Sector</w:t>
            </w:r>
          </w:p>
          <w:p w14:paraId="53D6C62D" w14:textId="5207D5EB" w:rsidR="001C2CA2" w:rsidRPr="00795C1F" w:rsidRDefault="001C2CA2" w:rsidP="00D93256">
            <w:pPr>
              <w:pStyle w:val="STPR2TableBody"/>
            </w:pPr>
            <w:r w:rsidRPr="00795C1F">
              <w:t>Climate Ready Scotland: Second Scottish Climate Change Adaptation Programme 2019-2024</w:t>
            </w:r>
            <w:r w:rsidRPr="00795C1F" w:rsidDel="00723661">
              <w:t xml:space="preserve"> </w:t>
            </w:r>
          </w:p>
          <w:p w14:paraId="717D8848" w14:textId="77777777" w:rsidR="001C2CA2" w:rsidRPr="00795C1F" w:rsidRDefault="001C2CA2" w:rsidP="00D93256">
            <w:pPr>
              <w:pStyle w:val="STPR2TableBody"/>
            </w:pPr>
            <w:r w:rsidRPr="00795C1F">
              <w:t>Clean Air Strategy 2018 (DEFRA) </w:t>
            </w:r>
          </w:p>
          <w:p w14:paraId="77E22D7C" w14:textId="77777777" w:rsidR="001C2CA2" w:rsidRPr="00795C1F" w:rsidRDefault="001C2CA2" w:rsidP="00D93256">
            <w:pPr>
              <w:pStyle w:val="STPR2TableBody"/>
            </w:pPr>
            <w:r w:rsidRPr="00795C1F">
              <w:t>Cleaner Air for Scotland 2</w:t>
            </w:r>
          </w:p>
          <w:p w14:paraId="3AF7EDA7" w14:textId="77777777" w:rsidR="001C2CA2" w:rsidRPr="00795C1F" w:rsidRDefault="001C2CA2" w:rsidP="00D93256">
            <w:pPr>
              <w:pStyle w:val="STPR2TableBody"/>
            </w:pPr>
            <w:r w:rsidRPr="00795C1F">
              <w:t>Cleaner Air for Scotland – The Road to a Healthier Future (2015) </w:t>
            </w:r>
          </w:p>
          <w:p w14:paraId="5464E008" w14:textId="42E7DC4C" w:rsidR="001C2CA2" w:rsidRPr="00795C1F" w:rsidRDefault="00CD44C3" w:rsidP="00D93256">
            <w:pPr>
              <w:pStyle w:val="STPR2TableBody"/>
            </w:pPr>
            <w:hyperlink r:id="rId36" w:tgtFrame="_blank" w:history="1">
              <w:r w:rsidR="001C2CA2" w:rsidRPr="00795C1F">
                <w:t>Air Quality Strategy for England, Scotland, Wales and Northern Ireland</w:t>
              </w:r>
            </w:hyperlink>
            <w:r w:rsidR="001C2CA2" w:rsidRPr="00795C1F">
              <w:t> </w:t>
            </w:r>
          </w:p>
          <w:p w14:paraId="61CACB1E" w14:textId="53FB204E" w:rsidR="001C2CA2" w:rsidRPr="00795C1F" w:rsidRDefault="00CD44C3" w:rsidP="00D93256">
            <w:pPr>
              <w:pStyle w:val="STPR2TableBody"/>
            </w:pPr>
            <w:hyperlink r:id="rId37" w:tgtFrame="_blank" w:history="1">
              <w:r w:rsidR="001C2CA2" w:rsidRPr="00795C1F">
                <w:t>Scotland’s National Marine Plan (2015)</w:t>
              </w:r>
            </w:hyperlink>
            <w:r w:rsidR="001C2CA2" w:rsidRPr="00795C1F">
              <w:t> </w:t>
            </w:r>
          </w:p>
          <w:p w14:paraId="3BDF2633" w14:textId="0A123CBE" w:rsidR="001C2CA2" w:rsidRPr="00795C1F" w:rsidRDefault="001C2CA2" w:rsidP="00D93256">
            <w:pPr>
              <w:pStyle w:val="STPR2TableBody"/>
            </w:pPr>
            <w:r w:rsidRPr="00795C1F">
              <w:t>Future Intelligent Transport Systems</w:t>
            </w:r>
            <w:r w:rsidR="00886BD5">
              <w:t> </w:t>
            </w:r>
            <w:r w:rsidRPr="00795C1F">
              <w:t>Strategy</w:t>
            </w:r>
            <w:r w:rsidR="00DF6ACA">
              <w:t xml:space="preserve"> </w:t>
            </w:r>
          </w:p>
        </w:tc>
        <w:tc>
          <w:tcPr>
            <w:tcW w:w="2686" w:type="pct"/>
            <w:shd w:val="clear" w:color="auto" w:fill="DCEDC6"/>
          </w:tcPr>
          <w:p w14:paraId="516BD8F5" w14:textId="257D5AFA" w:rsidR="001C2CA2" w:rsidRPr="00795C1F" w:rsidRDefault="001C2CA2" w:rsidP="00D93256">
            <w:pPr>
              <w:pStyle w:val="STPR2TableBody"/>
            </w:pPr>
            <w:r w:rsidRPr="00795C1F">
              <w:t>Many STPR2 recommendations</w:t>
            </w:r>
            <w:r w:rsidR="004B0170">
              <w:t xml:space="preserve"> (</w:t>
            </w:r>
            <w:r w:rsidR="00167789">
              <w:t>for example,</w:t>
            </w:r>
            <w:r w:rsidR="004B0170">
              <w:t xml:space="preserve"> active travel, </w:t>
            </w:r>
            <w:r w:rsidR="00847D3B">
              <w:t>influencing travel choices, public transport and decarbonising transport themes)</w:t>
            </w:r>
            <w:r w:rsidRPr="00795C1F">
              <w:t xml:space="preserve"> align with </w:t>
            </w:r>
            <w:r w:rsidR="00B60C4D" w:rsidRPr="00795C1F">
              <w:t xml:space="preserve">PPS </w:t>
            </w:r>
            <w:r w:rsidRPr="00795C1F">
              <w:t xml:space="preserve">related to climate change, low carbon, clean air and decarbonising the transport sector. The recommendations align with the commitments </w:t>
            </w:r>
            <w:r w:rsidR="00DF3E64" w:rsidRPr="00795C1F">
              <w:t>to</w:t>
            </w:r>
            <w:r w:rsidR="00DF6ACA">
              <w:t xml:space="preserve"> </w:t>
            </w:r>
            <w:r w:rsidR="00DF3E64" w:rsidRPr="00795C1F">
              <w:t xml:space="preserve">reduce </w:t>
            </w:r>
            <w:r w:rsidR="00F76039" w:rsidRPr="00795C1F">
              <w:t>greenhouse gases and air pollutants</w:t>
            </w:r>
            <w:r w:rsidRPr="00795C1F">
              <w:t xml:space="preserve">, identifying and reducing sources of air pollution, protect nature and boost the economy. </w:t>
            </w:r>
            <w:r w:rsidR="00F034DE" w:rsidRPr="00795C1F">
              <w:t>For example,</w:t>
            </w:r>
            <w:r w:rsidR="000A1304" w:rsidRPr="00795C1F">
              <w:t xml:space="preserve"> transport</w:t>
            </w:r>
            <w:r w:rsidR="00476977">
              <w:t>-</w:t>
            </w:r>
            <w:r w:rsidR="000A1304" w:rsidRPr="00795C1F">
              <w:t xml:space="preserve">related </w:t>
            </w:r>
            <w:r w:rsidR="00F034DE" w:rsidRPr="00795C1F">
              <w:t xml:space="preserve">greenhouse gas </w:t>
            </w:r>
            <w:r w:rsidR="000A1304" w:rsidRPr="00795C1F">
              <w:t xml:space="preserve">emissions </w:t>
            </w:r>
            <w:r w:rsidR="00F034DE" w:rsidRPr="00795C1F">
              <w:t>are expected</w:t>
            </w:r>
            <w:r w:rsidR="001374EE" w:rsidRPr="00795C1F">
              <w:t xml:space="preserve"> to fall as a result</w:t>
            </w:r>
            <w:r w:rsidR="00226B7F" w:rsidRPr="00795C1F">
              <w:t xml:space="preserve"> of</w:t>
            </w:r>
            <w:r w:rsidR="00723F1F" w:rsidRPr="00795C1F">
              <w:t xml:space="preserve"> </w:t>
            </w:r>
            <w:r w:rsidR="00DE3083" w:rsidRPr="00DE3083">
              <w:t xml:space="preserve">the </w:t>
            </w:r>
            <w:r w:rsidR="00226B7F" w:rsidRPr="00795C1F">
              <w:t>STPR2</w:t>
            </w:r>
            <w:r w:rsidR="00723F1F" w:rsidRPr="00795C1F">
              <w:t xml:space="preserve"> </w:t>
            </w:r>
            <w:r w:rsidR="0072775E" w:rsidRPr="00795C1F">
              <w:t xml:space="preserve">active travel </w:t>
            </w:r>
            <w:r w:rsidR="00497AE4" w:rsidRPr="00795C1F">
              <w:t xml:space="preserve">and </w:t>
            </w:r>
            <w:r w:rsidR="00723F1F" w:rsidRPr="00795C1F">
              <w:t>decarbonisation</w:t>
            </w:r>
            <w:r w:rsidR="0072775E" w:rsidRPr="00795C1F">
              <w:t>-focused</w:t>
            </w:r>
            <w:r w:rsidR="00226B7F" w:rsidRPr="00795C1F">
              <w:t xml:space="preserve"> interventions being implemented</w:t>
            </w:r>
            <w:r w:rsidR="0071468C" w:rsidRPr="00795C1F">
              <w:t>.</w:t>
            </w:r>
            <w:r w:rsidR="00497AE4" w:rsidRPr="00795C1F">
              <w:t xml:space="preserve"> These effect</w:t>
            </w:r>
            <w:r w:rsidR="00D6413E" w:rsidRPr="00795C1F">
              <w:t>s will be enhanced</w:t>
            </w:r>
            <w:r w:rsidR="007F6FF1" w:rsidRPr="00795C1F">
              <w:t xml:space="preserve"> by the</w:t>
            </w:r>
            <w:r w:rsidR="0008747D" w:rsidRPr="00795C1F">
              <w:t xml:space="preserve"> PPS listed</w:t>
            </w:r>
            <w:r w:rsidR="000A1304" w:rsidRPr="00795C1F">
              <w:t>.</w:t>
            </w:r>
            <w:r w:rsidR="0008747D" w:rsidRPr="00795C1F">
              <w:t xml:space="preserve"> </w:t>
            </w:r>
            <w:r w:rsidRPr="00795C1F">
              <w:t>Combined positive effects are predicted for Population and Human Health, Climatic Factors, Air Quality and Water Environment</w:t>
            </w:r>
            <w:r w:rsidR="000A1304" w:rsidRPr="00795C1F">
              <w:t>.</w:t>
            </w:r>
            <w:r w:rsidRPr="00795C1F">
              <w:t xml:space="preserve"> </w:t>
            </w:r>
          </w:p>
        </w:tc>
      </w:tr>
      <w:tr w:rsidR="00FF79B7" w:rsidRPr="00795C1F" w14:paraId="46E2CC06" w14:textId="77777777" w:rsidTr="00886BD5">
        <w:trPr>
          <w:cantSplit/>
          <w:trHeight w:val="3049"/>
        </w:trPr>
        <w:tc>
          <w:tcPr>
            <w:tcW w:w="2314" w:type="pct"/>
            <w:shd w:val="clear" w:color="auto" w:fill="DCEDC6"/>
          </w:tcPr>
          <w:p w14:paraId="0A5467EC" w14:textId="12571E88" w:rsidR="001C2CA2" w:rsidRPr="00795C1F" w:rsidRDefault="00984A6B" w:rsidP="00D93256">
            <w:pPr>
              <w:pStyle w:val="STPR2TableBody"/>
            </w:pPr>
            <w:r>
              <w:lastRenderedPageBreak/>
              <w:t xml:space="preserve">Revised Draft </w:t>
            </w:r>
            <w:r w:rsidR="001C2CA2" w:rsidRPr="00795C1F">
              <w:t>NPF4 National Developments</w:t>
            </w:r>
          </w:p>
        </w:tc>
        <w:tc>
          <w:tcPr>
            <w:tcW w:w="2686" w:type="pct"/>
            <w:shd w:val="clear" w:color="auto" w:fill="DCEDC6"/>
          </w:tcPr>
          <w:p w14:paraId="49059008" w14:textId="7D579047" w:rsidR="00056A09" w:rsidRPr="00795C1F" w:rsidRDefault="001C2CA2" w:rsidP="00D93256">
            <w:pPr>
              <w:pStyle w:val="STPR2TableBody"/>
            </w:pPr>
            <w:r w:rsidRPr="00795C1F">
              <w:t xml:space="preserve">Many recommendations align and support </w:t>
            </w:r>
            <w:r w:rsidR="00BB39F1" w:rsidRPr="00BB39F1">
              <w:t xml:space="preserve">the </w:t>
            </w:r>
            <w:r w:rsidR="00607BE0">
              <w:t>R</w:t>
            </w:r>
            <w:r w:rsidR="00932E8B">
              <w:t xml:space="preserve">evised Draft </w:t>
            </w:r>
            <w:r w:rsidRPr="00795C1F">
              <w:t xml:space="preserve">NPF4 National Development enhancement </w:t>
            </w:r>
            <w:r w:rsidR="0017399A">
              <w:t xml:space="preserve">plans </w:t>
            </w:r>
            <w:r w:rsidRPr="00795C1F">
              <w:t xml:space="preserve">to provide multifunctional green infrastructure that provides greatest environmental, lifelong physical and mental health, social wellbeing and economic benefits. </w:t>
            </w:r>
            <w:r w:rsidR="007E406D" w:rsidRPr="00795C1F">
              <w:t xml:space="preserve">In particular, </w:t>
            </w:r>
            <w:r w:rsidR="006D0B22">
              <w:t xml:space="preserve">the </w:t>
            </w:r>
            <w:r w:rsidR="003B6382">
              <w:t xml:space="preserve">NPF4 </w:t>
            </w:r>
            <w:r w:rsidR="00383A9C">
              <w:t xml:space="preserve">‘National Walking, Cycling and Wheeling Network’ National Development </w:t>
            </w:r>
            <w:r w:rsidR="0040662D">
              <w:t xml:space="preserve">and </w:t>
            </w:r>
            <w:r w:rsidR="00D04D0E">
              <w:t xml:space="preserve">STPR2 </w:t>
            </w:r>
            <w:r w:rsidR="00F30EB0">
              <w:t xml:space="preserve">active travel recommendations </w:t>
            </w:r>
            <w:r w:rsidR="00056A09" w:rsidRPr="00795C1F">
              <w:t xml:space="preserve">will help to achieve </w:t>
            </w:r>
            <w:r w:rsidR="00F30EB0">
              <w:t xml:space="preserve">or provide opportunities to realise </w:t>
            </w:r>
            <w:r w:rsidR="00056A09" w:rsidRPr="00795C1F">
              <w:t>these benefits</w:t>
            </w:r>
            <w:r w:rsidR="00D04D0E">
              <w:t>.</w:t>
            </w:r>
          </w:p>
          <w:p w14:paraId="63EAEF14" w14:textId="4FCB75B5" w:rsidR="001C2CA2" w:rsidRPr="00795C1F" w:rsidRDefault="00BB39F1" w:rsidP="00D93256">
            <w:pPr>
              <w:pStyle w:val="STPR2TableBody"/>
            </w:pPr>
            <w:r>
              <w:t xml:space="preserve">The </w:t>
            </w:r>
            <w:r w:rsidR="00311C57" w:rsidRPr="00795C1F">
              <w:t>NP</w:t>
            </w:r>
            <w:r w:rsidR="00FF4A00" w:rsidRPr="00795C1F">
              <w:t>F4</w:t>
            </w:r>
            <w:r w:rsidR="001C2CA2" w:rsidRPr="00795C1F">
              <w:t xml:space="preserve"> focuses on those areas where greening and development can be mutually supportive, helping to improve equity of access to quality green space, and supporting communities where improving wellbeing and resilience is most needed, including to help people adapt to future climate risks. Combined positive effects are predicted for Population and Human Health, Climatic Factors, Air Quality and Material Assets. </w:t>
            </w:r>
          </w:p>
        </w:tc>
      </w:tr>
      <w:tr w:rsidR="00FF79B7" w:rsidRPr="00795C1F" w14:paraId="6A4E2681" w14:textId="77777777" w:rsidTr="00886BD5">
        <w:trPr>
          <w:cantSplit/>
        </w:trPr>
        <w:tc>
          <w:tcPr>
            <w:tcW w:w="2314" w:type="pct"/>
            <w:shd w:val="clear" w:color="auto" w:fill="DCEDC6"/>
          </w:tcPr>
          <w:p w14:paraId="05B9E264" w14:textId="51E08881" w:rsidR="001C2CA2" w:rsidRPr="00795C1F" w:rsidRDefault="00CD44C3" w:rsidP="00D93256">
            <w:pPr>
              <w:pStyle w:val="STPR2TableBody"/>
            </w:pPr>
            <w:hyperlink r:id="rId38" w:tgtFrame="_blank" w:history="1">
              <w:r w:rsidR="001C2CA2" w:rsidRPr="00795C1F">
                <w:t>Going Further: Scotland’s Accessible Travel Framework</w:t>
              </w:r>
            </w:hyperlink>
            <w:r w:rsidR="001C2CA2" w:rsidRPr="00795C1F">
              <w:t> </w:t>
            </w:r>
          </w:p>
        </w:tc>
        <w:tc>
          <w:tcPr>
            <w:tcW w:w="2686" w:type="pct"/>
            <w:shd w:val="clear" w:color="auto" w:fill="DCEDC6"/>
          </w:tcPr>
          <w:p w14:paraId="472ED27F" w14:textId="1AB4F8B3" w:rsidR="001C2CA2" w:rsidRPr="00795C1F" w:rsidRDefault="001C2CA2" w:rsidP="00D93256">
            <w:pPr>
              <w:pStyle w:val="STPR2TableBody"/>
            </w:pPr>
            <w:r w:rsidRPr="00795C1F">
              <w:t xml:space="preserve">Some </w:t>
            </w:r>
            <w:r w:rsidR="006D0B22">
              <w:t xml:space="preserve">of the </w:t>
            </w:r>
            <w:r w:rsidR="005A0B3F" w:rsidRPr="00795C1F">
              <w:t xml:space="preserve">STPR2 </w:t>
            </w:r>
            <w:r w:rsidRPr="00795C1F">
              <w:t xml:space="preserve">recommendations support Scotland’s Accessible Travel Framework which provides a national vision and outcomes for accessible travel, new ways of working to include disabled people and a high-level action plan to tackle issues. </w:t>
            </w:r>
            <w:r w:rsidR="00A05CF4">
              <w:t xml:space="preserve">The </w:t>
            </w:r>
            <w:r w:rsidR="00783F23">
              <w:t>framework</w:t>
            </w:r>
            <w:r w:rsidR="003849A8" w:rsidRPr="00795C1F">
              <w:t xml:space="preserve"> seek</w:t>
            </w:r>
            <w:r w:rsidR="00A05CF4">
              <w:t>s</w:t>
            </w:r>
            <w:r w:rsidR="003849A8" w:rsidRPr="00795C1F">
              <w:t xml:space="preserve"> to improve the mobility of passengers and access for all to essential services with a focus on improved safety and reducing barriers for passengers with reduce</w:t>
            </w:r>
            <w:r w:rsidR="00145A25">
              <w:t>d</w:t>
            </w:r>
            <w:r w:rsidR="003849A8" w:rsidRPr="00795C1F">
              <w:t xml:space="preserve"> mobility and creating an attractive public realm. </w:t>
            </w:r>
            <w:r w:rsidR="000217E6">
              <w:t>STPR2 recommendations 19</w:t>
            </w:r>
            <w:r w:rsidR="00AF39C8">
              <w:t xml:space="preserve">, </w:t>
            </w:r>
            <w:r w:rsidR="000217E6">
              <w:t>20</w:t>
            </w:r>
            <w:r w:rsidR="00AF39C8">
              <w:t>, 21 and 22</w:t>
            </w:r>
            <w:r w:rsidR="000217E6">
              <w:t xml:space="preserve"> </w:t>
            </w:r>
            <w:r w:rsidR="006E7BCB">
              <w:t xml:space="preserve">are focused on improving the accessibility of the transport network. </w:t>
            </w:r>
            <w:r w:rsidRPr="00795C1F">
              <w:t>Combin</w:t>
            </w:r>
            <w:r w:rsidR="00E62B54" w:rsidRPr="00795C1F">
              <w:t>ed</w:t>
            </w:r>
            <w:r w:rsidRPr="00795C1F">
              <w:t xml:space="preserve"> positive effects</w:t>
            </w:r>
            <w:r w:rsidR="00E62B54" w:rsidRPr="00795C1F">
              <w:t xml:space="preserve"> are expected for</w:t>
            </w:r>
            <w:r w:rsidRPr="00795C1F">
              <w:t xml:space="preserve"> Climatic Factors, Air Quality and Population and Human Health</w:t>
            </w:r>
            <w:r w:rsidR="00F26EC8">
              <w:t>.</w:t>
            </w:r>
            <w:r w:rsidRPr="00795C1F">
              <w:t xml:space="preserve"> </w:t>
            </w:r>
          </w:p>
        </w:tc>
      </w:tr>
      <w:tr w:rsidR="00FF79B7" w:rsidRPr="00795C1F" w14:paraId="0927BF64" w14:textId="77777777" w:rsidTr="00886BD5">
        <w:trPr>
          <w:cantSplit/>
        </w:trPr>
        <w:tc>
          <w:tcPr>
            <w:tcW w:w="2314" w:type="pct"/>
            <w:shd w:val="clear" w:color="auto" w:fill="DCEDC6"/>
          </w:tcPr>
          <w:p w14:paraId="532810EF" w14:textId="51315884" w:rsidR="001C2CA2" w:rsidRPr="00795C1F" w:rsidRDefault="00984A6B" w:rsidP="00D93256">
            <w:pPr>
              <w:pStyle w:val="STPR2TableBody"/>
            </w:pPr>
            <w:r>
              <w:lastRenderedPageBreak/>
              <w:t xml:space="preserve">Revised Draft </w:t>
            </w:r>
            <w:r w:rsidR="001C2CA2" w:rsidRPr="00795C1F">
              <w:t>NPF4 National Development: High Speed Rail</w:t>
            </w:r>
          </w:p>
          <w:p w14:paraId="431E7425" w14:textId="77777777" w:rsidR="001C2CA2" w:rsidRPr="00795C1F" w:rsidRDefault="001C2CA2" w:rsidP="00D93256">
            <w:pPr>
              <w:pStyle w:val="STPR2TableBody"/>
            </w:pPr>
            <w:r w:rsidRPr="00795C1F">
              <w:t xml:space="preserve">Consultation on Scotland’s Rail Infrastructure Strategy 2019 </w:t>
            </w:r>
          </w:p>
          <w:p w14:paraId="025A88AF" w14:textId="77777777" w:rsidR="001C2CA2" w:rsidRPr="00795C1F" w:rsidRDefault="001C2CA2" w:rsidP="00D93256">
            <w:pPr>
              <w:pStyle w:val="STPR2TableBody"/>
            </w:pPr>
            <w:r w:rsidRPr="00795C1F">
              <w:t xml:space="preserve">Rail Enhancement &amp; Capital Investment Strategy 2018 </w:t>
            </w:r>
          </w:p>
          <w:p w14:paraId="663A61DC" w14:textId="2DE1AA1C" w:rsidR="001C2CA2" w:rsidRPr="00795C1F" w:rsidRDefault="001C2CA2" w:rsidP="00D93256">
            <w:pPr>
              <w:pStyle w:val="STPR2TableBody"/>
            </w:pPr>
            <w:r w:rsidRPr="00795C1F">
              <w:t>Scotland’s Railways</w:t>
            </w:r>
          </w:p>
        </w:tc>
        <w:tc>
          <w:tcPr>
            <w:tcW w:w="2686" w:type="pct"/>
            <w:shd w:val="clear" w:color="auto" w:fill="DCEDC6"/>
          </w:tcPr>
          <w:p w14:paraId="68C92F48" w14:textId="61BB186C" w:rsidR="001C2CA2" w:rsidRPr="00795C1F" w:rsidRDefault="00151DB2" w:rsidP="00D93256">
            <w:pPr>
              <w:pStyle w:val="STPR2TableBody"/>
            </w:pPr>
            <w:r>
              <w:t xml:space="preserve">The </w:t>
            </w:r>
            <w:r w:rsidR="004E2867" w:rsidRPr="00795C1F">
              <w:t xml:space="preserve">STPR2 </w:t>
            </w:r>
            <w:r w:rsidR="001C2CA2" w:rsidRPr="00795C1F">
              <w:t>recommendations related to the development of rail services align with the national developments which support the implementation of increased infrastructure to improve rail capacity and connectivity on the main cross-border routes</w:t>
            </w:r>
            <w:r w:rsidR="001F535D" w:rsidRPr="00795C1F">
              <w:t xml:space="preserve"> and</w:t>
            </w:r>
            <w:r w:rsidR="001C2CA2" w:rsidRPr="00795C1F">
              <w:t xml:space="preserve"> the east and west coast mainlines. Combined positive effects are predicted for Population and Human Health, Climatic Factors and Air</w:t>
            </w:r>
            <w:r w:rsidR="003A7B88">
              <w:t> </w:t>
            </w:r>
            <w:r w:rsidR="001C2CA2" w:rsidRPr="00795C1F">
              <w:t>Quality.</w:t>
            </w:r>
          </w:p>
        </w:tc>
      </w:tr>
      <w:tr w:rsidR="00FF79B7" w:rsidRPr="00795C1F" w14:paraId="6780571D" w14:textId="77777777" w:rsidTr="00886BD5">
        <w:trPr>
          <w:cantSplit/>
        </w:trPr>
        <w:tc>
          <w:tcPr>
            <w:tcW w:w="2314" w:type="pct"/>
            <w:shd w:val="clear" w:color="auto" w:fill="DCEDC6"/>
          </w:tcPr>
          <w:p w14:paraId="54E617D3" w14:textId="4547C791" w:rsidR="001C2CA2" w:rsidRPr="00795C1F" w:rsidRDefault="00CD44C3" w:rsidP="00D93256">
            <w:pPr>
              <w:pStyle w:val="STPR2TableBody"/>
            </w:pPr>
            <w:hyperlink r:id="rId39" w:tgtFrame="_blank" w:history="1">
              <w:r w:rsidR="001C2CA2" w:rsidRPr="00795C1F">
                <w:t>Let’s Get Scotland Walking: The National Walking Strategy (2014)</w:t>
              </w:r>
            </w:hyperlink>
            <w:r w:rsidR="001C2CA2" w:rsidRPr="00795C1F">
              <w:t> </w:t>
            </w:r>
          </w:p>
          <w:p w14:paraId="1A2CD1D8" w14:textId="6DBFE5E2" w:rsidR="001C2CA2" w:rsidRPr="00795C1F" w:rsidRDefault="00CD44C3" w:rsidP="00D93256">
            <w:pPr>
              <w:pStyle w:val="STPR2TableBody"/>
            </w:pPr>
            <w:hyperlink r:id="rId40" w:tgtFrame="_blank" w:history="1">
              <w:r w:rsidR="001C2CA2" w:rsidRPr="00795C1F">
                <w:t>A More Active Scotland: Scotland’s Physical Activity Delivery Plan</w:t>
              </w:r>
            </w:hyperlink>
            <w:r w:rsidR="001C2CA2" w:rsidRPr="00795C1F">
              <w:t> </w:t>
            </w:r>
          </w:p>
          <w:p w14:paraId="447B1D4A" w14:textId="75E2F1A1" w:rsidR="001C2CA2" w:rsidRPr="00795C1F" w:rsidRDefault="00CD44C3" w:rsidP="00D93256">
            <w:pPr>
              <w:pStyle w:val="STPR2TableBody"/>
            </w:pPr>
            <w:hyperlink r:id="rId41" w:tgtFrame="_blank" w:history="1">
              <w:r w:rsidR="001C2CA2" w:rsidRPr="00795C1F">
                <w:t>A Connected Scotland: our strategy for tackling social isolation and loneliness and building stronger social connections</w:t>
              </w:r>
            </w:hyperlink>
            <w:r w:rsidR="001C2CA2" w:rsidRPr="00795C1F">
              <w:t> </w:t>
            </w:r>
          </w:p>
          <w:p w14:paraId="421F8736" w14:textId="1E5CA84C" w:rsidR="001C2CA2" w:rsidRPr="00795C1F" w:rsidRDefault="00CD44C3" w:rsidP="00D93256">
            <w:pPr>
              <w:pStyle w:val="STPR2TableBody"/>
            </w:pPr>
            <w:hyperlink r:id="rId42" w:tgtFrame="_blank" w:history="1">
              <w:r w:rsidR="001C2CA2" w:rsidRPr="00795C1F">
                <w:t>A Long-Term Vision for Active Travel in Scotland 2030</w:t>
              </w:r>
            </w:hyperlink>
            <w:r w:rsidR="001C2CA2" w:rsidRPr="00795C1F">
              <w:t> </w:t>
            </w:r>
          </w:p>
          <w:p w14:paraId="4E92E89A" w14:textId="5BB71D49" w:rsidR="001C2CA2" w:rsidRPr="00795C1F" w:rsidRDefault="00CD44C3" w:rsidP="00D93256">
            <w:pPr>
              <w:pStyle w:val="STPR2TableBody"/>
            </w:pPr>
            <w:hyperlink r:id="rId43" w:tgtFrame="_blank" w:history="1">
              <w:r w:rsidR="001C2CA2" w:rsidRPr="00795C1F">
                <w:t xml:space="preserve">Cycling Action Plan for Scotland </w:t>
              </w:r>
              <w:r w:rsidR="00F71A37">
                <w:br/>
              </w:r>
              <w:r w:rsidR="001C2CA2" w:rsidRPr="00795C1F">
                <w:t>2017-2020</w:t>
              </w:r>
            </w:hyperlink>
          </w:p>
          <w:p w14:paraId="74F22872" w14:textId="6EAC18FD" w:rsidR="001C2CA2" w:rsidRPr="00795C1F" w:rsidRDefault="00984A6B" w:rsidP="00D93256">
            <w:pPr>
              <w:pStyle w:val="STPR2TableBody"/>
            </w:pPr>
            <w:r>
              <w:t xml:space="preserve">Revised Draft </w:t>
            </w:r>
            <w:r w:rsidR="001C2CA2" w:rsidRPr="00795C1F">
              <w:t>NPF4 National Development: National Walking, Cycling and Wheeling Network</w:t>
            </w:r>
          </w:p>
        </w:tc>
        <w:tc>
          <w:tcPr>
            <w:tcW w:w="2686" w:type="pct"/>
            <w:shd w:val="clear" w:color="auto" w:fill="DCEDC6"/>
          </w:tcPr>
          <w:p w14:paraId="4E888C6F" w14:textId="235A7E5A" w:rsidR="001C2CA2" w:rsidRPr="00795C1F" w:rsidRDefault="001C2CA2" w:rsidP="00D93256">
            <w:pPr>
              <w:pStyle w:val="STPR2TableBody"/>
            </w:pPr>
            <w:r w:rsidRPr="00795C1F">
              <w:t xml:space="preserve">Many </w:t>
            </w:r>
            <w:r w:rsidR="00151DB2">
              <w:t xml:space="preserve">of the </w:t>
            </w:r>
            <w:r w:rsidRPr="00795C1F">
              <w:t>STPR2 recommendations</w:t>
            </w:r>
            <w:r w:rsidR="00AF39C8">
              <w:t>, particularly those under the active travel theme,</w:t>
            </w:r>
            <w:r w:rsidRPr="00795C1F">
              <w:t xml:space="preserve"> align with support</w:t>
            </w:r>
            <w:r w:rsidR="00574A8D" w:rsidRPr="00795C1F">
              <w:t xml:space="preserve">ing modal </w:t>
            </w:r>
            <w:r w:rsidRPr="00795C1F">
              <w:t xml:space="preserve">shift from </w:t>
            </w:r>
            <w:r w:rsidR="00574A8D" w:rsidRPr="00795C1F">
              <w:t xml:space="preserve">private </w:t>
            </w:r>
            <w:r w:rsidRPr="00795C1F">
              <w:t>vehicles to walking, cycling and wheeling for everyday journeys</w:t>
            </w:r>
            <w:r w:rsidR="00574A8D" w:rsidRPr="00795C1F">
              <w:t>. This will</w:t>
            </w:r>
            <w:r w:rsidRPr="00795C1F">
              <w:t xml:space="preserve"> </w:t>
            </w:r>
            <w:r w:rsidR="00574A8D" w:rsidRPr="00795C1F">
              <w:t>help</w:t>
            </w:r>
            <w:r w:rsidRPr="00795C1F">
              <w:t xml:space="preserve"> reduc</w:t>
            </w:r>
            <w:r w:rsidR="00574A8D" w:rsidRPr="00795C1F">
              <w:t>e</w:t>
            </w:r>
            <w:r w:rsidRPr="00795C1F">
              <w:t xml:space="preserve"> greenhouse gas emissions from transport and </w:t>
            </w:r>
            <w:r w:rsidR="00574A8D" w:rsidRPr="00795C1F">
              <w:t>will also be</w:t>
            </w:r>
            <w:r w:rsidRPr="00795C1F">
              <w:t xml:space="preserve"> highly beneficial for health and wellbeing. Positive combined effects are predicted for Population and Human Health, Climatic Factors and Air Quality.</w:t>
            </w:r>
          </w:p>
        </w:tc>
      </w:tr>
      <w:tr w:rsidR="00FF79B7" w:rsidRPr="00795C1F" w14:paraId="10E682F1" w14:textId="77777777" w:rsidTr="00886BD5">
        <w:trPr>
          <w:cantSplit/>
        </w:trPr>
        <w:tc>
          <w:tcPr>
            <w:tcW w:w="2314" w:type="pct"/>
            <w:shd w:val="clear" w:color="auto" w:fill="DCEDC6"/>
          </w:tcPr>
          <w:p w14:paraId="419AD6BE" w14:textId="45B06912" w:rsidR="001C2CA2" w:rsidRPr="00795C1F" w:rsidRDefault="001C2CA2" w:rsidP="00D93256">
            <w:pPr>
              <w:pStyle w:val="STPR2TableBody"/>
            </w:pPr>
            <w:r w:rsidRPr="00795C1F">
              <w:t>Island</w:t>
            </w:r>
            <w:r w:rsidR="00C94F31">
              <w:t xml:space="preserve"> Connectivity</w:t>
            </w:r>
            <w:r w:rsidRPr="00795C1F">
              <w:t xml:space="preserve"> Plan </w:t>
            </w:r>
            <w:r w:rsidR="00516A24">
              <w:t>(to be developed</w:t>
            </w:r>
            <w:r w:rsidR="00462BBA">
              <w:t xml:space="preserve"> in 2022/2023</w:t>
            </w:r>
            <w:r w:rsidR="00516A24">
              <w:t>)</w:t>
            </w:r>
          </w:p>
          <w:p w14:paraId="6C2CFD61" w14:textId="4B61C359" w:rsidR="001C2CA2" w:rsidRPr="00795C1F" w:rsidRDefault="00CD44C3" w:rsidP="00D93256">
            <w:pPr>
              <w:pStyle w:val="STPR2TableBody"/>
            </w:pPr>
            <w:hyperlink r:id="rId44" w:tgtFrame="_blank" w:history="1">
              <w:r w:rsidR="001C2CA2" w:rsidRPr="00795C1F">
                <w:t>Scotland’s National Marine Plan (2015)</w:t>
              </w:r>
            </w:hyperlink>
            <w:r w:rsidR="001C2CA2" w:rsidRPr="00795C1F">
              <w:t> </w:t>
            </w:r>
          </w:p>
          <w:p w14:paraId="15016196" w14:textId="009010D7" w:rsidR="001C2CA2" w:rsidRPr="00795C1F" w:rsidRDefault="001C2CA2" w:rsidP="00D93256">
            <w:pPr>
              <w:pStyle w:val="STPR2TableBody"/>
              <w:rPr>
                <w:color w:val="0070C0"/>
              </w:rPr>
            </w:pPr>
            <w:r w:rsidRPr="00795C1F">
              <w:t>Scottish Ferry Services: Ferries Plan (2013-2022)</w:t>
            </w:r>
          </w:p>
        </w:tc>
        <w:tc>
          <w:tcPr>
            <w:tcW w:w="2686" w:type="pct"/>
            <w:shd w:val="clear" w:color="auto" w:fill="DCEDC6"/>
          </w:tcPr>
          <w:p w14:paraId="710967F8" w14:textId="5507320C" w:rsidR="001C2CA2" w:rsidRPr="00795C1F" w:rsidRDefault="0035799F" w:rsidP="00D93256">
            <w:pPr>
              <w:pStyle w:val="STPR2TableBody"/>
            </w:pPr>
            <w:r>
              <w:t xml:space="preserve">The </w:t>
            </w:r>
            <w:r w:rsidR="00574A8D" w:rsidRPr="00795C1F">
              <w:t>STPR2</w:t>
            </w:r>
            <w:r w:rsidR="00E81BC8">
              <w:t xml:space="preserve"> </w:t>
            </w:r>
            <w:r w:rsidR="00E81BC8" w:rsidRPr="00E81BC8">
              <w:t>recommendations</w:t>
            </w:r>
            <w:r w:rsidR="00E81BC8">
              <w:t xml:space="preserve"> that relate to</w:t>
            </w:r>
            <w:r w:rsidR="00574A8D" w:rsidRPr="00795C1F">
              <w:t xml:space="preserve"> </w:t>
            </w:r>
            <w:r w:rsidR="0009626C">
              <w:t xml:space="preserve">ferries and </w:t>
            </w:r>
            <w:r w:rsidR="00E81BC8">
              <w:t>i</w:t>
            </w:r>
            <w:r w:rsidR="00574A8D" w:rsidRPr="00795C1F">
              <w:t xml:space="preserve">sland </w:t>
            </w:r>
            <w:r w:rsidR="00E81BC8">
              <w:t>c</w:t>
            </w:r>
            <w:r w:rsidR="00574A8D" w:rsidRPr="00795C1F">
              <w:t>o</w:t>
            </w:r>
            <w:r w:rsidR="00231A68" w:rsidRPr="00795C1F">
              <w:t xml:space="preserve">nnectivity </w:t>
            </w:r>
            <w:r w:rsidR="001C2CA2" w:rsidRPr="00795C1F">
              <w:t xml:space="preserve">support </w:t>
            </w:r>
            <w:r w:rsidR="00ED0B90" w:rsidRPr="00795C1F">
              <w:t xml:space="preserve">other </w:t>
            </w:r>
            <w:r w:rsidR="001C2CA2" w:rsidRPr="00795C1F">
              <w:t xml:space="preserve">plans that </w:t>
            </w:r>
            <w:r w:rsidR="00ED0B90" w:rsidRPr="00795C1F">
              <w:t>aim</w:t>
            </w:r>
            <w:r w:rsidR="001C2CA2" w:rsidRPr="00795C1F">
              <w:t xml:space="preserve"> to meaningfully improve outcomes for island communities. </w:t>
            </w:r>
            <w:r w:rsidR="00ED0B90" w:rsidRPr="00795C1F">
              <w:t xml:space="preserve">The recommendations seek to improve accessibility, reduce severance and increase transport choice as well as support plans for future capacity of public transport, taking demographic and other societal changes into account. </w:t>
            </w:r>
            <w:r w:rsidR="001C2CA2" w:rsidRPr="00795C1F">
              <w:t>Positive combined effects are predicted for Population and Human Health and Material Assets</w:t>
            </w:r>
            <w:r w:rsidR="007C7E98" w:rsidRPr="00795C1F">
              <w:t>.</w:t>
            </w:r>
            <w:r w:rsidR="001C2CA2" w:rsidRPr="00795C1F">
              <w:t xml:space="preserve"> </w:t>
            </w:r>
          </w:p>
        </w:tc>
      </w:tr>
      <w:tr w:rsidR="00FF79B7" w:rsidRPr="00795C1F" w14:paraId="3E1076CE" w14:textId="77777777" w:rsidTr="00886BD5">
        <w:trPr>
          <w:cantSplit/>
        </w:trPr>
        <w:tc>
          <w:tcPr>
            <w:tcW w:w="2314" w:type="pct"/>
            <w:shd w:val="clear" w:color="auto" w:fill="DCEDC6"/>
          </w:tcPr>
          <w:p w14:paraId="763A161D" w14:textId="79B67606" w:rsidR="001C2CA2" w:rsidRPr="00795C1F" w:rsidRDefault="001C2CA2" w:rsidP="00D93256">
            <w:pPr>
              <w:pStyle w:val="STPR2TableBody"/>
            </w:pPr>
            <w:r w:rsidRPr="00795C1F">
              <w:lastRenderedPageBreak/>
              <w:t>Realising Scotland’s full potential in a digital world: a digital strategy for Scotland (2017)</w:t>
            </w:r>
            <w:r w:rsidR="00DF6ACA">
              <w:t xml:space="preserve"> </w:t>
            </w:r>
          </w:p>
          <w:p w14:paraId="21799857" w14:textId="62BB8315" w:rsidR="001C2CA2" w:rsidRPr="00795C1F" w:rsidRDefault="001C2CA2" w:rsidP="00D93256">
            <w:pPr>
              <w:pStyle w:val="STPR2TableBody"/>
            </w:pPr>
            <w:r w:rsidRPr="00795C1F">
              <w:t>Smart and Integrated Ticketing and Payments – Delivering Strategy 2018 </w:t>
            </w:r>
          </w:p>
        </w:tc>
        <w:tc>
          <w:tcPr>
            <w:tcW w:w="2686" w:type="pct"/>
            <w:shd w:val="clear" w:color="auto" w:fill="DCEDC6"/>
          </w:tcPr>
          <w:p w14:paraId="3DC849CA" w14:textId="6B460222" w:rsidR="00933449" w:rsidRPr="00795C1F" w:rsidRDefault="009A6C68" w:rsidP="00D93256">
            <w:pPr>
              <w:pStyle w:val="STPR2TableBody"/>
            </w:pPr>
            <w:r w:rsidRPr="00795C1F">
              <w:t xml:space="preserve">The </w:t>
            </w:r>
            <w:r w:rsidR="00C7722D" w:rsidRPr="00795C1F">
              <w:t>STPR2 ‘Te</w:t>
            </w:r>
            <w:r w:rsidR="00790CE4" w:rsidRPr="00795C1F">
              <w:t xml:space="preserve">chnology’ </w:t>
            </w:r>
            <w:r w:rsidR="001C2CA2" w:rsidRPr="00795C1F">
              <w:t xml:space="preserve">recommendations support a vision for Scotland as a vibrant, inclusive, open and outward-looking digital nation with smart and integrated ticketing and payment across Scotland. </w:t>
            </w:r>
            <w:r w:rsidR="00790CE4" w:rsidRPr="00795C1F">
              <w:t xml:space="preserve">The recommendations </w:t>
            </w:r>
            <w:r w:rsidR="00E903DE" w:rsidRPr="00795C1F">
              <w:t xml:space="preserve">and PPS listed </w:t>
            </w:r>
            <w:r w:rsidR="00790CE4" w:rsidRPr="00795C1F">
              <w:t>are likely to encourage more people to use public transport</w:t>
            </w:r>
            <w:r w:rsidR="00C70B63" w:rsidRPr="00795C1F">
              <w:t xml:space="preserve"> and </w:t>
            </w:r>
            <w:r w:rsidR="00BF3C73" w:rsidRPr="00795C1F">
              <w:t>enabl</w:t>
            </w:r>
            <w:r w:rsidR="00E903DE" w:rsidRPr="00795C1F">
              <w:t>e</w:t>
            </w:r>
            <w:r w:rsidR="00BF3C73" w:rsidRPr="00795C1F">
              <w:t xml:space="preserve"> greater accessibility to essential services, employment and the natural</w:t>
            </w:r>
            <w:r w:rsidR="00F71A37">
              <w:t> </w:t>
            </w:r>
            <w:r w:rsidR="00BF3C73" w:rsidRPr="00795C1F">
              <w:t>environment.</w:t>
            </w:r>
          </w:p>
          <w:p w14:paraId="50D6087D" w14:textId="63773637" w:rsidR="001C2CA2" w:rsidRPr="00795C1F" w:rsidRDefault="00933449" w:rsidP="00D93256">
            <w:pPr>
              <w:pStyle w:val="STPR2TableBody"/>
            </w:pPr>
            <w:r w:rsidRPr="00795C1F">
              <w:t>There are likely to be</w:t>
            </w:r>
            <w:r w:rsidR="00790CE4" w:rsidRPr="00795C1F">
              <w:t xml:space="preserve"> combined positive effects on Population </w:t>
            </w:r>
            <w:r w:rsidR="0050782B">
              <w:t>and</w:t>
            </w:r>
            <w:r w:rsidR="00790CE4" w:rsidRPr="00795C1F">
              <w:t xml:space="preserve"> Human Health</w:t>
            </w:r>
            <w:r w:rsidR="00BF3C73" w:rsidRPr="00795C1F">
              <w:t>,</w:t>
            </w:r>
            <w:r w:rsidR="00260D73" w:rsidRPr="00795C1F">
              <w:t xml:space="preserve"> Climatic Factors and Air Quality</w:t>
            </w:r>
            <w:r w:rsidR="00E903DE" w:rsidRPr="00795C1F">
              <w:t>.</w:t>
            </w:r>
            <w:r w:rsidR="00790CE4" w:rsidRPr="00795C1F">
              <w:t xml:space="preserve"> </w:t>
            </w:r>
          </w:p>
        </w:tc>
      </w:tr>
      <w:tr w:rsidR="00FF79B7" w:rsidRPr="00795C1F" w14:paraId="7C26F636" w14:textId="77777777" w:rsidTr="00886BD5">
        <w:trPr>
          <w:cantSplit/>
        </w:trPr>
        <w:tc>
          <w:tcPr>
            <w:tcW w:w="2314" w:type="pct"/>
            <w:shd w:val="clear" w:color="auto" w:fill="DCEDC6"/>
          </w:tcPr>
          <w:p w14:paraId="18AA9D0C" w14:textId="1AEB6C03" w:rsidR="001C2CA2" w:rsidRPr="00795C1F" w:rsidRDefault="00CD44C3" w:rsidP="00D93256">
            <w:pPr>
              <w:pStyle w:val="STPR2TableBody"/>
            </w:pPr>
            <w:hyperlink r:id="rId45" w:history="1">
              <w:r w:rsidR="001C2CA2" w:rsidRPr="00795C1F">
                <w:t xml:space="preserve">Scotland’s Road Safety Framework </w:t>
              </w:r>
              <w:r w:rsidR="00F71A37">
                <w:br/>
              </w:r>
              <w:r w:rsidR="001C2CA2" w:rsidRPr="00795C1F">
                <w:t>to 2030</w:t>
              </w:r>
            </w:hyperlink>
          </w:p>
          <w:p w14:paraId="64579186" w14:textId="31E2C3F9" w:rsidR="001C2CA2" w:rsidRPr="00795C1F" w:rsidRDefault="00CD44C3" w:rsidP="00D93256">
            <w:pPr>
              <w:pStyle w:val="STPR2TableBody"/>
              <w:rPr>
                <w:color w:val="0070C0"/>
                <w:u w:val="single"/>
              </w:rPr>
            </w:pPr>
            <w:hyperlink r:id="rId46" w:tgtFrame="_blank" w:history="1">
              <w:r w:rsidR="001C2CA2" w:rsidRPr="00795C1F">
                <w:t>Scottish Trunk Road Network Asset Management Strategy</w:t>
              </w:r>
            </w:hyperlink>
            <w:r w:rsidR="001C2CA2" w:rsidRPr="00795C1F">
              <w:t> </w:t>
            </w:r>
          </w:p>
        </w:tc>
        <w:tc>
          <w:tcPr>
            <w:tcW w:w="2686" w:type="pct"/>
            <w:shd w:val="clear" w:color="auto" w:fill="DCEDC6"/>
          </w:tcPr>
          <w:p w14:paraId="0E76BC6A" w14:textId="05CE2C3A" w:rsidR="001C2CA2" w:rsidRPr="00795C1F" w:rsidRDefault="001C2CA2" w:rsidP="00D93256">
            <w:pPr>
              <w:pStyle w:val="STPR2TableBody"/>
            </w:pPr>
            <w:r w:rsidRPr="00795C1F">
              <w:t xml:space="preserve">Many </w:t>
            </w:r>
            <w:r w:rsidR="00300928">
              <w:t xml:space="preserve">of the </w:t>
            </w:r>
            <w:r w:rsidR="00D33B4C" w:rsidRPr="00795C1F">
              <w:t xml:space="preserve">STPR2 </w:t>
            </w:r>
            <w:r w:rsidRPr="00795C1F">
              <w:t>recommendations</w:t>
            </w:r>
            <w:r w:rsidR="004701DC">
              <w:t>, p</w:t>
            </w:r>
            <w:r w:rsidR="00A412A1">
              <w:t xml:space="preserve">articularly those under the ‘increasing safety and resilience </w:t>
            </w:r>
            <w:r w:rsidR="00301127">
              <w:t xml:space="preserve">on the strategic transport network’ </w:t>
            </w:r>
            <w:r w:rsidR="00A412A1">
              <w:t>theme</w:t>
            </w:r>
            <w:r w:rsidRPr="00795C1F">
              <w:t xml:space="preserve"> align with the plans that are committed to ensuring that Scotland’s transport network is able to serve its function in addition to being safe, resilient and in the best condition. </w:t>
            </w:r>
            <w:r w:rsidR="00D33B4C" w:rsidRPr="00795C1F">
              <w:t>The</w:t>
            </w:r>
            <w:r w:rsidR="004E18CA" w:rsidRPr="00795C1F">
              <w:t xml:space="preserve"> focus of the recommendations is on road safety but there are also possible </w:t>
            </w:r>
            <w:r w:rsidR="00D178F0">
              <w:t>combined positive effects</w:t>
            </w:r>
            <w:r w:rsidR="00D178F0" w:rsidRPr="00795C1F">
              <w:t xml:space="preserve"> </w:t>
            </w:r>
            <w:r w:rsidR="004E18CA" w:rsidRPr="00795C1F">
              <w:t>relating to network resilience and adaptation</w:t>
            </w:r>
            <w:r w:rsidR="002D073E" w:rsidRPr="00795C1F">
              <w:t>.</w:t>
            </w:r>
            <w:r w:rsidR="004E18CA" w:rsidRPr="00795C1F">
              <w:t xml:space="preserve"> </w:t>
            </w:r>
            <w:r w:rsidRPr="00795C1F">
              <w:t>Combined positive effects are</w:t>
            </w:r>
            <w:r w:rsidR="00D178F0">
              <w:t xml:space="preserve"> also</w:t>
            </w:r>
            <w:r w:rsidRPr="00795C1F">
              <w:t xml:space="preserve"> predicted for Population and Human Health</w:t>
            </w:r>
            <w:r w:rsidR="008D308E">
              <w:t>, particularly through improved safety of the transport network</w:t>
            </w:r>
            <w:r w:rsidRPr="00795C1F">
              <w:t>.</w:t>
            </w:r>
          </w:p>
        </w:tc>
      </w:tr>
    </w:tbl>
    <w:p w14:paraId="054E7052" w14:textId="77777777" w:rsidR="008E14D2" w:rsidRDefault="008E14D2">
      <w:pPr>
        <w:rPr>
          <w:rFonts w:cstheme="minorHAnsi"/>
          <w:sz w:val="24"/>
          <w:szCs w:val="24"/>
        </w:rPr>
        <w:sectPr w:rsidR="008E14D2" w:rsidSect="000C6958">
          <w:headerReference w:type="default" r:id="rId47"/>
          <w:pgSz w:w="11906" w:h="16838" w:code="9"/>
          <w:pgMar w:top="1701" w:right="1134" w:bottom="1134" w:left="1134" w:header="454" w:footer="567" w:gutter="0"/>
          <w:cols w:space="720"/>
          <w:noEndnote/>
          <w:docGrid w:linePitch="299"/>
        </w:sectPr>
      </w:pPr>
    </w:p>
    <w:p w14:paraId="5EBEDA22" w14:textId="3B293A78" w:rsidR="000C6958" w:rsidRDefault="00BA3272" w:rsidP="008E14D2">
      <w:pPr>
        <w:pStyle w:val="Heading1"/>
      </w:pPr>
      <w:bookmarkStart w:id="1917" w:name="_Ref90564661"/>
      <w:bookmarkStart w:id="1918" w:name="_Ref90565095"/>
      <w:bookmarkStart w:id="1919" w:name="_Ref90565227"/>
      <w:bookmarkStart w:id="1920" w:name="_Ref90565594"/>
      <w:bookmarkStart w:id="1921" w:name="_Toc121339158"/>
      <w:r>
        <w:lastRenderedPageBreak/>
        <w:t xml:space="preserve">Strategic </w:t>
      </w:r>
      <w:r w:rsidR="000C6958">
        <w:t>Mitigation and Enhancement</w:t>
      </w:r>
      <w:bookmarkEnd w:id="1917"/>
      <w:bookmarkEnd w:id="1918"/>
      <w:bookmarkEnd w:id="1919"/>
      <w:bookmarkEnd w:id="1920"/>
      <w:bookmarkEnd w:id="1921"/>
      <w:r w:rsidR="000C6958">
        <w:t xml:space="preserve"> </w:t>
      </w:r>
      <w:bookmarkEnd w:id="1916"/>
    </w:p>
    <w:p w14:paraId="15480B10" w14:textId="77777777" w:rsidR="00830F15" w:rsidRDefault="00830F15" w:rsidP="008E14D2">
      <w:pPr>
        <w:pStyle w:val="Heading2"/>
      </w:pPr>
      <w:bookmarkStart w:id="1922" w:name="_Toc121339159"/>
      <w:r w:rsidRPr="008E14D2">
        <w:t>Overview</w:t>
      </w:r>
      <w:bookmarkEnd w:id="1922"/>
    </w:p>
    <w:p w14:paraId="653A9F11" w14:textId="72DDA023" w:rsidR="00AB66DA" w:rsidRDefault="000C6958" w:rsidP="00D93256">
      <w:pPr>
        <w:pStyle w:val="STPR2BodyText"/>
      </w:pPr>
      <w:r w:rsidRPr="00737715">
        <w:t>The environmental assessment aim</w:t>
      </w:r>
      <w:r>
        <w:t>s</w:t>
      </w:r>
      <w:r w:rsidRPr="00737715">
        <w:t xml:space="preserve"> to prevent, reduce or offset any significant adverse effects as far as possible before mitigation measures are proposed. </w:t>
      </w:r>
      <w:r w:rsidR="00AB66DA">
        <w:t xml:space="preserve">In addition to preventing or minimising adverse effects, mitigation </w:t>
      </w:r>
      <w:r w:rsidR="00195AB0">
        <w:t>measures have also been provided for SEA topics w</w:t>
      </w:r>
      <w:r w:rsidR="00D05276">
        <w:t xml:space="preserve">here many uncertain effects were predicted </w:t>
      </w:r>
      <w:r w:rsidR="004273E1">
        <w:t>in the assessment.</w:t>
      </w:r>
    </w:p>
    <w:p w14:paraId="5AC341B6" w14:textId="01D98EC4" w:rsidR="000C6958" w:rsidRPr="00EA00ED" w:rsidRDefault="000C6958" w:rsidP="00D93256">
      <w:pPr>
        <w:pStyle w:val="STPR2BodyText"/>
      </w:pPr>
      <w:r w:rsidRPr="00737715">
        <w:t>Undertaking the SEA process alongside the STPR2 development process help</w:t>
      </w:r>
      <w:r>
        <w:t>s</w:t>
      </w:r>
      <w:r w:rsidRPr="00737715">
        <w:t xml:space="preserve"> ensure that modifications can be made at the strategic level</w:t>
      </w:r>
      <w:r>
        <w:t>,</w:t>
      </w:r>
      <w:r w:rsidRPr="00737715">
        <w:t xml:space="preserve"> </w:t>
      </w:r>
      <w:r w:rsidR="00254945">
        <w:t>for example</w:t>
      </w:r>
      <w:r w:rsidRPr="00737715">
        <w:t xml:space="preserve"> via alternatives and identifying issues which can be addressed through other relevant PPS policies</w:t>
      </w:r>
      <w:r w:rsidRPr="00EA00ED">
        <w:t>/strategies.</w:t>
      </w:r>
    </w:p>
    <w:p w14:paraId="31E453B0" w14:textId="45B5F178" w:rsidR="000C6958" w:rsidRDefault="000C6958" w:rsidP="00D93256">
      <w:pPr>
        <w:pStyle w:val="STPR2BodyText"/>
      </w:pPr>
      <w:r w:rsidRPr="00EA00ED">
        <w:t xml:space="preserve">Where </w:t>
      </w:r>
      <w:r>
        <w:t>location-</w:t>
      </w:r>
      <w:r w:rsidRPr="00EA00ED">
        <w:t xml:space="preserve">specific mitigation requirements are identified, these </w:t>
      </w:r>
      <w:r>
        <w:t>are</w:t>
      </w:r>
      <w:r w:rsidRPr="00EA00ED">
        <w:t xml:space="preserve"> </w:t>
      </w:r>
      <w:r>
        <w:t>described with</w:t>
      </w:r>
      <w:r w:rsidRPr="00EA00ED">
        <w:t xml:space="preserve"> appropriate recommendations for implementation at a project level.</w:t>
      </w:r>
    </w:p>
    <w:p w14:paraId="58B21D44" w14:textId="388DC5A6" w:rsidR="000C6958" w:rsidRDefault="000C6958" w:rsidP="00D93256">
      <w:pPr>
        <w:pStyle w:val="STPR2BodyText"/>
      </w:pPr>
      <w:r>
        <w:t xml:space="preserve">In addition to mitigation measures, recommendations for STPR2 enhancement opportunities have been provided wherever possible. </w:t>
      </w:r>
    </w:p>
    <w:p w14:paraId="4419A872" w14:textId="77777777" w:rsidR="000C6958" w:rsidRDefault="000C6958" w:rsidP="00D93256">
      <w:pPr>
        <w:pStyle w:val="STPR2BodyText"/>
      </w:pPr>
      <w:r>
        <w:t>The mitigation measures and enhancement opportunities consider:</w:t>
      </w:r>
    </w:p>
    <w:p w14:paraId="27600916" w14:textId="478156F1" w:rsidR="000C6958" w:rsidRPr="00795C1F" w:rsidRDefault="0079572D" w:rsidP="00D93256">
      <w:pPr>
        <w:pStyle w:val="STPR2BulletsLevel1"/>
      </w:pPr>
      <w:r w:rsidRPr="00795C1F">
        <w:t>t</w:t>
      </w:r>
      <w:r w:rsidR="000C6958" w:rsidRPr="00795C1F">
        <w:t>he environmental baseline data provided in Appendi</w:t>
      </w:r>
      <w:r w:rsidR="00795C1F">
        <w:t>x</w:t>
      </w:r>
      <w:r w:rsidR="000C6958" w:rsidRPr="00795C1F">
        <w:t xml:space="preserve"> C</w:t>
      </w:r>
      <w:r w:rsidR="00795C1F">
        <w:t xml:space="preserve"> (National Baseline)</w:t>
      </w:r>
      <w:r w:rsidR="000C6958" w:rsidRPr="00795C1F">
        <w:t xml:space="preserve"> and D</w:t>
      </w:r>
      <w:r w:rsidR="00795C1F">
        <w:t xml:space="preserve"> (Regional Environmental Summaries)</w:t>
      </w:r>
      <w:r w:rsidR="000C6958" w:rsidRPr="00795C1F">
        <w:t>;</w:t>
      </w:r>
    </w:p>
    <w:p w14:paraId="2A496B82" w14:textId="54ECD26C" w:rsidR="000C6958" w:rsidRPr="00795C1F" w:rsidRDefault="0079572D" w:rsidP="00D93256">
      <w:pPr>
        <w:pStyle w:val="STPR2BulletsLevel1"/>
      </w:pPr>
      <w:r w:rsidRPr="00795C1F">
        <w:t>t</w:t>
      </w:r>
      <w:r w:rsidR="000C6958" w:rsidRPr="00795C1F">
        <w:t xml:space="preserve">he environmental requirements emerging from the PPS review, provided in </w:t>
      </w:r>
      <w:r w:rsidR="006D5926">
        <w:fldChar w:fldCharType="begin"/>
      </w:r>
      <w:r w:rsidR="006D5926">
        <w:instrText xml:space="preserve"> REF _Ref92969803 \h </w:instrText>
      </w:r>
      <w:r w:rsidR="006D5926">
        <w:fldChar w:fldCharType="separate"/>
      </w:r>
      <w:r w:rsidR="00C22A9E" w:rsidRPr="0042494A">
        <w:t xml:space="preserve">Table </w:t>
      </w:r>
      <w:r w:rsidR="00C22A9E">
        <w:rPr>
          <w:noProof/>
        </w:rPr>
        <w:t>1</w:t>
      </w:r>
      <w:r w:rsidR="006D5926">
        <w:fldChar w:fldCharType="end"/>
      </w:r>
    </w:p>
    <w:p w14:paraId="5DAE1DE3" w14:textId="62DDFF4C" w:rsidR="000C6958" w:rsidRPr="00795C1F" w:rsidRDefault="0079572D" w:rsidP="00D93256">
      <w:pPr>
        <w:pStyle w:val="STPR2BulletsLevel1"/>
      </w:pPr>
      <w:r w:rsidRPr="00795C1F">
        <w:t>t</w:t>
      </w:r>
      <w:r w:rsidR="000C6958" w:rsidRPr="00795C1F">
        <w:t xml:space="preserve">he SEA Objectives and Assessment Guide questions provided in </w:t>
      </w:r>
      <w:r w:rsidR="006D5926">
        <w:fldChar w:fldCharType="begin"/>
      </w:r>
      <w:r w:rsidR="006D5926">
        <w:instrText xml:space="preserve"> REF _Ref92969903 \h </w:instrText>
      </w:r>
      <w:r w:rsidR="006D5926">
        <w:fldChar w:fldCharType="separate"/>
      </w:r>
      <w:r w:rsidR="00C22A9E" w:rsidRPr="008A4B52">
        <w:t xml:space="preserve">Table </w:t>
      </w:r>
      <w:r w:rsidR="00C22A9E">
        <w:rPr>
          <w:noProof/>
        </w:rPr>
        <w:t>3</w:t>
      </w:r>
      <w:r w:rsidR="006D5926">
        <w:fldChar w:fldCharType="end"/>
      </w:r>
      <w:r w:rsidR="000C6958" w:rsidRPr="00795C1F">
        <w:t>;</w:t>
      </w:r>
    </w:p>
    <w:p w14:paraId="7BBD6820" w14:textId="2F6DA7A8" w:rsidR="000C6958" w:rsidRPr="00795C1F" w:rsidRDefault="0079572D" w:rsidP="00D93256">
      <w:pPr>
        <w:pStyle w:val="STPR2BulletsLevel1"/>
      </w:pPr>
      <w:r w:rsidRPr="00795C1F">
        <w:t>f</w:t>
      </w:r>
      <w:r w:rsidR="000C6958" w:rsidRPr="00795C1F">
        <w:t xml:space="preserve">eedback received from the regional and national workshops, described in </w:t>
      </w:r>
      <w:r w:rsidR="000C6958" w:rsidRPr="003C06C1">
        <w:rPr>
          <w:b/>
          <w:bCs/>
        </w:rPr>
        <w:t xml:space="preserve">Section </w:t>
      </w:r>
      <w:r w:rsidR="00FD00B2" w:rsidRPr="003C06C1">
        <w:rPr>
          <w:b/>
          <w:bCs/>
        </w:rPr>
        <w:t>6</w:t>
      </w:r>
      <w:r w:rsidR="000C6958" w:rsidRPr="003C06C1">
        <w:rPr>
          <w:b/>
          <w:bCs/>
        </w:rPr>
        <w:t>.2</w:t>
      </w:r>
      <w:r w:rsidR="000C6958" w:rsidRPr="00795C1F">
        <w:t xml:space="preserve"> respectively, including local context and feasibility;</w:t>
      </w:r>
    </w:p>
    <w:p w14:paraId="2C508B96" w14:textId="75DB5BA9" w:rsidR="000C6958" w:rsidRPr="00795C1F" w:rsidRDefault="0079572D" w:rsidP="00D93256">
      <w:pPr>
        <w:pStyle w:val="STPR2BulletsLevel1"/>
      </w:pPr>
      <w:r w:rsidRPr="00795C1F">
        <w:t>k</w:t>
      </w:r>
      <w:r w:rsidR="000C6958" w:rsidRPr="00795C1F">
        <w:t xml:space="preserve">ey issues and opportunities identified during the continuing development of </w:t>
      </w:r>
      <w:r w:rsidR="00300928" w:rsidRPr="00300928">
        <w:t xml:space="preserve">the </w:t>
      </w:r>
      <w:r w:rsidR="000C6958" w:rsidRPr="00795C1F">
        <w:t xml:space="preserve">STPR2, the EqIA and other </w:t>
      </w:r>
      <w:r w:rsidR="00CD653E">
        <w:t>I</w:t>
      </w:r>
      <w:r w:rsidR="00135149">
        <w:t>mpact</w:t>
      </w:r>
      <w:r w:rsidR="000C6958" w:rsidRPr="00795C1F">
        <w:t xml:space="preserve"> </w:t>
      </w:r>
      <w:r w:rsidR="00CD653E">
        <w:t>A</w:t>
      </w:r>
      <w:r w:rsidR="000C6958" w:rsidRPr="00795C1F">
        <w:t xml:space="preserve">ssessments; </w:t>
      </w:r>
    </w:p>
    <w:p w14:paraId="2907CBFD" w14:textId="120B2BDF" w:rsidR="000C6958" w:rsidRPr="00795C1F" w:rsidRDefault="0079572D" w:rsidP="00D93256">
      <w:pPr>
        <w:pStyle w:val="STPR2BulletsLevel1"/>
      </w:pPr>
      <w:r w:rsidRPr="00795C1F">
        <w:t>f</w:t>
      </w:r>
      <w:r w:rsidR="000C6958" w:rsidRPr="00795C1F">
        <w:t>eedback from the SEA Consultation Authorities.</w:t>
      </w:r>
    </w:p>
    <w:p w14:paraId="25B84E6C" w14:textId="6957AC16" w:rsidR="000C6958" w:rsidRDefault="00830F15" w:rsidP="008E14D2">
      <w:pPr>
        <w:pStyle w:val="Heading2"/>
      </w:pPr>
      <w:bookmarkStart w:id="1923" w:name="_Toc121339160"/>
      <w:r>
        <w:t>Climatic</w:t>
      </w:r>
      <w:r w:rsidR="00396B5B">
        <w:t xml:space="preserve"> </w:t>
      </w:r>
      <w:r w:rsidRPr="008E14D2">
        <w:t>Factors</w:t>
      </w:r>
      <w:r w:rsidR="000979D8">
        <w:t xml:space="preserve"> and Material Assets</w:t>
      </w:r>
      <w:bookmarkEnd w:id="1923"/>
    </w:p>
    <w:p w14:paraId="70AA68E5" w14:textId="32AE70E1" w:rsidR="00504EE1" w:rsidRDefault="00504EE1" w:rsidP="008E14D2">
      <w:pPr>
        <w:pStyle w:val="Heading3"/>
      </w:pPr>
      <w:bookmarkStart w:id="1924" w:name="_Toc121339161"/>
      <w:r>
        <w:t xml:space="preserve">Strategic Opportunities </w:t>
      </w:r>
      <w:r w:rsidR="00D6790D">
        <w:t xml:space="preserve">to Reduce </w:t>
      </w:r>
      <w:r w:rsidR="00D6790D" w:rsidRPr="008E14D2">
        <w:t>Greenhouse</w:t>
      </w:r>
      <w:r w:rsidR="00D6790D">
        <w:t xml:space="preserve"> Gas Emissions</w:t>
      </w:r>
      <w:bookmarkEnd w:id="1924"/>
    </w:p>
    <w:p w14:paraId="0490869A" w14:textId="05B43A00" w:rsidR="007171A6" w:rsidRDefault="00D6790D" w:rsidP="00D93256">
      <w:pPr>
        <w:pStyle w:val="STPR2BodyText"/>
      </w:pPr>
      <w:r>
        <w:t>The regional workshops</w:t>
      </w:r>
      <w:r w:rsidR="007F7262">
        <w:t xml:space="preserve"> for </w:t>
      </w:r>
      <w:r w:rsidR="00300928" w:rsidRPr="00300928">
        <w:t xml:space="preserve">the </w:t>
      </w:r>
      <w:r w:rsidR="007F7262">
        <w:t>STPR2</w:t>
      </w:r>
      <w:r w:rsidR="0049783E" w:rsidRPr="0049783E">
        <w:t xml:space="preserve"> held from May to June 2019</w:t>
      </w:r>
      <w:r w:rsidR="0049783E">
        <w:t xml:space="preserve"> identified </w:t>
      </w:r>
      <w:r w:rsidR="000C51C2">
        <w:t>a number of</w:t>
      </w:r>
      <w:r w:rsidR="0049783E">
        <w:t xml:space="preserve"> </w:t>
      </w:r>
      <w:r w:rsidR="007F7262">
        <w:t>strategic opportunities to reduce greenhouse gas emissions</w:t>
      </w:r>
      <w:r w:rsidR="000C51C2">
        <w:t>. Th</w:t>
      </w:r>
      <w:r w:rsidR="00123607">
        <w:t>ese opportunities, and the STPR2 response to them</w:t>
      </w:r>
      <w:r w:rsidR="001726AD">
        <w:t>,</w:t>
      </w:r>
      <w:r w:rsidR="00123607">
        <w:t xml:space="preserve"> are shown in </w:t>
      </w:r>
      <w:r w:rsidR="006D5926">
        <w:fldChar w:fldCharType="begin"/>
      </w:r>
      <w:r w:rsidR="006D5926">
        <w:instrText xml:space="preserve"> REF _Ref92970593 \h </w:instrText>
      </w:r>
      <w:r w:rsidR="006D5926">
        <w:fldChar w:fldCharType="separate"/>
      </w:r>
      <w:r w:rsidR="00C22A9E" w:rsidRPr="002544E6">
        <w:t xml:space="preserve">Table </w:t>
      </w:r>
      <w:r w:rsidR="00C22A9E">
        <w:rPr>
          <w:noProof/>
        </w:rPr>
        <w:t>9</w:t>
      </w:r>
      <w:r w:rsidR="006D5926">
        <w:fldChar w:fldCharType="end"/>
      </w:r>
      <w:r w:rsidR="00123607" w:rsidRPr="008B057C">
        <w:t>.</w:t>
      </w:r>
      <w:r w:rsidR="007171A6">
        <w:br w:type="page"/>
      </w:r>
    </w:p>
    <w:p w14:paraId="089753AA" w14:textId="72AD073F" w:rsidR="000542E1" w:rsidRPr="002544E6" w:rsidRDefault="000542E1" w:rsidP="00D93256">
      <w:pPr>
        <w:pStyle w:val="STPR2Caption"/>
      </w:pPr>
      <w:bookmarkStart w:id="1925" w:name="_Ref90569435"/>
      <w:bookmarkStart w:id="1926" w:name="_Ref92970593"/>
      <w:bookmarkStart w:id="1927" w:name="_Toc121231980"/>
      <w:r w:rsidRPr="002544E6">
        <w:lastRenderedPageBreak/>
        <w:t xml:space="preserve">Table </w:t>
      </w:r>
      <w:bookmarkEnd w:id="1925"/>
      <w:r w:rsidR="00E428D4">
        <w:fldChar w:fldCharType="begin"/>
      </w:r>
      <w:r w:rsidR="00E428D4">
        <w:instrText xml:space="preserve"> SEQ Table \* ARABIC </w:instrText>
      </w:r>
      <w:r w:rsidR="00E428D4">
        <w:fldChar w:fldCharType="separate"/>
      </w:r>
      <w:r w:rsidR="00C22A9E">
        <w:rPr>
          <w:noProof/>
        </w:rPr>
        <w:t>9</w:t>
      </w:r>
      <w:r w:rsidR="00E428D4">
        <w:fldChar w:fldCharType="end"/>
      </w:r>
      <w:bookmarkEnd w:id="1926"/>
      <w:r w:rsidRPr="002544E6">
        <w:t xml:space="preserve">: Strategic </w:t>
      </w:r>
      <w:r w:rsidR="006A4EA8">
        <w:t>o</w:t>
      </w:r>
      <w:r w:rsidRPr="002544E6">
        <w:t xml:space="preserve">pportunities in relation to </w:t>
      </w:r>
      <w:r w:rsidR="006A4EA8">
        <w:t>c</w:t>
      </w:r>
      <w:r w:rsidRPr="002544E6">
        <w:t xml:space="preserve">limate </w:t>
      </w:r>
      <w:r w:rsidR="006A4EA8">
        <w:t>c</w:t>
      </w:r>
      <w:r w:rsidRPr="002544E6">
        <w:t>hange</w:t>
      </w:r>
      <w:bookmarkEnd w:id="1927"/>
    </w:p>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5103"/>
      </w:tblGrid>
      <w:tr w:rsidR="000C51C2" w:rsidRPr="008E14D2" w14:paraId="3D992B54" w14:textId="77777777" w:rsidTr="008D0DFB">
        <w:trPr>
          <w:cantSplit/>
          <w:tblHeader/>
        </w:trPr>
        <w:tc>
          <w:tcPr>
            <w:tcW w:w="4531" w:type="dxa"/>
            <w:tcBorders>
              <w:bottom w:val="single" w:sz="18" w:space="0" w:color="FFFFFF" w:themeColor="background1"/>
            </w:tcBorders>
            <w:shd w:val="clear" w:color="auto" w:fill="007D55"/>
          </w:tcPr>
          <w:p w14:paraId="29585CCC" w14:textId="3DD70D23" w:rsidR="000C51C2" w:rsidRPr="008E14D2" w:rsidRDefault="008E14D2" w:rsidP="00D93256">
            <w:pPr>
              <w:pStyle w:val="STPR2WhiteTableHeading"/>
            </w:pPr>
            <w:r w:rsidRPr="008E14D2">
              <w:t>STRATEGIC OPPORTUNITY</w:t>
            </w:r>
          </w:p>
        </w:tc>
        <w:tc>
          <w:tcPr>
            <w:tcW w:w="5103" w:type="dxa"/>
            <w:tcBorders>
              <w:bottom w:val="single" w:sz="18" w:space="0" w:color="FFFFFF" w:themeColor="background1"/>
            </w:tcBorders>
            <w:shd w:val="clear" w:color="auto" w:fill="007D55"/>
          </w:tcPr>
          <w:p w14:paraId="3DECB99A" w14:textId="6CC4D903" w:rsidR="000C51C2" w:rsidRPr="008E14D2" w:rsidRDefault="008E14D2" w:rsidP="00D93256">
            <w:pPr>
              <w:pStyle w:val="STPR2WhiteTableHeading"/>
            </w:pPr>
            <w:r w:rsidRPr="008E14D2">
              <w:t>STPR2 RESPONSE</w:t>
            </w:r>
          </w:p>
        </w:tc>
      </w:tr>
      <w:tr w:rsidR="000C51C2" w:rsidRPr="002544E6" w14:paraId="7CCFB704" w14:textId="77777777" w:rsidTr="008D0DFB">
        <w:trPr>
          <w:cantSplit/>
        </w:trPr>
        <w:tc>
          <w:tcPr>
            <w:tcW w:w="4531" w:type="dxa"/>
            <w:tcBorders>
              <w:top w:val="single" w:sz="18" w:space="0" w:color="FFFFFF" w:themeColor="background1"/>
            </w:tcBorders>
            <w:shd w:val="clear" w:color="auto" w:fill="DCEDC6"/>
          </w:tcPr>
          <w:p w14:paraId="381FFBF3" w14:textId="666704E8" w:rsidR="000C51C2" w:rsidRPr="00795C1F" w:rsidRDefault="0061616A" w:rsidP="00D93256">
            <w:pPr>
              <w:pStyle w:val="STPR2TableBody"/>
            </w:pPr>
            <w:r w:rsidRPr="00795C1F">
              <w:t>Technology – Electric vehicles and Mobility as a Service (MaaS), electric or low emission trains, more charging points, electric car sharing, digitisation</w:t>
            </w:r>
          </w:p>
        </w:tc>
        <w:tc>
          <w:tcPr>
            <w:tcW w:w="5103" w:type="dxa"/>
            <w:tcBorders>
              <w:top w:val="single" w:sz="18" w:space="0" w:color="FFFFFF" w:themeColor="background1"/>
            </w:tcBorders>
            <w:shd w:val="clear" w:color="auto" w:fill="DCEDC6"/>
          </w:tcPr>
          <w:p w14:paraId="5B883D96" w14:textId="337AD8D4" w:rsidR="002813A3" w:rsidRPr="00795C1F" w:rsidRDefault="00247799" w:rsidP="00D93256">
            <w:pPr>
              <w:pStyle w:val="STPR2TableBody"/>
            </w:pPr>
            <w:r w:rsidRPr="00795C1F">
              <w:t>Ma</w:t>
            </w:r>
            <w:r w:rsidR="001F5D58" w:rsidRPr="00795C1F">
              <w:t>aS is included a</w:t>
            </w:r>
            <w:r w:rsidR="002D03F8" w:rsidRPr="00795C1F">
              <w:t xml:space="preserve">s a </w:t>
            </w:r>
            <w:r w:rsidR="00BA610A">
              <w:t>G</w:t>
            </w:r>
            <w:r w:rsidR="002D03F8" w:rsidRPr="00795C1F">
              <w:t xml:space="preserve">rouping in the </w:t>
            </w:r>
            <w:r w:rsidR="00AF01B3" w:rsidRPr="00795C1F">
              <w:t>STPR2 final rec</w:t>
            </w:r>
            <w:r w:rsidR="00DF517C" w:rsidRPr="00795C1F">
              <w:t>ommendations</w:t>
            </w:r>
            <w:r w:rsidR="00A614DE" w:rsidRPr="00795C1F">
              <w:t xml:space="preserve"> </w:t>
            </w:r>
            <w:r w:rsidR="009D36DE">
              <w:t>(Recommenda</w:t>
            </w:r>
            <w:r w:rsidR="00605635" w:rsidRPr="00795C1F">
              <w:t xml:space="preserve">tion </w:t>
            </w:r>
            <w:r w:rsidR="001C5C80">
              <w:t>20</w:t>
            </w:r>
            <w:r w:rsidR="00605635" w:rsidRPr="00795C1F">
              <w:t xml:space="preserve">: </w:t>
            </w:r>
            <w:r w:rsidR="002717E3" w:rsidRPr="00795C1F">
              <w:t>Investment in Demand Responsive Transport and Maa</w:t>
            </w:r>
            <w:r w:rsidR="00CC52F6">
              <w:t>S</w:t>
            </w:r>
            <w:r w:rsidR="002717E3" w:rsidRPr="00795C1F">
              <w:t>)</w:t>
            </w:r>
            <w:r w:rsidR="00BF5FE0" w:rsidRPr="00795C1F">
              <w:t>.</w:t>
            </w:r>
          </w:p>
          <w:p w14:paraId="5BD2DCFC" w14:textId="31A806D1" w:rsidR="00183467" w:rsidRPr="00795C1F" w:rsidRDefault="003266E9" w:rsidP="00D93256">
            <w:pPr>
              <w:pStyle w:val="STPR2TableBody"/>
            </w:pPr>
            <w:r w:rsidRPr="00795C1F">
              <w:t xml:space="preserve">Decarbonisation of the </w:t>
            </w:r>
            <w:r w:rsidR="0082338F" w:rsidRPr="00795C1F">
              <w:t xml:space="preserve">rail </w:t>
            </w:r>
            <w:r w:rsidR="001E0394" w:rsidRPr="00795C1F">
              <w:t xml:space="preserve">and bus </w:t>
            </w:r>
            <w:r w:rsidR="0082338F" w:rsidRPr="00795C1F">
              <w:t>network</w:t>
            </w:r>
            <w:r w:rsidR="001E0394" w:rsidRPr="00795C1F">
              <w:t>s</w:t>
            </w:r>
            <w:r w:rsidR="005730F1" w:rsidRPr="00795C1F">
              <w:t xml:space="preserve"> </w:t>
            </w:r>
            <w:r w:rsidR="00C21D74" w:rsidRPr="00795C1F">
              <w:t>are</w:t>
            </w:r>
            <w:r w:rsidR="00DA2A50" w:rsidRPr="00795C1F">
              <w:t xml:space="preserve"> both</w:t>
            </w:r>
            <w:r w:rsidR="005730F1" w:rsidRPr="00795C1F">
              <w:t xml:space="preserve"> part of the final STPR2 </w:t>
            </w:r>
            <w:r w:rsidR="00A615F8" w:rsidRPr="00795C1F">
              <w:t>recommendations</w:t>
            </w:r>
            <w:r w:rsidR="005A14A0" w:rsidRPr="00795C1F">
              <w:t xml:space="preserve"> </w:t>
            </w:r>
            <w:r w:rsidR="00DA2A50" w:rsidRPr="00795C1F">
              <w:t>(</w:t>
            </w:r>
            <w:r w:rsidR="009D36DE" w:rsidRPr="009D36DE">
              <w:t>Recommendation</w:t>
            </w:r>
            <w:r w:rsidR="00DA2A50" w:rsidRPr="00795C1F">
              <w:t xml:space="preserve">s </w:t>
            </w:r>
            <w:r w:rsidR="00F70B90">
              <w:t>25</w:t>
            </w:r>
            <w:r w:rsidR="00F70B90" w:rsidRPr="00795C1F">
              <w:t xml:space="preserve"> </w:t>
            </w:r>
            <w:r w:rsidR="00117934" w:rsidRPr="00795C1F">
              <w:t>and</w:t>
            </w:r>
            <w:r w:rsidR="00397F74">
              <w:t> </w:t>
            </w:r>
            <w:r w:rsidR="00117934" w:rsidRPr="00795C1F">
              <w:t>2</w:t>
            </w:r>
            <w:r w:rsidR="00F70B90">
              <w:t>6</w:t>
            </w:r>
            <w:r w:rsidR="00117934" w:rsidRPr="00795C1F">
              <w:t>)</w:t>
            </w:r>
            <w:r w:rsidR="00EF2F03" w:rsidRPr="00795C1F">
              <w:t>.</w:t>
            </w:r>
          </w:p>
          <w:p w14:paraId="28F291CA" w14:textId="266EEB83" w:rsidR="00183467" w:rsidRPr="00795C1F" w:rsidRDefault="00C209B2" w:rsidP="00D93256">
            <w:pPr>
              <w:pStyle w:val="STPR2TableBody"/>
            </w:pPr>
            <w:r>
              <w:t>Recommendation 28</w:t>
            </w:r>
            <w:r w:rsidR="00DC274A" w:rsidRPr="00795C1F">
              <w:t xml:space="preserve"> is focused on</w:t>
            </w:r>
            <w:r w:rsidR="00C8269B" w:rsidRPr="00795C1F">
              <w:t xml:space="preserve"> providing a national framework for zero emission vehicles</w:t>
            </w:r>
            <w:r w:rsidR="00BE46DC" w:rsidRPr="00795C1F">
              <w:t>, to enable invest</w:t>
            </w:r>
            <w:r w:rsidR="00854B63" w:rsidRPr="00795C1F">
              <w:t>ment i</w:t>
            </w:r>
            <w:r w:rsidR="00093ADA" w:rsidRPr="00795C1F">
              <w:t>n</w:t>
            </w:r>
            <w:r w:rsidR="00854B63" w:rsidRPr="00795C1F">
              <w:t xml:space="preserve"> fleets, facilities and emerging technologies</w:t>
            </w:r>
            <w:r w:rsidR="00EF2F03" w:rsidRPr="00795C1F">
              <w:t>.</w:t>
            </w:r>
          </w:p>
        </w:tc>
      </w:tr>
      <w:tr w:rsidR="000C51C2" w:rsidRPr="002544E6" w14:paraId="00506D4F" w14:textId="77777777" w:rsidTr="008D0DFB">
        <w:trPr>
          <w:cantSplit/>
        </w:trPr>
        <w:tc>
          <w:tcPr>
            <w:tcW w:w="4531" w:type="dxa"/>
            <w:shd w:val="clear" w:color="auto" w:fill="DCEDC6"/>
          </w:tcPr>
          <w:p w14:paraId="30DA08A4" w14:textId="29DF404A" w:rsidR="000C51C2" w:rsidRPr="00795C1F" w:rsidRDefault="0061616A" w:rsidP="00D93256">
            <w:pPr>
              <w:pStyle w:val="STPR2TableBody"/>
            </w:pPr>
            <w:r w:rsidRPr="00795C1F">
              <w:t>Alternative fuels</w:t>
            </w:r>
          </w:p>
        </w:tc>
        <w:tc>
          <w:tcPr>
            <w:tcW w:w="5103" w:type="dxa"/>
            <w:shd w:val="clear" w:color="auto" w:fill="DCEDC6"/>
          </w:tcPr>
          <w:p w14:paraId="248AEA6F" w14:textId="29327424" w:rsidR="000C51C2" w:rsidRPr="00795C1F" w:rsidRDefault="003C1111" w:rsidP="00D93256">
            <w:pPr>
              <w:pStyle w:val="STPR2TableBody"/>
            </w:pPr>
            <w:r w:rsidRPr="00795C1F">
              <w:t xml:space="preserve">The objective of </w:t>
            </w:r>
            <w:r w:rsidR="007819DA" w:rsidRPr="007819DA">
              <w:t xml:space="preserve">Recommendation 28 </w:t>
            </w:r>
            <w:r w:rsidR="005E64B4" w:rsidRPr="00795C1F">
              <w:t xml:space="preserve">is </w:t>
            </w:r>
            <w:r w:rsidRPr="00795C1F">
              <w:t>to bring together key industries and sectors and work strategically with the private sector to facilitate the planning, management and delivery of the required alternative refuelling network and expansion/improvements to the charging network.</w:t>
            </w:r>
            <w:r w:rsidR="00DF6ACA">
              <w:t xml:space="preserve"> </w:t>
            </w:r>
          </w:p>
        </w:tc>
      </w:tr>
      <w:tr w:rsidR="000C51C2" w:rsidRPr="002544E6" w14:paraId="48DC132F" w14:textId="77777777" w:rsidTr="008D0DFB">
        <w:trPr>
          <w:cantSplit/>
        </w:trPr>
        <w:tc>
          <w:tcPr>
            <w:tcW w:w="4531" w:type="dxa"/>
            <w:shd w:val="clear" w:color="auto" w:fill="DCEDC6"/>
          </w:tcPr>
          <w:p w14:paraId="287E2008" w14:textId="1A588153" w:rsidR="000C51C2" w:rsidRPr="00795C1F" w:rsidRDefault="0061616A" w:rsidP="00D93256">
            <w:pPr>
              <w:pStyle w:val="STPR2TableBody"/>
            </w:pPr>
            <w:r w:rsidRPr="00795C1F">
              <w:t>More fuel-efficient ferries</w:t>
            </w:r>
          </w:p>
        </w:tc>
        <w:tc>
          <w:tcPr>
            <w:tcW w:w="5103" w:type="dxa"/>
            <w:shd w:val="clear" w:color="auto" w:fill="DCEDC6"/>
          </w:tcPr>
          <w:p w14:paraId="099F8C75" w14:textId="50093017" w:rsidR="000C51C2" w:rsidRPr="00795C1F" w:rsidRDefault="007C4CD0" w:rsidP="00D93256">
            <w:pPr>
              <w:pStyle w:val="STPR2TableBody"/>
            </w:pPr>
            <w:r>
              <w:t>Recommendat</w:t>
            </w:r>
            <w:r w:rsidR="007352C1">
              <w:t>ion 42</w:t>
            </w:r>
            <w:r w:rsidR="000516E1" w:rsidRPr="00795C1F">
              <w:t xml:space="preserve"> </w:t>
            </w:r>
            <w:r w:rsidR="00CF3A4C" w:rsidRPr="00795C1F">
              <w:t>(Investment in port infrastructure to support vessel renewal and replacement</w:t>
            </w:r>
            <w:r w:rsidR="007A16F1">
              <w:t>,</w:t>
            </w:r>
            <w:r w:rsidR="00CF3A4C" w:rsidRPr="00795C1F">
              <w:t xml:space="preserve"> and progressive decarbonisation) </w:t>
            </w:r>
            <w:r w:rsidR="00536C17" w:rsidRPr="00795C1F">
              <w:t>is focused on an i</w:t>
            </w:r>
            <w:r w:rsidR="00DF111A" w:rsidRPr="00795C1F">
              <w:t>nvestment programme in port infrastructure including power, to support vessel renewal and replacement and progressive decarbonisation of the Clyde and Hebrides Ferry Services (CHFS) and Northern Isles Ferry Services (NIFS) ferry networks by 2045.</w:t>
            </w:r>
          </w:p>
        </w:tc>
      </w:tr>
      <w:tr w:rsidR="0061616A" w:rsidRPr="002544E6" w14:paraId="6B8AF7AD" w14:textId="77777777" w:rsidTr="008D0DFB">
        <w:trPr>
          <w:cantSplit/>
        </w:trPr>
        <w:tc>
          <w:tcPr>
            <w:tcW w:w="4531" w:type="dxa"/>
            <w:shd w:val="clear" w:color="auto" w:fill="DCEDC6"/>
          </w:tcPr>
          <w:p w14:paraId="43C52720" w14:textId="104F040F" w:rsidR="0061616A" w:rsidRPr="00795C1F" w:rsidRDefault="0061616A" w:rsidP="00D93256">
            <w:pPr>
              <w:pStyle w:val="STPR2TableBody"/>
            </w:pPr>
            <w:r w:rsidRPr="00795C1F">
              <w:t>All new taxi licences to be electric</w:t>
            </w:r>
            <w:r w:rsidR="007171A6">
              <w:t> </w:t>
            </w:r>
            <w:r w:rsidRPr="00795C1F">
              <w:t>/</w:t>
            </w:r>
            <w:r w:rsidR="007171A6">
              <w:t> </w:t>
            </w:r>
            <w:r w:rsidRPr="00795C1F">
              <w:t>hybrid</w:t>
            </w:r>
          </w:p>
        </w:tc>
        <w:tc>
          <w:tcPr>
            <w:tcW w:w="5103" w:type="dxa"/>
            <w:shd w:val="clear" w:color="auto" w:fill="DCEDC6"/>
          </w:tcPr>
          <w:p w14:paraId="7D7AD003" w14:textId="3C031652" w:rsidR="0061616A" w:rsidRPr="00795C1F" w:rsidRDefault="00536C17" w:rsidP="00D93256">
            <w:pPr>
              <w:pStyle w:val="STPR2TableBody"/>
            </w:pPr>
            <w:r w:rsidRPr="00795C1F">
              <w:t>Not included in</w:t>
            </w:r>
            <w:r w:rsidR="004C405F">
              <w:t xml:space="preserve"> the</w:t>
            </w:r>
            <w:r w:rsidRPr="00795C1F">
              <w:t xml:space="preserve"> final STPR2 recommendations</w:t>
            </w:r>
            <w:r w:rsidR="00EF2F03" w:rsidRPr="00795C1F">
              <w:t>.</w:t>
            </w:r>
          </w:p>
        </w:tc>
      </w:tr>
      <w:tr w:rsidR="0061616A" w:rsidRPr="002544E6" w14:paraId="78D4E324" w14:textId="77777777" w:rsidTr="008D0DFB">
        <w:trPr>
          <w:cantSplit/>
        </w:trPr>
        <w:tc>
          <w:tcPr>
            <w:tcW w:w="4531" w:type="dxa"/>
            <w:shd w:val="clear" w:color="auto" w:fill="DCEDC6"/>
          </w:tcPr>
          <w:p w14:paraId="46163482" w14:textId="70F0D97D" w:rsidR="0061616A" w:rsidRPr="00795C1F" w:rsidRDefault="0061616A" w:rsidP="00D93256">
            <w:pPr>
              <w:pStyle w:val="STPR2TableBody"/>
            </w:pPr>
            <w:r w:rsidRPr="00795C1F">
              <w:t>Demand</w:t>
            </w:r>
            <w:r w:rsidR="00D55014">
              <w:t xml:space="preserve"> </w:t>
            </w:r>
            <w:r w:rsidRPr="00795C1F">
              <w:t>responsive transport</w:t>
            </w:r>
          </w:p>
        </w:tc>
        <w:tc>
          <w:tcPr>
            <w:tcW w:w="5103" w:type="dxa"/>
            <w:shd w:val="clear" w:color="auto" w:fill="DCEDC6"/>
          </w:tcPr>
          <w:p w14:paraId="5CE92FA0" w14:textId="0ADD1CB4" w:rsidR="0061616A" w:rsidRPr="00795C1F" w:rsidRDefault="00E269EF" w:rsidP="00D93256">
            <w:pPr>
              <w:pStyle w:val="STPR2TableBody"/>
            </w:pPr>
            <w:r w:rsidRPr="00795C1F">
              <w:t>Demand Responsive Transport is included in the STPR2 final recommendations (</w:t>
            </w:r>
            <w:r w:rsidR="00BC54E7">
              <w:t>Re</w:t>
            </w:r>
            <w:r w:rsidR="004A1B52">
              <w:t>commendation 20</w:t>
            </w:r>
            <w:r w:rsidRPr="00795C1F">
              <w:t>: Investment in Demand Responsive Transport and Maas)</w:t>
            </w:r>
            <w:r w:rsidR="00EF2F03" w:rsidRPr="00795C1F">
              <w:t>.</w:t>
            </w:r>
          </w:p>
        </w:tc>
      </w:tr>
      <w:tr w:rsidR="0061616A" w:rsidRPr="002544E6" w14:paraId="5DE227A5" w14:textId="77777777" w:rsidTr="008D0DFB">
        <w:trPr>
          <w:cantSplit/>
        </w:trPr>
        <w:tc>
          <w:tcPr>
            <w:tcW w:w="4531" w:type="dxa"/>
            <w:shd w:val="clear" w:color="auto" w:fill="DCEDC6"/>
          </w:tcPr>
          <w:p w14:paraId="502A9BF4" w14:textId="26357645" w:rsidR="0061616A" w:rsidRPr="00795C1F" w:rsidRDefault="0061616A" w:rsidP="00D93256">
            <w:pPr>
              <w:pStyle w:val="STPR2TableBody"/>
            </w:pPr>
            <w:r w:rsidRPr="00BA49E9">
              <w:t>Opportunity to make climate change targets ‘real’ at a local level – calculate mode shift required in each area and corridor.</w:t>
            </w:r>
          </w:p>
        </w:tc>
        <w:tc>
          <w:tcPr>
            <w:tcW w:w="5103" w:type="dxa"/>
            <w:shd w:val="clear" w:color="auto" w:fill="DCEDC6"/>
          </w:tcPr>
          <w:p w14:paraId="0DADC16D" w14:textId="5678BAC5" w:rsidR="0061616A" w:rsidRPr="00795C1F" w:rsidRDefault="00BA49E9" w:rsidP="00D93256">
            <w:pPr>
              <w:pStyle w:val="STPR2TableBody"/>
            </w:pPr>
            <w:r>
              <w:t>Car</w:t>
            </w:r>
            <w:r w:rsidR="00A82707">
              <w:t xml:space="preserve">bon calculations for different transport modes </w:t>
            </w:r>
            <w:r w:rsidR="006C79BB">
              <w:t>are</w:t>
            </w:r>
            <w:r w:rsidR="000B7782">
              <w:t xml:space="preserve"> included in th</w:t>
            </w:r>
            <w:r w:rsidR="003640F4">
              <w:t>is</w:t>
            </w:r>
            <w:r w:rsidR="000B7782">
              <w:t xml:space="preserve"> </w:t>
            </w:r>
            <w:r w:rsidR="009D0716">
              <w:t>final (post-consultation) version of t</w:t>
            </w:r>
            <w:r w:rsidR="003640F4">
              <w:t>he</w:t>
            </w:r>
            <w:r w:rsidR="009D0716">
              <w:t xml:space="preserve"> Environmental Report and </w:t>
            </w:r>
            <w:r w:rsidR="006C79BB">
              <w:t>are</w:t>
            </w:r>
            <w:r w:rsidR="009D0716">
              <w:t xml:space="preserve"> taken into account in the monitoring framework to be included in the SEA Post Adoption Statement.</w:t>
            </w:r>
          </w:p>
        </w:tc>
      </w:tr>
      <w:tr w:rsidR="0061616A" w:rsidRPr="002544E6" w14:paraId="7FFCA5A0" w14:textId="77777777" w:rsidTr="008D0DFB">
        <w:trPr>
          <w:cantSplit/>
        </w:trPr>
        <w:tc>
          <w:tcPr>
            <w:tcW w:w="4531" w:type="dxa"/>
            <w:shd w:val="clear" w:color="auto" w:fill="DCEDC6"/>
          </w:tcPr>
          <w:p w14:paraId="6442663A" w14:textId="7037F480" w:rsidR="0061616A" w:rsidRPr="007171A6" w:rsidRDefault="0061616A" w:rsidP="00D93256">
            <w:pPr>
              <w:pStyle w:val="STPR2TableBody"/>
            </w:pPr>
            <w:r w:rsidRPr="007171A6">
              <w:lastRenderedPageBreak/>
              <w:t xml:space="preserve">More investment in public transport </w:t>
            </w:r>
            <w:r w:rsidR="003A13C5">
              <w:t>and</w:t>
            </w:r>
            <w:r w:rsidRPr="007171A6">
              <w:t xml:space="preserve"> active travel, incentivise employers to promote behaviour</w:t>
            </w:r>
            <w:r w:rsidR="004726B7">
              <w:t>al</w:t>
            </w:r>
            <w:r w:rsidRPr="007171A6">
              <w:t xml:space="preserve"> changes</w:t>
            </w:r>
          </w:p>
        </w:tc>
        <w:tc>
          <w:tcPr>
            <w:tcW w:w="5103" w:type="dxa"/>
            <w:shd w:val="clear" w:color="auto" w:fill="DCEDC6"/>
          </w:tcPr>
          <w:p w14:paraId="3ECCC047" w14:textId="53B565E4" w:rsidR="0026285D" w:rsidRPr="007171A6" w:rsidRDefault="00687101" w:rsidP="00D93256">
            <w:pPr>
              <w:pStyle w:val="STPR2TableBody"/>
            </w:pPr>
            <w:r w:rsidRPr="007171A6">
              <w:t xml:space="preserve">The </w:t>
            </w:r>
            <w:r w:rsidR="009A6782" w:rsidRPr="007171A6">
              <w:t>STPR2</w:t>
            </w:r>
            <w:r w:rsidRPr="007171A6">
              <w:t xml:space="preserve"> Final </w:t>
            </w:r>
            <w:r w:rsidR="00FC5831">
              <w:t xml:space="preserve">Technical </w:t>
            </w:r>
            <w:r w:rsidRPr="007171A6">
              <w:t xml:space="preserve">Report </w:t>
            </w:r>
            <w:r w:rsidR="001D1310" w:rsidRPr="007171A6">
              <w:t>(</w:t>
            </w:r>
            <w:r w:rsidRPr="007171A6">
              <w:t xml:space="preserve">Jacobs </w:t>
            </w:r>
            <w:r w:rsidR="007F59CB">
              <w:t>AECOM</w:t>
            </w:r>
            <w:r w:rsidR="001D1310" w:rsidRPr="007171A6">
              <w:t xml:space="preserve">, </w:t>
            </w:r>
            <w:r w:rsidRPr="007171A6">
              <w:t>202</w:t>
            </w:r>
            <w:r w:rsidR="006C49E2" w:rsidRPr="007171A6">
              <w:t>2</w:t>
            </w:r>
            <w:r w:rsidR="00D90D04">
              <w:t>f</w:t>
            </w:r>
            <w:r w:rsidRPr="007171A6">
              <w:t>)</w:t>
            </w:r>
            <w:r w:rsidR="003544EB" w:rsidRPr="007171A6">
              <w:t xml:space="preserve"> include</w:t>
            </w:r>
            <w:r w:rsidR="009A6782" w:rsidRPr="007171A6">
              <w:t>s</w:t>
            </w:r>
            <w:r w:rsidR="003544EB" w:rsidRPr="007171A6">
              <w:t xml:space="preserve"> </w:t>
            </w:r>
            <w:r w:rsidR="000D5E66" w:rsidRPr="007171A6">
              <w:t xml:space="preserve">various </w:t>
            </w:r>
            <w:r w:rsidR="00BA3F6E" w:rsidRPr="007171A6">
              <w:t>recomm</w:t>
            </w:r>
            <w:r w:rsidR="005F1214" w:rsidRPr="007171A6">
              <w:t>endations</w:t>
            </w:r>
            <w:r w:rsidR="000D5E66" w:rsidRPr="007171A6">
              <w:t xml:space="preserve"> that</w:t>
            </w:r>
            <w:r w:rsidR="009A6782" w:rsidRPr="007171A6">
              <w:t xml:space="preserve"> will promote increased use of public transport and active travel. </w:t>
            </w:r>
            <w:r w:rsidR="006E2859" w:rsidRPr="007171A6">
              <w:t>These include</w:t>
            </w:r>
            <w:r w:rsidR="00B257DA" w:rsidRPr="007171A6">
              <w:t xml:space="preserve"> </w:t>
            </w:r>
            <w:r w:rsidR="00A5223C" w:rsidRPr="007171A6">
              <w:t>interventions</w:t>
            </w:r>
            <w:r w:rsidR="00B257DA" w:rsidRPr="007171A6">
              <w:t xml:space="preserve"> focused on</w:t>
            </w:r>
            <w:r w:rsidR="0026285D" w:rsidRPr="007171A6">
              <w:t>:</w:t>
            </w:r>
          </w:p>
          <w:p w14:paraId="324492C8" w14:textId="70EBEA74" w:rsidR="00133B7C" w:rsidRDefault="00E467AD" w:rsidP="00D93256">
            <w:pPr>
              <w:pStyle w:val="STPR2TableBullets"/>
            </w:pPr>
            <w:r>
              <w:t>Improving active travel infrastructure</w:t>
            </w:r>
          </w:p>
          <w:p w14:paraId="25CCE6A6" w14:textId="77777777" w:rsidR="00E467AD" w:rsidRDefault="007E1A6D" w:rsidP="00D93256">
            <w:pPr>
              <w:pStyle w:val="STPR2TableBullets"/>
            </w:pPr>
            <w:r>
              <w:t>Enhancing access to affordable public transport</w:t>
            </w:r>
          </w:p>
          <w:p w14:paraId="6E20E3F3" w14:textId="5FA2D724" w:rsidR="007E1A6D" w:rsidRDefault="007E1A6D" w:rsidP="00D93256">
            <w:pPr>
              <w:pStyle w:val="STPR2TableBullets"/>
            </w:pPr>
            <w:r>
              <w:t>Increasing safety</w:t>
            </w:r>
            <w:r w:rsidR="00B95987">
              <w:t xml:space="preserve"> and re</w:t>
            </w:r>
            <w:r w:rsidR="00BD6115">
              <w:t>silience</w:t>
            </w:r>
            <w:r w:rsidR="00B95987">
              <w:t xml:space="preserve"> on the strategic transport network</w:t>
            </w:r>
          </w:p>
          <w:p w14:paraId="6258B3F5" w14:textId="0524714C" w:rsidR="008E658F" w:rsidRPr="007171A6" w:rsidRDefault="003E765A" w:rsidP="00D93256">
            <w:pPr>
              <w:pStyle w:val="STPR2TableBullets"/>
            </w:pPr>
            <w:r>
              <w:t>Strengthening</w:t>
            </w:r>
            <w:r w:rsidR="008E658F">
              <w:t xml:space="preserve"> strategic connections</w:t>
            </w:r>
          </w:p>
        </w:tc>
      </w:tr>
      <w:tr w:rsidR="0061616A" w:rsidRPr="002544E6" w14:paraId="11F60018" w14:textId="77777777" w:rsidTr="008D0DFB">
        <w:trPr>
          <w:cantSplit/>
        </w:trPr>
        <w:tc>
          <w:tcPr>
            <w:tcW w:w="4531" w:type="dxa"/>
            <w:shd w:val="clear" w:color="auto" w:fill="DCEDC6"/>
          </w:tcPr>
          <w:p w14:paraId="0E625B40" w14:textId="61FAF88D" w:rsidR="0061616A" w:rsidRPr="007171A6" w:rsidRDefault="0061616A" w:rsidP="00D93256">
            <w:pPr>
              <w:pStyle w:val="STPR2TableBody"/>
            </w:pPr>
            <w:r w:rsidRPr="007171A6">
              <w:t>Spatial planning - Need higher density and well-located developments to reduce the need to travel by car</w:t>
            </w:r>
          </w:p>
        </w:tc>
        <w:tc>
          <w:tcPr>
            <w:tcW w:w="5103" w:type="dxa"/>
            <w:shd w:val="clear" w:color="auto" w:fill="DCEDC6"/>
          </w:tcPr>
          <w:p w14:paraId="6E536FD4" w14:textId="78831113" w:rsidR="0061616A" w:rsidRPr="007171A6" w:rsidRDefault="007315B8" w:rsidP="00D93256">
            <w:pPr>
              <w:pStyle w:val="STPR2TableBody"/>
            </w:pPr>
            <w:r>
              <w:t xml:space="preserve">The </w:t>
            </w:r>
            <w:r w:rsidR="007F0C6D" w:rsidRPr="007171A6">
              <w:t xml:space="preserve">STPR2 and </w:t>
            </w:r>
            <w:r w:rsidR="00EB1556">
              <w:t>the Revised Draft</w:t>
            </w:r>
            <w:r w:rsidR="007F0C6D" w:rsidRPr="007171A6">
              <w:t xml:space="preserve"> NPF4 have been developed over a similar timeline and close collaboration between the two teams, both for the respective plans and their associated impact assessments. </w:t>
            </w:r>
            <w:r w:rsidR="00720EEB" w:rsidRPr="007171A6">
              <w:t>A k</w:t>
            </w:r>
            <w:r w:rsidR="00C26117" w:rsidRPr="007171A6">
              <w:t xml:space="preserve">ey concept </w:t>
            </w:r>
            <w:r w:rsidR="00517874" w:rsidRPr="007171A6">
              <w:t xml:space="preserve">that </w:t>
            </w:r>
            <w:r w:rsidR="00720EEB" w:rsidRPr="007171A6">
              <w:t>is</w:t>
            </w:r>
            <w:r w:rsidR="00517874" w:rsidRPr="007171A6">
              <w:t xml:space="preserve"> included in </w:t>
            </w:r>
            <w:r w:rsidR="006C58B4">
              <w:t>the Revised Draft</w:t>
            </w:r>
            <w:r w:rsidR="006C58B4" w:rsidRPr="007171A6">
              <w:t xml:space="preserve"> </w:t>
            </w:r>
            <w:r w:rsidR="00517874" w:rsidRPr="007171A6">
              <w:t xml:space="preserve">NPF4 </w:t>
            </w:r>
            <w:r w:rsidR="00720EEB" w:rsidRPr="007171A6">
              <w:t>and</w:t>
            </w:r>
            <w:r w:rsidR="005B315A" w:rsidRPr="007171A6">
              <w:t xml:space="preserve"> </w:t>
            </w:r>
            <w:r>
              <w:t xml:space="preserve">the </w:t>
            </w:r>
            <w:r w:rsidR="005B315A" w:rsidRPr="007171A6">
              <w:t xml:space="preserve">STPR2 </w:t>
            </w:r>
            <w:r w:rsidR="00720EEB" w:rsidRPr="007171A6">
              <w:t>is 20-minute neighbourhoods.</w:t>
            </w:r>
            <w:r w:rsidR="0086255E" w:rsidRPr="007171A6">
              <w:t xml:space="preserve"> This is included in </w:t>
            </w:r>
            <w:r>
              <w:t xml:space="preserve">the </w:t>
            </w:r>
            <w:r w:rsidR="0086255E" w:rsidRPr="007171A6">
              <w:t xml:space="preserve">STPR2 as </w:t>
            </w:r>
            <w:r w:rsidR="00211030" w:rsidRPr="007171A6">
              <w:t xml:space="preserve">part of </w:t>
            </w:r>
            <w:r w:rsidR="00246E9D" w:rsidRPr="00246E9D">
              <w:t>Recommendation</w:t>
            </w:r>
            <w:r w:rsidR="00246E9D">
              <w:t xml:space="preserve"> 1</w:t>
            </w:r>
            <w:r w:rsidR="00246E9D" w:rsidRPr="00246E9D" w:rsidDel="00246E9D">
              <w:t xml:space="preserve"> </w:t>
            </w:r>
            <w:r w:rsidR="0086255E" w:rsidRPr="007171A6">
              <w:t xml:space="preserve">(Connected Neighbourhoods). </w:t>
            </w:r>
            <w:r w:rsidR="00342238" w:rsidRPr="007171A6">
              <w:t>Connected Neighbourhoods would provide high quality streetscapes in town and/or suburban district centres, along with high quality active travel routes to connect nearby (typically within around 800m) residential areas to those</w:t>
            </w:r>
            <w:r w:rsidR="007171A6">
              <w:t> </w:t>
            </w:r>
            <w:r w:rsidR="00342238" w:rsidRPr="007171A6">
              <w:t>centres.</w:t>
            </w:r>
          </w:p>
        </w:tc>
      </w:tr>
    </w:tbl>
    <w:p w14:paraId="796235EB" w14:textId="77777777" w:rsidR="00760831" w:rsidRDefault="00760831">
      <w:pPr>
        <w:rPr>
          <w:rFonts w:ascii="Arial" w:hAnsi="Arial" w:cs="Arial"/>
          <w:b/>
          <w:bCs/>
          <w:i/>
          <w:color w:val="626266"/>
          <w:sz w:val="24"/>
          <w:szCs w:val="20"/>
        </w:rPr>
      </w:pPr>
      <w:r>
        <w:br w:type="page"/>
      </w:r>
    </w:p>
    <w:p w14:paraId="709108C9" w14:textId="675C2DEF" w:rsidR="00C71F42" w:rsidRPr="00795C1F" w:rsidRDefault="008F36B3" w:rsidP="008E14D2">
      <w:pPr>
        <w:pStyle w:val="Heading3"/>
      </w:pPr>
      <w:bookmarkStart w:id="1928" w:name="_Toc121339162"/>
      <w:r w:rsidRPr="00795C1F">
        <w:lastRenderedPageBreak/>
        <w:t xml:space="preserve">Early </w:t>
      </w:r>
      <w:r w:rsidR="00C71F42" w:rsidRPr="00795C1F">
        <w:t>Planning</w:t>
      </w:r>
      <w:r w:rsidR="005453B7" w:rsidRPr="00795C1F">
        <w:t xml:space="preserve"> to </w:t>
      </w:r>
      <w:r w:rsidRPr="00795C1F">
        <w:t>A</w:t>
      </w:r>
      <w:r w:rsidR="005453B7" w:rsidRPr="00795C1F">
        <w:t>v</w:t>
      </w:r>
      <w:r w:rsidRPr="00795C1F">
        <w:t>oid or Reduce Greenhouse Gas Emissions</w:t>
      </w:r>
      <w:bookmarkEnd w:id="1928"/>
    </w:p>
    <w:p w14:paraId="55C9EFB1" w14:textId="2A4F5FED" w:rsidR="008F36B3" w:rsidRPr="008F36B3" w:rsidRDefault="003772FC" w:rsidP="00D93256">
      <w:pPr>
        <w:pStyle w:val="STPR2BodyText"/>
      </w:pPr>
      <w:r>
        <w:t>Planning to avoid or reduce greenhouse gas emissions</w:t>
      </w:r>
      <w:r w:rsidR="006B3E02">
        <w:t xml:space="preserve"> at this strategic planning stage is essential for improving the carbon outcomes of the STPR2 </w:t>
      </w:r>
      <w:r w:rsidR="00246E9D">
        <w:t>recommenda</w:t>
      </w:r>
      <w:r w:rsidR="006B3E02">
        <w:t>tions.</w:t>
      </w:r>
      <w:r w:rsidR="00A403A0">
        <w:t xml:space="preserve"> </w:t>
      </w:r>
      <w:r w:rsidR="001503E1">
        <w:fldChar w:fldCharType="begin"/>
      </w:r>
      <w:r w:rsidR="001503E1">
        <w:instrText xml:space="preserve"> REF _Ref92887900 \h </w:instrText>
      </w:r>
      <w:r w:rsidR="001503E1">
        <w:fldChar w:fldCharType="separate"/>
      </w:r>
      <w:r w:rsidR="00C22A9E">
        <w:t xml:space="preserve">Figure </w:t>
      </w:r>
      <w:r w:rsidR="00C22A9E">
        <w:rPr>
          <w:noProof/>
        </w:rPr>
        <w:t>6</w:t>
      </w:r>
      <w:r w:rsidR="001503E1">
        <w:fldChar w:fldCharType="end"/>
      </w:r>
      <w:r w:rsidR="00FB1C09">
        <w:t xml:space="preserve"> </w:t>
      </w:r>
      <w:r w:rsidR="00A403A0">
        <w:t>shows</w:t>
      </w:r>
      <w:r w:rsidR="0032777B">
        <w:t xml:space="preserve"> the </w:t>
      </w:r>
      <w:r w:rsidR="00EC4D2E">
        <w:t xml:space="preserve">general </w:t>
      </w:r>
      <w:r w:rsidR="000C10DE">
        <w:t>opportunities to avoid or reduce carbon through project</w:t>
      </w:r>
      <w:r w:rsidR="001503E1">
        <w:t> </w:t>
      </w:r>
      <w:r w:rsidR="000C10DE">
        <w:t xml:space="preserve">planning. </w:t>
      </w:r>
    </w:p>
    <w:p w14:paraId="6D5CEAF0" w14:textId="77777777" w:rsidR="001503E1" w:rsidRDefault="00A27D0F" w:rsidP="00D93256">
      <w:pPr>
        <w:pStyle w:val="STPR2BodyText"/>
      </w:pPr>
      <w:r>
        <w:rPr>
          <w:noProof/>
        </w:rPr>
        <w:drawing>
          <wp:inline distT="0" distB="0" distL="0" distR="0" wp14:anchorId="2454266D" wp14:editId="7F4D7B39">
            <wp:extent cx="6120130" cy="4307840"/>
            <wp:effectExtent l="0" t="0" r="0" b="0"/>
            <wp:docPr id="7" name="Picture 7" descr="Diagram that describes Carbon Reduction Curve during a project's lifecycle. It shows that building nothing results in a 100% carbon saving (planning stage), build less results in an 80% carbon reduction (design stage), build clever results in a 50% carbon saving (design stage)and build efficiently results in a 20% carbon saving (construction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hat describes Carbon Reduction Curve during a project's lifecycle. It shows that building nothing results in a 100% carbon saving (planning stage), build less results in an 80% carbon reduction (design stage), build clever results in a 50% carbon saving (design stage)and build efficiently results in a 20% carbon saving (construction stage). "/>
                    <pic:cNvPicPr/>
                  </pic:nvPicPr>
                  <pic:blipFill>
                    <a:blip r:embed="rId48"/>
                    <a:stretch>
                      <a:fillRect/>
                    </a:stretch>
                  </pic:blipFill>
                  <pic:spPr>
                    <a:xfrm>
                      <a:off x="0" y="0"/>
                      <a:ext cx="6120130" cy="4307840"/>
                    </a:xfrm>
                    <a:prstGeom prst="rect">
                      <a:avLst/>
                    </a:prstGeom>
                  </pic:spPr>
                </pic:pic>
              </a:graphicData>
            </a:graphic>
          </wp:inline>
        </w:drawing>
      </w:r>
    </w:p>
    <w:p w14:paraId="442BEA6B" w14:textId="39EB6788" w:rsidR="00FB1C09" w:rsidRDefault="001503E1" w:rsidP="00D93256">
      <w:pPr>
        <w:pStyle w:val="STPR2CaptionFigures"/>
      </w:pPr>
      <w:bookmarkStart w:id="1929" w:name="_Ref92887900"/>
      <w:bookmarkStart w:id="1930" w:name="_Toc121231970"/>
      <w:r>
        <w:t xml:space="preserve">Figure </w:t>
      </w:r>
      <w:r>
        <w:fldChar w:fldCharType="begin"/>
      </w:r>
      <w:r>
        <w:instrText>SEQ Figure \* ARABIC</w:instrText>
      </w:r>
      <w:r>
        <w:fldChar w:fldCharType="separate"/>
      </w:r>
      <w:r w:rsidR="00C22A9E">
        <w:rPr>
          <w:noProof/>
        </w:rPr>
        <w:t>6</w:t>
      </w:r>
      <w:r>
        <w:fldChar w:fldCharType="end"/>
      </w:r>
      <w:bookmarkEnd w:id="1929"/>
      <w:r>
        <w:t xml:space="preserve">: </w:t>
      </w:r>
      <w:r w:rsidRPr="008D035B">
        <w:t xml:space="preserve">Carbon Reduction Curve </w:t>
      </w:r>
      <w:r w:rsidRPr="00ED2902">
        <w:t>(</w:t>
      </w:r>
      <w:r w:rsidR="00B664A8" w:rsidRPr="00ED2902">
        <w:t xml:space="preserve">The </w:t>
      </w:r>
      <w:r w:rsidRPr="00ED2902">
        <w:t>Fifth Estate, 2020)</w:t>
      </w:r>
      <w:bookmarkEnd w:id="1930"/>
    </w:p>
    <w:p w14:paraId="5044099F" w14:textId="368D0BB9" w:rsidR="00132726" w:rsidRPr="00795C1F" w:rsidRDefault="007628B4" w:rsidP="00D93256">
      <w:pPr>
        <w:pStyle w:val="STPR2BodyText"/>
      </w:pPr>
      <w:r w:rsidRPr="00795C1F">
        <w:t xml:space="preserve">The opportunities </w:t>
      </w:r>
      <w:r w:rsidR="00DF1ADC" w:rsidRPr="00795C1F">
        <w:t xml:space="preserve">associated with </w:t>
      </w:r>
      <w:r w:rsidR="00054C0D" w:rsidRPr="00795C1F">
        <w:t>early planning for carbon re</w:t>
      </w:r>
      <w:r w:rsidR="00912FA7" w:rsidRPr="00795C1F">
        <w:t>duction</w:t>
      </w:r>
      <w:r w:rsidR="00132726" w:rsidRPr="00795C1F">
        <w:t xml:space="preserve"> include the following:</w:t>
      </w:r>
    </w:p>
    <w:p w14:paraId="532A46CF" w14:textId="364E7CD0" w:rsidR="00244DB1" w:rsidRPr="00584B86" w:rsidRDefault="00132726" w:rsidP="00D93256">
      <w:pPr>
        <w:pStyle w:val="STPR2BulletsLevel1"/>
      </w:pPr>
      <w:r w:rsidRPr="00584B86">
        <w:t xml:space="preserve">Challenge the root cause of the need for </w:t>
      </w:r>
      <w:r w:rsidR="00E22E66" w:rsidRPr="00584B86">
        <w:t xml:space="preserve">a new </w:t>
      </w:r>
      <w:r w:rsidR="000F6E95" w:rsidRPr="00584B86">
        <w:t xml:space="preserve">transport </w:t>
      </w:r>
      <w:r w:rsidR="00E22E66" w:rsidRPr="00584B86">
        <w:t>asset – explore alternative (no build) solutions to deliver objectives</w:t>
      </w:r>
      <w:r w:rsidR="000F6E95" w:rsidRPr="00584B86">
        <w:t>;</w:t>
      </w:r>
    </w:p>
    <w:p w14:paraId="29132CB0" w14:textId="7CD8C148" w:rsidR="00912FA7" w:rsidRPr="00584B86" w:rsidRDefault="00912FA7" w:rsidP="00D93256">
      <w:pPr>
        <w:pStyle w:val="STPR2BulletsLevel1"/>
      </w:pPr>
      <w:r w:rsidRPr="00584B86">
        <w:t>Hold carbon opportunities workshops</w:t>
      </w:r>
      <w:r w:rsidR="004C568E" w:rsidRPr="00584B86">
        <w:t xml:space="preserve"> from the earliest planning stage onwards;</w:t>
      </w:r>
    </w:p>
    <w:p w14:paraId="65AA1E35" w14:textId="77777777" w:rsidR="0085094B" w:rsidRPr="00584B86" w:rsidRDefault="0085094B" w:rsidP="00D93256">
      <w:pPr>
        <w:pStyle w:val="STPR2BulletsLevel1"/>
      </w:pPr>
      <w:r w:rsidRPr="00584B86">
        <w:t>Identify strategic carbon reduction opportunities across Scotland and in each of the 11 STPR2 regions;</w:t>
      </w:r>
    </w:p>
    <w:p w14:paraId="3610B2BB" w14:textId="69869968" w:rsidR="00E92402" w:rsidRPr="00584B86" w:rsidRDefault="00E92402" w:rsidP="00D93256">
      <w:pPr>
        <w:pStyle w:val="STPR2BulletsLevel1"/>
      </w:pPr>
      <w:r w:rsidRPr="00584B86">
        <w:t>C</w:t>
      </w:r>
      <w:r w:rsidR="002330EA" w:rsidRPr="00584B86">
        <w:t xml:space="preserve">lose collaboration with </w:t>
      </w:r>
      <w:r w:rsidR="00BB39F1" w:rsidRPr="00BB39F1">
        <w:t xml:space="preserve">the </w:t>
      </w:r>
      <w:r w:rsidR="002330EA" w:rsidRPr="00584B86">
        <w:t xml:space="preserve">NPF4 </w:t>
      </w:r>
      <w:r w:rsidR="00533A71" w:rsidRPr="00584B86">
        <w:t xml:space="preserve">team and local authority planners to ensure travel demand </w:t>
      </w:r>
      <w:r w:rsidR="00120489" w:rsidRPr="00584B86">
        <w:t xml:space="preserve">and </w:t>
      </w:r>
      <w:r w:rsidR="00F719D7" w:rsidRPr="00584B86">
        <w:t>trip lengths</w:t>
      </w:r>
      <w:r w:rsidR="00120489" w:rsidRPr="00584B86">
        <w:t xml:space="preserve"> are</w:t>
      </w:r>
      <w:r w:rsidR="00533A71" w:rsidRPr="00584B86">
        <w:t xml:space="preserve"> reduced</w:t>
      </w:r>
      <w:r w:rsidR="00984D7E" w:rsidRPr="00584B86">
        <w:t>;</w:t>
      </w:r>
    </w:p>
    <w:p w14:paraId="7E0C0DE8" w14:textId="7BD55473" w:rsidR="002D0A61" w:rsidRPr="00584B86" w:rsidRDefault="002D0A61" w:rsidP="00D93256">
      <w:pPr>
        <w:pStyle w:val="STPR2BulletsLevel1"/>
      </w:pPr>
      <w:r w:rsidRPr="00584B86">
        <w:t xml:space="preserve">Consider the </w:t>
      </w:r>
      <w:r w:rsidR="001D15DF" w:rsidRPr="00584B86">
        <w:t xml:space="preserve">potential for </w:t>
      </w:r>
      <w:r w:rsidR="009B188A" w:rsidRPr="00584B86">
        <w:t>wider use of behavioural change</w:t>
      </w:r>
      <w:r w:rsidR="0040735D" w:rsidRPr="00584B86">
        <w:t xml:space="preserve"> and other policy</w:t>
      </w:r>
      <w:r w:rsidR="009B188A" w:rsidRPr="00584B86">
        <w:t xml:space="preserve"> solut</w:t>
      </w:r>
      <w:r w:rsidR="00FE1153" w:rsidRPr="00584B86">
        <w:t>ions</w:t>
      </w:r>
      <w:r w:rsidR="0040735D" w:rsidRPr="00584B86">
        <w:t xml:space="preserve"> and funding</w:t>
      </w:r>
      <w:r w:rsidR="00FE1153" w:rsidRPr="00584B86">
        <w:t xml:space="preserve"> in</w:t>
      </w:r>
      <w:r w:rsidR="0040735D" w:rsidRPr="00584B86">
        <w:t>stead</w:t>
      </w:r>
      <w:r w:rsidR="00FE1153" w:rsidRPr="00584B86">
        <w:t xml:space="preserve"> of </w:t>
      </w:r>
      <w:r w:rsidR="0040735D" w:rsidRPr="00584B86">
        <w:t xml:space="preserve">providing </w:t>
      </w:r>
      <w:r w:rsidR="00FE1153" w:rsidRPr="00584B86">
        <w:t>new infrastructure</w:t>
      </w:r>
      <w:r w:rsidR="007D1FF6" w:rsidRPr="00584B86">
        <w:t xml:space="preserve">, </w:t>
      </w:r>
      <w:r w:rsidR="00167789">
        <w:t>for example,</w:t>
      </w:r>
      <w:r w:rsidR="007D1FF6" w:rsidRPr="00584B86">
        <w:t xml:space="preserve"> </w:t>
      </w:r>
      <w:r w:rsidR="00AD57B2" w:rsidRPr="00584B86">
        <w:t xml:space="preserve">the </w:t>
      </w:r>
      <w:r w:rsidR="007D1FF6" w:rsidRPr="00584B86">
        <w:t>commitment to reduce car kilometres by 20</w:t>
      </w:r>
      <w:r w:rsidR="000D14E6">
        <w:t xml:space="preserve"> per cent</w:t>
      </w:r>
      <w:r w:rsidR="007D1FF6" w:rsidRPr="00584B86">
        <w:t xml:space="preserve"> by 2030</w:t>
      </w:r>
      <w:r w:rsidR="00FE1153" w:rsidRPr="00584B86">
        <w:t>;</w:t>
      </w:r>
    </w:p>
    <w:p w14:paraId="3B2807DD" w14:textId="3AB78F23" w:rsidR="00E22E66" w:rsidRPr="00584B86" w:rsidRDefault="000F6E95" w:rsidP="00D93256">
      <w:pPr>
        <w:pStyle w:val="STPR2BulletsLevel1"/>
      </w:pPr>
      <w:r w:rsidRPr="00584B86">
        <w:t>Re-use and refurbish transport assets, extending their life rather than replacing them;</w:t>
      </w:r>
    </w:p>
    <w:p w14:paraId="2EFB0D47" w14:textId="1E8042E7" w:rsidR="00674A4D" w:rsidRPr="00584B86" w:rsidRDefault="00674A4D" w:rsidP="00D93256">
      <w:pPr>
        <w:pStyle w:val="STPR2BulletsLevel1"/>
      </w:pPr>
      <w:r w:rsidRPr="00584B86">
        <w:t>Support</w:t>
      </w:r>
      <w:r w:rsidR="006F4CA6" w:rsidRPr="00584B86">
        <w:t xml:space="preserve"> modal shift to active travel and public transport;</w:t>
      </w:r>
    </w:p>
    <w:p w14:paraId="02E9972D" w14:textId="6E7DD987" w:rsidR="007A166F" w:rsidRPr="00584B86" w:rsidRDefault="0064693D" w:rsidP="00D93256">
      <w:pPr>
        <w:pStyle w:val="STPR2BulletsLevel1"/>
      </w:pPr>
      <w:r w:rsidRPr="00584B86">
        <w:t>Future-proof transport infrastructure to allow the introduction or wider roll</w:t>
      </w:r>
      <w:r w:rsidR="001355FA" w:rsidRPr="00584B86">
        <w:t>-</w:t>
      </w:r>
      <w:r w:rsidRPr="00584B86">
        <w:t xml:space="preserve">out of emerging </w:t>
      </w:r>
      <w:r w:rsidR="001355FA" w:rsidRPr="00584B86">
        <w:t xml:space="preserve">zero or low-carbon </w:t>
      </w:r>
      <w:r w:rsidRPr="00584B86">
        <w:t>technologies;</w:t>
      </w:r>
    </w:p>
    <w:p w14:paraId="39936CAA" w14:textId="4681E985" w:rsidR="006F4CA6" w:rsidRPr="00584B86" w:rsidRDefault="00D241F8" w:rsidP="00D93256">
      <w:pPr>
        <w:pStyle w:val="STPR2BulletsLevel1"/>
      </w:pPr>
      <w:r w:rsidRPr="00584B86">
        <w:t xml:space="preserve">Plan for the wider usage of zero-emission vehicles in line with </w:t>
      </w:r>
      <w:r w:rsidR="002D158E" w:rsidRPr="00584B86">
        <w:t>the Element Energy (2021)</w:t>
      </w:r>
      <w:r w:rsidR="008D0DFB">
        <w:t> </w:t>
      </w:r>
      <w:r w:rsidR="002D158E" w:rsidRPr="00584B86">
        <w:t>recommendations;</w:t>
      </w:r>
    </w:p>
    <w:p w14:paraId="1DDCAFBC" w14:textId="308C3523" w:rsidR="000F6E95" w:rsidRPr="00584B86" w:rsidRDefault="00AF2C29" w:rsidP="00D93256">
      <w:pPr>
        <w:pStyle w:val="STPR2BulletsLevel1"/>
      </w:pPr>
      <w:r w:rsidRPr="00584B86">
        <w:t xml:space="preserve">Select ‘soft’ rather than ‘hard’ engineering solutions where possible, </w:t>
      </w:r>
      <w:r w:rsidR="00167789">
        <w:t>for example,</w:t>
      </w:r>
      <w:r w:rsidRPr="00584B86">
        <w:t xml:space="preserve"> </w:t>
      </w:r>
      <w:r w:rsidRPr="00584B86">
        <w:lastRenderedPageBreak/>
        <w:t>nature-based</w:t>
      </w:r>
      <w:r w:rsidR="008D0DFB">
        <w:t> </w:t>
      </w:r>
      <w:r w:rsidRPr="00584B86">
        <w:t>solutions;</w:t>
      </w:r>
    </w:p>
    <w:p w14:paraId="0F896070" w14:textId="701DA449" w:rsidR="00AF2C29" w:rsidRPr="00584B86" w:rsidRDefault="00132C8A" w:rsidP="00D93256">
      <w:pPr>
        <w:pStyle w:val="STPR2BulletsLevel1"/>
      </w:pPr>
      <w:r w:rsidRPr="00584B86">
        <w:t>Identify the key emission sources</w:t>
      </w:r>
      <w:r w:rsidR="005D2CEC" w:rsidRPr="00584B86">
        <w:t xml:space="preserve"> associated with each intervention</w:t>
      </w:r>
      <w:r w:rsidRPr="00584B86">
        <w:t>, and how they can be</w:t>
      </w:r>
      <w:r w:rsidR="008D0DFB">
        <w:t> </w:t>
      </w:r>
      <w:r w:rsidRPr="00584B86">
        <w:t>reduced;</w:t>
      </w:r>
    </w:p>
    <w:p w14:paraId="7564D633" w14:textId="0DDF40FB" w:rsidR="00132C8A" w:rsidRPr="00584B86" w:rsidRDefault="00132C8A" w:rsidP="00D93256">
      <w:pPr>
        <w:pStyle w:val="STPR2BulletsLevel1"/>
      </w:pPr>
      <w:r w:rsidRPr="00584B86">
        <w:t>Avoid dist</w:t>
      </w:r>
      <w:r w:rsidR="00F56008" w:rsidRPr="00584B86">
        <w:t xml:space="preserve">urbance of vegetation and soils, particularly those with high carbon </w:t>
      </w:r>
      <w:r w:rsidR="00960534" w:rsidRPr="00584B86">
        <w:t xml:space="preserve">value </w:t>
      </w:r>
      <w:r w:rsidR="00167789">
        <w:t>for example,</w:t>
      </w:r>
      <w:r w:rsidR="00960534" w:rsidRPr="00584B86">
        <w:t xml:space="preserve"> peat</w:t>
      </w:r>
      <w:r w:rsidR="00815A16" w:rsidRPr="00584B86">
        <w:t xml:space="preserve"> and carbon-rich soils</w:t>
      </w:r>
      <w:r w:rsidR="00960534" w:rsidRPr="00584B86">
        <w:t>,</w:t>
      </w:r>
      <w:r w:rsidR="002F3CEC" w:rsidRPr="00584B86">
        <w:t xml:space="preserve"> wetlands and</w:t>
      </w:r>
      <w:r w:rsidR="00960534" w:rsidRPr="00584B86">
        <w:t xml:space="preserve"> ancient woodland</w:t>
      </w:r>
      <w:r w:rsidR="00141611" w:rsidRPr="00584B86">
        <w:t>;</w:t>
      </w:r>
    </w:p>
    <w:p w14:paraId="06EF3C21" w14:textId="219ECE23" w:rsidR="0063211C" w:rsidRDefault="0063211C" w:rsidP="00D93256">
      <w:pPr>
        <w:pStyle w:val="STPR2BulletsLevel1"/>
      </w:pPr>
      <w:r w:rsidRPr="00584B86">
        <w:t>Opportunities for offsetting should be considered where appropriate to contribute towards the national legislative target of achieving net zero emissions by 2045.</w:t>
      </w:r>
    </w:p>
    <w:p w14:paraId="27A6EE32" w14:textId="1C24D344" w:rsidR="00042890" w:rsidRPr="00584B86" w:rsidRDefault="00774537" w:rsidP="00D93256">
      <w:pPr>
        <w:pStyle w:val="STPR2BodyText"/>
      </w:pPr>
      <w:r>
        <w:t>Recognising and i</w:t>
      </w:r>
      <w:r w:rsidR="00EE0B9A">
        <w:t xml:space="preserve">mplementing the </w:t>
      </w:r>
      <w:r>
        <w:t>strategic opportunities listed above and in</w:t>
      </w:r>
      <w:r w:rsidR="007C5AC8">
        <w:t xml:space="preserve"> </w:t>
      </w:r>
      <w:r w:rsidR="00FA5069">
        <w:fldChar w:fldCharType="begin"/>
      </w:r>
      <w:r w:rsidR="00FA5069">
        <w:instrText xml:space="preserve"> REF _Ref92970593 \h </w:instrText>
      </w:r>
      <w:r w:rsidR="00FA1B04">
        <w:instrText xml:space="preserve"> \* MERGEFORMAT </w:instrText>
      </w:r>
      <w:r w:rsidR="00FA5069">
        <w:fldChar w:fldCharType="separate"/>
      </w:r>
      <w:r w:rsidR="00C22A9E" w:rsidRPr="002544E6">
        <w:t xml:space="preserve">Table </w:t>
      </w:r>
      <w:r w:rsidR="00C22A9E">
        <w:rPr>
          <w:noProof/>
        </w:rPr>
        <w:t>9</w:t>
      </w:r>
      <w:r w:rsidR="00FA5069">
        <w:fldChar w:fldCharType="end"/>
      </w:r>
      <w:r>
        <w:t xml:space="preserve"> will </w:t>
      </w:r>
      <w:r w:rsidR="00E062C1">
        <w:t xml:space="preserve">enable </w:t>
      </w:r>
      <w:r w:rsidR="007315B8" w:rsidRPr="007315B8">
        <w:t xml:space="preserve">the </w:t>
      </w:r>
      <w:r w:rsidR="00E062C1">
        <w:t xml:space="preserve">STPR2 to meet Scotland’s greenhouse gas reduction targets </w:t>
      </w:r>
      <w:r w:rsidR="00143332">
        <w:t xml:space="preserve">(as described in </w:t>
      </w:r>
      <w:r w:rsidR="00143332" w:rsidRPr="003C06C1">
        <w:rPr>
          <w:b/>
          <w:bCs/>
        </w:rPr>
        <w:t>Section 3.3</w:t>
      </w:r>
      <w:r w:rsidR="00143332">
        <w:t xml:space="preserve">) and also </w:t>
      </w:r>
      <w:r w:rsidR="00796EAA">
        <w:t>address recommendations from Element Energy</w:t>
      </w:r>
      <w:r w:rsidR="007424EE">
        <w:t xml:space="preserve"> (2021)</w:t>
      </w:r>
      <w:r w:rsidR="00796EAA">
        <w:t xml:space="preserve"> and Scotland’s Climate Assembly</w:t>
      </w:r>
      <w:r w:rsidR="00356805">
        <w:t xml:space="preserve"> (Scottish Government, 2021</w:t>
      </w:r>
      <w:r w:rsidR="00810235">
        <w:t>h</w:t>
      </w:r>
      <w:r w:rsidR="00356805">
        <w:t>).</w:t>
      </w:r>
      <w:r w:rsidR="00796EAA">
        <w:t xml:space="preserve"> </w:t>
      </w:r>
      <w:r w:rsidR="00F21182">
        <w:t xml:space="preserve">The </w:t>
      </w:r>
      <w:r w:rsidR="00027A4F">
        <w:t>design and delivery of any STPR2 interventions</w:t>
      </w:r>
      <w:r w:rsidR="00112F06" w:rsidRPr="00112F06">
        <w:t xml:space="preserve"> </w:t>
      </w:r>
      <w:r w:rsidR="00F21182">
        <w:t>should also consider opportunities</w:t>
      </w:r>
      <w:r w:rsidR="00406FB7">
        <w:t xml:space="preserve"> and plan</w:t>
      </w:r>
      <w:r w:rsidR="00F21182">
        <w:t xml:space="preserve"> for </w:t>
      </w:r>
      <w:r w:rsidR="00406FB7">
        <w:t>emerging renewable energy technologies that could potentially be deployed alon</w:t>
      </w:r>
      <w:r w:rsidR="00F37EC3">
        <w:t>g</w:t>
      </w:r>
      <w:r w:rsidR="00406FB7">
        <w:t xml:space="preserve">side </w:t>
      </w:r>
      <w:r w:rsidR="00F37EC3">
        <w:t xml:space="preserve">transport infrastructure and </w:t>
      </w:r>
      <w:r w:rsidR="00991116">
        <w:t>opportunities associated with</w:t>
      </w:r>
      <w:r w:rsidR="00F37EC3">
        <w:t xml:space="preserve"> alternative fuel</w:t>
      </w:r>
      <w:r w:rsidR="00991116">
        <w:t xml:space="preserve"> sources, such as green and </w:t>
      </w:r>
      <w:r w:rsidR="00720597">
        <w:t xml:space="preserve">blue hydrogen. </w:t>
      </w:r>
      <w:r w:rsidR="00F37EC3">
        <w:t xml:space="preserve"> </w:t>
      </w:r>
    </w:p>
    <w:p w14:paraId="635B98BE" w14:textId="11F38794" w:rsidR="00094D95" w:rsidRPr="00C71F42" w:rsidRDefault="00094D95" w:rsidP="00115E65">
      <w:pPr>
        <w:pStyle w:val="Heading3"/>
      </w:pPr>
      <w:bookmarkStart w:id="1931" w:name="_Toc121339163"/>
      <w:r w:rsidRPr="00C71F42">
        <w:t xml:space="preserve">Choice of </w:t>
      </w:r>
      <w:r w:rsidRPr="008E14D2">
        <w:t>Materials</w:t>
      </w:r>
      <w:r w:rsidRPr="00C71F42">
        <w:t xml:space="preserve"> for Transport Interventions</w:t>
      </w:r>
      <w:bookmarkEnd w:id="1931"/>
    </w:p>
    <w:p w14:paraId="150186DB" w14:textId="1751995A" w:rsidR="00BD37A6" w:rsidRDefault="0055620E" w:rsidP="00D93256">
      <w:pPr>
        <w:pStyle w:val="STPR2BodyText"/>
      </w:pPr>
      <w:r>
        <w:t xml:space="preserve">Although the choice of construction materials is </w:t>
      </w:r>
      <w:r w:rsidR="00732F1B">
        <w:t xml:space="preserve">not necessarily a consideration at the strategic planning stage, the decision to </w:t>
      </w:r>
      <w:r w:rsidR="0007145D">
        <w:t>construct is often taken at the strategic planning stage</w:t>
      </w:r>
      <w:r w:rsidR="00814A72">
        <w:t>.</w:t>
      </w:r>
      <w:r w:rsidR="00AF0D18">
        <w:t xml:space="preserve"> Early planning could potentially avoid the need to </w:t>
      </w:r>
      <w:r w:rsidR="00024448">
        <w:t>use materials with a high embedded carbon content at t</w:t>
      </w:r>
      <w:r w:rsidR="006853A6">
        <w:t>he construction stage</w:t>
      </w:r>
      <w:r w:rsidR="00024448">
        <w:t>.</w:t>
      </w:r>
      <w:r w:rsidR="0007145D">
        <w:t xml:space="preserve"> </w:t>
      </w:r>
      <w:r w:rsidR="007A134F">
        <w:t xml:space="preserve">Each material that could potentially be used </w:t>
      </w:r>
      <w:r w:rsidR="00131663">
        <w:t>in the construction of a new transpo</w:t>
      </w:r>
      <w:r w:rsidR="0045541C">
        <w:t xml:space="preserve">rt asset or in </w:t>
      </w:r>
      <w:r w:rsidR="005D471A">
        <w:t>the maintenance of an existing asset has an embodied carbon content associated with it.</w:t>
      </w:r>
      <w:r w:rsidR="00082208">
        <w:t xml:space="preserve"> </w:t>
      </w:r>
      <w:r w:rsidR="001503E1">
        <w:fldChar w:fldCharType="begin"/>
      </w:r>
      <w:r w:rsidR="001503E1">
        <w:instrText xml:space="preserve"> REF _Ref92887940 \h </w:instrText>
      </w:r>
      <w:r w:rsidR="001503E1">
        <w:fldChar w:fldCharType="separate"/>
      </w:r>
      <w:r w:rsidR="00C22A9E">
        <w:t xml:space="preserve">Figure </w:t>
      </w:r>
      <w:r w:rsidR="00C22A9E">
        <w:rPr>
          <w:noProof/>
        </w:rPr>
        <w:t>7</w:t>
      </w:r>
      <w:r w:rsidR="001503E1">
        <w:fldChar w:fldCharType="end"/>
      </w:r>
      <w:r w:rsidR="00082208">
        <w:t xml:space="preserve"> shows the</w:t>
      </w:r>
      <w:r w:rsidR="00CB4130">
        <w:t xml:space="preserve"> sources of carbon emissions during the lifecycle of construction materials.</w:t>
      </w:r>
      <w:r w:rsidR="00082208">
        <w:t xml:space="preserve"> </w:t>
      </w:r>
    </w:p>
    <w:p w14:paraId="180DDBD5" w14:textId="77777777" w:rsidR="001503E1" w:rsidRDefault="00193CB5" w:rsidP="00D93256">
      <w:pPr>
        <w:pStyle w:val="STPR2BodyText"/>
      </w:pPr>
      <w:r w:rsidRPr="008E14D2">
        <w:rPr>
          <w:noProof/>
        </w:rPr>
        <w:drawing>
          <wp:inline distT="0" distB="0" distL="0" distR="0" wp14:anchorId="60B2A379" wp14:editId="5268DFB6">
            <wp:extent cx="6044829" cy="2528959"/>
            <wp:effectExtent l="0" t="0" r="0" b="5080"/>
            <wp:docPr id="10" name="Picture 10" descr="Diagram shows the sources of carbon through a project lifecycle. In chronological order these are raw material supply, manufacturing, construction, maintenance and repair, operations, end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s the sources of carbon through a project lifecycle. In chronological order these are raw material supply, manufacturing, construction, maintenance and repair, operations, end of life."/>
                    <pic:cNvPicPr/>
                  </pic:nvPicPr>
                  <pic:blipFill>
                    <a:blip r:embed="rId49"/>
                    <a:stretch>
                      <a:fillRect/>
                    </a:stretch>
                  </pic:blipFill>
                  <pic:spPr>
                    <a:xfrm>
                      <a:off x="0" y="0"/>
                      <a:ext cx="6057064" cy="2534078"/>
                    </a:xfrm>
                    <a:prstGeom prst="rect">
                      <a:avLst/>
                    </a:prstGeom>
                  </pic:spPr>
                </pic:pic>
              </a:graphicData>
            </a:graphic>
          </wp:inline>
        </w:drawing>
      </w:r>
    </w:p>
    <w:p w14:paraId="42A6BDF1" w14:textId="73EA685D" w:rsidR="00FB1C09" w:rsidRDefault="001503E1" w:rsidP="00D93256">
      <w:pPr>
        <w:pStyle w:val="STPR2CaptionFigures"/>
      </w:pPr>
      <w:bookmarkStart w:id="1932" w:name="_Ref92887940"/>
      <w:bookmarkStart w:id="1933" w:name="_Toc121231971"/>
      <w:r>
        <w:t xml:space="preserve">Figure </w:t>
      </w:r>
      <w:r>
        <w:fldChar w:fldCharType="begin"/>
      </w:r>
      <w:r>
        <w:instrText>SEQ Figure \* ARABIC</w:instrText>
      </w:r>
      <w:r>
        <w:fldChar w:fldCharType="separate"/>
      </w:r>
      <w:r w:rsidR="00C22A9E">
        <w:rPr>
          <w:noProof/>
        </w:rPr>
        <w:t>7</w:t>
      </w:r>
      <w:r>
        <w:fldChar w:fldCharType="end"/>
      </w:r>
      <w:bookmarkEnd w:id="1932"/>
      <w:r>
        <w:t xml:space="preserve">: </w:t>
      </w:r>
      <w:r w:rsidRPr="005E7C0D">
        <w:t>Sources of carbon for construction materials (Carbon Leadership Forum,</w:t>
      </w:r>
      <w:r w:rsidR="00B80D8F">
        <w:t> </w:t>
      </w:r>
      <w:r w:rsidRPr="005E7C0D">
        <w:t>2020)</w:t>
      </w:r>
      <w:bookmarkEnd w:id="1933"/>
    </w:p>
    <w:p w14:paraId="675D0BE4" w14:textId="481498E1" w:rsidR="005D4EBA" w:rsidRDefault="005D4EBA" w:rsidP="00D93256">
      <w:pPr>
        <w:pStyle w:val="STPR2BodyText"/>
      </w:pPr>
      <w:r w:rsidRPr="005D4EBA">
        <w:t xml:space="preserve">The relative impact of each </w:t>
      </w:r>
      <w:r>
        <w:t xml:space="preserve">stage shown in </w:t>
      </w:r>
      <w:r w:rsidR="001503E1">
        <w:rPr>
          <w:highlight w:val="yellow"/>
        </w:rPr>
        <w:fldChar w:fldCharType="begin"/>
      </w:r>
      <w:r w:rsidR="001503E1">
        <w:instrText xml:space="preserve"> REF _Ref92887940 \h </w:instrText>
      </w:r>
      <w:r w:rsidR="001503E1">
        <w:rPr>
          <w:highlight w:val="yellow"/>
        </w:rPr>
      </w:r>
      <w:r w:rsidR="001503E1">
        <w:rPr>
          <w:highlight w:val="yellow"/>
        </w:rPr>
        <w:fldChar w:fldCharType="separate"/>
      </w:r>
      <w:r w:rsidR="00C22A9E">
        <w:t xml:space="preserve">Figure </w:t>
      </w:r>
      <w:r w:rsidR="00C22A9E">
        <w:rPr>
          <w:noProof/>
        </w:rPr>
        <w:t>7</w:t>
      </w:r>
      <w:r w:rsidR="001503E1">
        <w:rPr>
          <w:highlight w:val="yellow"/>
        </w:rPr>
        <w:fldChar w:fldCharType="end"/>
      </w:r>
      <w:r w:rsidRPr="005D4EBA">
        <w:t xml:space="preserve"> above will depend upon the material</w:t>
      </w:r>
      <w:r>
        <w:t xml:space="preserve"> choice</w:t>
      </w:r>
      <w:r w:rsidRPr="005D4EBA">
        <w:t>. Recycled material will often have a lower carbon footprint as less energy and transport may be required. Heavier products may have more impact in transport and more highly processed materials may have most emissions within the manufacturing process</w:t>
      </w:r>
      <w:r w:rsidR="00B94392">
        <w:t xml:space="preserve"> (</w:t>
      </w:r>
      <w:r w:rsidR="00B94392" w:rsidRPr="00014C58">
        <w:t>The Fifth Estate</w:t>
      </w:r>
      <w:r w:rsidR="00B94392">
        <w:t xml:space="preserve">, </w:t>
      </w:r>
      <w:r w:rsidR="00B94392" w:rsidRPr="00014C58">
        <w:t>2020)</w:t>
      </w:r>
      <w:r w:rsidRPr="005D4EBA">
        <w:t>.</w:t>
      </w:r>
    </w:p>
    <w:p w14:paraId="1C070F10" w14:textId="129371E6" w:rsidR="000D3554" w:rsidRDefault="000D3554" w:rsidP="00D93256">
      <w:pPr>
        <w:pStyle w:val="STPR2BodyText"/>
      </w:pPr>
      <w:r w:rsidRPr="000D3554">
        <w:t xml:space="preserve">To minimise emissions from potential future interventions, designers should take cognisance of the latest best-practice, which is evolving due to advancements in material </w:t>
      </w:r>
      <w:r w:rsidRPr="000D3554">
        <w:lastRenderedPageBreak/>
        <w:t>science, manufacturing and construction processes</w:t>
      </w:r>
      <w:r>
        <w:t>.</w:t>
      </w:r>
      <w:r w:rsidR="0077463C">
        <w:t xml:space="preserve"> </w:t>
      </w:r>
      <w:r w:rsidR="00241650">
        <w:t>This best practice should include i</w:t>
      </w:r>
      <w:r w:rsidR="0077463C" w:rsidRPr="0077463C">
        <w:t>dentify</w:t>
      </w:r>
      <w:r w:rsidR="00241650">
        <w:t>ing</w:t>
      </w:r>
      <w:r w:rsidR="003A3B84">
        <w:t xml:space="preserve"> low-carbon materials and durable materials that require less maintenance</w:t>
      </w:r>
      <w:r w:rsidR="00866440">
        <w:t>, repair or replacement, in order for</w:t>
      </w:r>
      <w:r w:rsidR="0077463C" w:rsidRPr="0077463C">
        <w:t xml:space="preserve"> the </w:t>
      </w:r>
      <w:r w:rsidR="00376B61">
        <w:t xml:space="preserve">operational emissions of </w:t>
      </w:r>
      <w:r w:rsidR="0077463C" w:rsidRPr="0077463C">
        <w:t>transport asset</w:t>
      </w:r>
      <w:r w:rsidR="00376B61">
        <w:t>s</w:t>
      </w:r>
      <w:r w:rsidR="0077463C" w:rsidRPr="0077463C">
        <w:t xml:space="preserve"> to be</w:t>
      </w:r>
      <w:r w:rsidR="007171A6">
        <w:t> </w:t>
      </w:r>
      <w:r w:rsidR="0077463C" w:rsidRPr="0077463C">
        <w:t>minimise</w:t>
      </w:r>
      <w:r w:rsidR="00376B61">
        <w:t>d.</w:t>
      </w:r>
      <w:r w:rsidR="00DF6ACA">
        <w:t xml:space="preserve"> </w:t>
      </w:r>
    </w:p>
    <w:p w14:paraId="247800CC" w14:textId="39AE13EF" w:rsidR="00830F15" w:rsidRDefault="00830F15" w:rsidP="00D93256">
      <w:pPr>
        <w:pStyle w:val="STPR2BodyText"/>
      </w:pPr>
      <w:r>
        <w:t>From a qualitative perspective, emissions from proposed multi</w:t>
      </w:r>
      <w:r w:rsidR="007E6E67">
        <w:t>-</w:t>
      </w:r>
      <w:r>
        <w:t>modal interventions would be dependent on location, scale, primary materials and construction methods. For instance, interventions requiring significant volumes of concrete and steel such as bridges, junctions</w:t>
      </w:r>
      <w:r w:rsidR="00957D28">
        <w:t xml:space="preserve"> and</w:t>
      </w:r>
      <w:r>
        <w:t xml:space="preserve"> viaducts would have a high embodied carbon content due to the carbon intensity of the manufacture of the materials used in their construction. </w:t>
      </w:r>
    </w:p>
    <w:p w14:paraId="003C442A" w14:textId="6E633887" w:rsidR="003B441E" w:rsidRDefault="00587AA5" w:rsidP="00D93256">
      <w:pPr>
        <w:pStyle w:val="STPR2BodyText"/>
      </w:pPr>
      <w:r>
        <w:t>C</w:t>
      </w:r>
      <w:r w:rsidRPr="00587AA5">
        <w:t xml:space="preserve">arbon life cycle assessment </w:t>
      </w:r>
      <w:r>
        <w:t>should be</w:t>
      </w:r>
      <w:r w:rsidRPr="00587AA5">
        <w:t xml:space="preserve"> employed to reflect embodied carbon from demolition, materials, transport and maintenance, as well as the operational carbon associated with heat and power. Carbon life cycle models should calculate the whole life carbon for 2030 and 2045 carbon reduction target dates, as well as the industry standard of 60 years</w:t>
      </w:r>
      <w:r w:rsidR="00AB0193">
        <w:t xml:space="preserve"> (HES, 2021</w:t>
      </w:r>
      <w:r w:rsidR="00C94AE5">
        <w:t>b</w:t>
      </w:r>
      <w:r w:rsidR="00AB0193">
        <w:t>)</w:t>
      </w:r>
      <w:r w:rsidRPr="00587AA5">
        <w:t>.</w:t>
      </w:r>
      <w:r w:rsidR="0056234F" w:rsidRPr="0056234F">
        <w:t xml:space="preserve"> </w:t>
      </w:r>
    </w:p>
    <w:p w14:paraId="4E56664E" w14:textId="546AA2E8" w:rsidR="00587AA5" w:rsidRDefault="00036C90" w:rsidP="00D93256">
      <w:pPr>
        <w:pStyle w:val="STPR2BodyText"/>
      </w:pPr>
      <w:r>
        <w:t xml:space="preserve">The </w:t>
      </w:r>
      <w:r w:rsidR="00C32CDB">
        <w:t xml:space="preserve">delivery of </w:t>
      </w:r>
      <w:r w:rsidR="00957D28">
        <w:t xml:space="preserve">any future </w:t>
      </w:r>
      <w:r w:rsidR="00D35955">
        <w:t>ST</w:t>
      </w:r>
      <w:r w:rsidR="00007931">
        <w:t xml:space="preserve">PR2 </w:t>
      </w:r>
      <w:r w:rsidR="00C32CDB">
        <w:t>interventions</w:t>
      </w:r>
      <w:r>
        <w:t xml:space="preserve"> should include provisions</w:t>
      </w:r>
      <w:r w:rsidR="0056234F">
        <w:t xml:space="preserve"> for sustainable procurement that accounts for the carbon footprint of materials and products (i</w:t>
      </w:r>
      <w:r w:rsidR="0062738C">
        <w:t>ncluding</w:t>
      </w:r>
      <w:r w:rsidR="0056234F">
        <w:t xml:space="preserve"> country of origin</w:t>
      </w:r>
      <w:r w:rsidR="0062738C">
        <w:t>,</w:t>
      </w:r>
      <w:r w:rsidR="0056234F">
        <w:t xml:space="preserve"> transport requirements</w:t>
      </w:r>
      <w:r w:rsidR="0062738C">
        <w:t xml:space="preserve">, production </w:t>
      </w:r>
      <w:r w:rsidR="00AA2935">
        <w:t>process</w:t>
      </w:r>
      <w:r w:rsidR="0056234F">
        <w:t>).</w:t>
      </w:r>
      <w:r w:rsidR="003B441E">
        <w:t xml:space="preserve"> </w:t>
      </w:r>
      <w:r w:rsidR="0056234F">
        <w:t>Consideration should be given to assessing the carbon benefit of prolonged lifespan arising from adequate maintenance</w:t>
      </w:r>
      <w:r w:rsidR="00A44ED6">
        <w:t xml:space="preserve"> (HES, 2021)</w:t>
      </w:r>
      <w:r w:rsidR="004B5276">
        <w:t>.</w:t>
      </w:r>
      <w:r w:rsidR="00330299" w:rsidRPr="00330299">
        <w:t xml:space="preserve"> </w:t>
      </w:r>
      <w:r w:rsidR="006E336A">
        <w:t>Sustainable procurement provisions shoul</w:t>
      </w:r>
      <w:r w:rsidR="00374CA3">
        <w:t>d include</w:t>
      </w:r>
      <w:r w:rsidR="00330299">
        <w:t xml:space="preserve"> circular economy principles that prioritise the</w:t>
      </w:r>
      <w:r w:rsidR="00374CA3">
        <w:t xml:space="preserve"> </w:t>
      </w:r>
      <w:r w:rsidR="00330299">
        <w:t>reuse of materials in construction, use low</w:t>
      </w:r>
      <w:r w:rsidR="00374CA3">
        <w:t>-</w:t>
      </w:r>
      <w:r w:rsidR="00330299">
        <w:t>carbon construction materials and design</w:t>
      </w:r>
      <w:r w:rsidR="00374CA3">
        <w:t xml:space="preserve"> </w:t>
      </w:r>
      <w:r w:rsidR="00330299">
        <w:t>principles that allow for materials to be</w:t>
      </w:r>
      <w:r w:rsidR="00374CA3">
        <w:t xml:space="preserve"> </w:t>
      </w:r>
      <w:r w:rsidR="00330299">
        <w:t>re</w:t>
      </w:r>
      <w:r w:rsidR="00374CA3">
        <w:t>-</w:t>
      </w:r>
      <w:r w:rsidR="00330299">
        <w:t>used</w:t>
      </w:r>
      <w:r w:rsidR="00374CA3">
        <w:t xml:space="preserve"> or </w:t>
      </w:r>
      <w:r w:rsidR="00330299">
        <w:t>recycled upon decommissioning.</w:t>
      </w:r>
      <w:r w:rsidR="00FA7F0A" w:rsidRPr="00FA7F0A">
        <w:t xml:space="preserve"> Consideration should also be given to the location of suppliers</w:t>
      </w:r>
      <w:r w:rsidR="00106377">
        <w:t>,</w:t>
      </w:r>
      <w:r w:rsidR="00FA7F0A" w:rsidRPr="00FA7F0A">
        <w:t xml:space="preserve"> to minimise transportation distances, subject to any procurement limitations.</w:t>
      </w:r>
    </w:p>
    <w:p w14:paraId="17AC80FF" w14:textId="012B4BD8" w:rsidR="008F746F" w:rsidRPr="008E14D2" w:rsidRDefault="005453B7" w:rsidP="00115E65">
      <w:pPr>
        <w:pStyle w:val="Heading3"/>
      </w:pPr>
      <w:bookmarkStart w:id="1934" w:name="_Toc121339164"/>
      <w:r w:rsidRPr="008E14D2">
        <w:t>Construction Methods</w:t>
      </w:r>
      <w:bookmarkEnd w:id="1934"/>
    </w:p>
    <w:p w14:paraId="2AC350E7" w14:textId="387E07AD" w:rsidR="00830F15" w:rsidRDefault="00BC5E5F" w:rsidP="00D93256">
      <w:pPr>
        <w:pStyle w:val="STPR2BodyText"/>
      </w:pPr>
      <w:r>
        <w:t>In addition to embedded carbon considerations, c</w:t>
      </w:r>
      <w:r w:rsidR="00830F15">
        <w:t>onstruction activities</w:t>
      </w:r>
      <w:r w:rsidR="00B74D00">
        <w:t xml:space="preserve"> also</w:t>
      </w:r>
      <w:r>
        <w:t xml:space="preserve"> need to be considered a</w:t>
      </w:r>
      <w:r w:rsidR="005D5AE2">
        <w:t>nd planned for</w:t>
      </w:r>
      <w:r w:rsidR="00830F15">
        <w:t xml:space="preserve">. Interventions requiring significant earthwork movements will have a high energy demand from earth moving equipment and tipper trucks moving earth around/off/to the site. The source of power supply is a significant factor when assessing emissions from </w:t>
      </w:r>
      <w:r w:rsidR="00EF3938">
        <w:t>construction</w:t>
      </w:r>
      <w:r w:rsidR="00830F15">
        <w:t xml:space="preserve"> – whether the machine is power by diesel generators or can be plugged into the electricity grid. </w:t>
      </w:r>
    </w:p>
    <w:p w14:paraId="15DC4C6D" w14:textId="3FBC538E" w:rsidR="007171A6" w:rsidRDefault="00830F15" w:rsidP="00D93256">
      <w:pPr>
        <w:pStyle w:val="STPR2BodyText"/>
      </w:pPr>
      <w:r>
        <w:t xml:space="preserve">Operational maintenance and refurbishment emissions also </w:t>
      </w:r>
      <w:r w:rsidR="00E653E8">
        <w:t>need to be considered</w:t>
      </w:r>
      <w:r>
        <w:t xml:space="preserve"> </w:t>
      </w:r>
      <w:r w:rsidR="00E653E8">
        <w:t xml:space="preserve">for </w:t>
      </w:r>
      <w:r>
        <w:t>an asset throughout its operational life. For example, a road will require periodic re</w:t>
      </w:r>
      <w:r w:rsidR="00277FF9">
        <w:t>-</w:t>
      </w:r>
      <w:r>
        <w:t>surfacing or a bridge could require replacement of cables. These emissions tend to be assessed based on assumptions made on the design life of materials to determine how many times they will be replaced during the lifespan. The final consideration for materials is end of life emissions, which captures dismantling and disposal. PAS 2080 (Construction Leadership Council, 2019) provides useful guidance on how to manage carbon emissions throughout the life of an infrastructure project.</w:t>
      </w:r>
    </w:p>
    <w:p w14:paraId="7EF5760D" w14:textId="3035C32D" w:rsidR="00A73E93" w:rsidRDefault="00A73E93" w:rsidP="00115E65">
      <w:pPr>
        <w:pStyle w:val="Heading3"/>
      </w:pPr>
      <w:bookmarkStart w:id="1935" w:name="_Toc121339165"/>
      <w:r>
        <w:t>Carbon Sequestration Opportunities</w:t>
      </w:r>
      <w:bookmarkEnd w:id="1935"/>
    </w:p>
    <w:p w14:paraId="27E571B5" w14:textId="26207D75" w:rsidR="00A73E93" w:rsidRDefault="005C677E" w:rsidP="00D93256">
      <w:pPr>
        <w:pStyle w:val="STPR2BodyText"/>
      </w:pPr>
      <w:r>
        <w:t xml:space="preserve">The </w:t>
      </w:r>
      <w:r w:rsidR="00C32CDB" w:rsidRPr="00C32CDB">
        <w:t xml:space="preserve">delivery of </w:t>
      </w:r>
      <w:r w:rsidR="007315B8" w:rsidRPr="007315B8">
        <w:t xml:space="preserve">the </w:t>
      </w:r>
      <w:r w:rsidR="00C32CDB" w:rsidRPr="00C32CDB">
        <w:t xml:space="preserve">STPR2 interventions </w:t>
      </w:r>
      <w:r>
        <w:t>should consider how</w:t>
      </w:r>
      <w:r w:rsidR="003057DB">
        <w:t xml:space="preserve"> to protect carbon rich soils, wetlands and other </w:t>
      </w:r>
      <w:r w:rsidR="00430948">
        <w:t>natural resources that are important for carbon sequestration. The Plan should also require th</w:t>
      </w:r>
      <w:r w:rsidR="00DA740E">
        <w:t>e identification of</w:t>
      </w:r>
      <w:r w:rsidR="003057DB">
        <w:t xml:space="preserve"> opportunities</w:t>
      </w:r>
      <w:r w:rsidR="00430948">
        <w:t xml:space="preserve"> to create habitats and plant trees</w:t>
      </w:r>
      <w:r w:rsidR="007952F7">
        <w:t xml:space="preserve"> (for example, alongside linear transport infrastructure)</w:t>
      </w:r>
      <w:r w:rsidR="00DA740E">
        <w:t xml:space="preserve"> that will also have carbon sequestration benefits.</w:t>
      </w:r>
      <w:r w:rsidR="00430948">
        <w:t xml:space="preserve"> </w:t>
      </w:r>
    </w:p>
    <w:p w14:paraId="53579797" w14:textId="43C96E56" w:rsidR="004B4973" w:rsidRDefault="004B4973" w:rsidP="00115E65">
      <w:pPr>
        <w:pStyle w:val="Heading3"/>
      </w:pPr>
      <w:bookmarkStart w:id="1936" w:name="_Toc121339166"/>
      <w:r>
        <w:t>Climate Adaptation Opportunities</w:t>
      </w:r>
      <w:bookmarkEnd w:id="1936"/>
    </w:p>
    <w:p w14:paraId="105CB301" w14:textId="3888B975" w:rsidR="004B4973" w:rsidRDefault="0029190E" w:rsidP="00D93256">
      <w:pPr>
        <w:pStyle w:val="STPR2BodyText"/>
      </w:pPr>
      <w:r>
        <w:lastRenderedPageBreak/>
        <w:t>The potential impacts of climate change on existing and proposed infrastructure need to be planned for and considered in the</w:t>
      </w:r>
      <w:r w:rsidRPr="0029190E">
        <w:t xml:space="preserve"> </w:t>
      </w:r>
      <w:r w:rsidR="00C32CDB" w:rsidRPr="00C32CDB">
        <w:t xml:space="preserve">delivery of </w:t>
      </w:r>
      <w:r w:rsidR="007315B8" w:rsidRPr="007315B8">
        <w:t xml:space="preserve">the </w:t>
      </w:r>
      <w:r w:rsidR="00C32CDB" w:rsidRPr="00C32CDB">
        <w:t xml:space="preserve">STPR2 interventions </w:t>
      </w:r>
      <w:r>
        <w:t xml:space="preserve">where possible. </w:t>
      </w:r>
      <w:r w:rsidR="0075289C">
        <w:t xml:space="preserve">For example, sufficient space may need to be allowed for </w:t>
      </w:r>
      <w:r w:rsidR="00A54D3C">
        <w:t xml:space="preserve">additional SuDS </w:t>
      </w:r>
      <w:r w:rsidR="00057EB9">
        <w:t xml:space="preserve">and permeable surfacing </w:t>
      </w:r>
      <w:r w:rsidR="00A54D3C">
        <w:t>that can accommodate projected trends in rainfall and surface water flooding</w:t>
      </w:r>
      <w:r w:rsidR="00FB0072">
        <w:t>.</w:t>
      </w:r>
      <w:r w:rsidR="00067D7A">
        <w:t xml:space="preserve"> Transport infrastructure will also need to be future proofed for </w:t>
      </w:r>
      <w:r w:rsidR="009D6209">
        <w:t xml:space="preserve">projected </w:t>
      </w:r>
      <w:r w:rsidR="00067D7A">
        <w:t xml:space="preserve">changes </w:t>
      </w:r>
      <w:r w:rsidR="009D6209">
        <w:t xml:space="preserve">to </w:t>
      </w:r>
      <w:r w:rsidR="00067D7A">
        <w:t xml:space="preserve">flood risk </w:t>
      </w:r>
      <w:r w:rsidR="009D6209">
        <w:t xml:space="preserve">from other sources </w:t>
      </w:r>
      <w:r w:rsidR="00067D7A">
        <w:t>a</w:t>
      </w:r>
      <w:r w:rsidR="009D6209">
        <w:t>n</w:t>
      </w:r>
      <w:r w:rsidR="00067D7A">
        <w:t xml:space="preserve">d </w:t>
      </w:r>
      <w:r w:rsidR="009D6209">
        <w:t xml:space="preserve">changes to </w:t>
      </w:r>
      <w:r w:rsidR="00067D7A">
        <w:t xml:space="preserve">temperature </w:t>
      </w:r>
      <w:r w:rsidR="00847A88">
        <w:t xml:space="preserve">(variations and extremes) </w:t>
      </w:r>
      <w:r w:rsidR="00067D7A">
        <w:t>and storminess.</w:t>
      </w:r>
      <w:r w:rsidR="0075631C">
        <w:t xml:space="preserve"> Consideration should also be given to how climate change could affect the spread of invasive species</w:t>
      </w:r>
      <w:r w:rsidR="00B468D4">
        <w:t xml:space="preserve"> and tree diseases</w:t>
      </w:r>
      <w:r w:rsidR="0075631C">
        <w:t xml:space="preserve"> </w:t>
      </w:r>
      <w:r w:rsidR="00772CA7">
        <w:t>and could therefore have implications for vegetation management</w:t>
      </w:r>
      <w:r w:rsidR="00A309E4">
        <w:t xml:space="preserve"> and access arrangements associated with the strategic transport network.</w:t>
      </w:r>
    </w:p>
    <w:p w14:paraId="6A60C95D" w14:textId="552438B1" w:rsidR="00013D3E" w:rsidRDefault="006F03E0" w:rsidP="00D93256">
      <w:pPr>
        <w:pStyle w:val="STPR2BodyText"/>
      </w:pPr>
      <w:r w:rsidRPr="006F03E0">
        <w:t xml:space="preserve">The </w:t>
      </w:r>
      <w:r w:rsidR="00120ACF">
        <w:t xml:space="preserve">third climate change risk assessment </w:t>
      </w:r>
      <w:r w:rsidR="00237CE4">
        <w:t>(</w:t>
      </w:r>
      <w:r w:rsidRPr="006F03E0">
        <w:t>CCRA3</w:t>
      </w:r>
      <w:r w:rsidR="00237CE4">
        <w:t>,</w:t>
      </w:r>
      <w:r w:rsidRPr="006F03E0">
        <w:t xml:space="preserve"> </w:t>
      </w:r>
      <w:r w:rsidR="00120ACF">
        <w:t xml:space="preserve">SNIFFER, 2021) </w:t>
      </w:r>
      <w:r w:rsidRPr="006F03E0">
        <w:t>report recommends that more adaptation is particularly needed in relation to the increased risks to transport from high and low temperatures, high winds and lightning.</w:t>
      </w:r>
      <w:r w:rsidR="00013D3E" w:rsidRPr="00013D3E">
        <w:t xml:space="preserve"> </w:t>
      </w:r>
      <w:r w:rsidR="002B7AC8">
        <w:t>The CCRA also calls for m</w:t>
      </w:r>
      <w:r w:rsidR="00013D3E">
        <w:t xml:space="preserve">ore action to ensure that projected increases in heavy rainfall are factored into long-term renewal programmes, especially for the rail network. Additional adaptation actions include:  </w:t>
      </w:r>
    </w:p>
    <w:p w14:paraId="1E19DB97" w14:textId="75B62413" w:rsidR="00013D3E" w:rsidRDefault="00013D3E" w:rsidP="00D93256">
      <w:pPr>
        <w:pStyle w:val="STPR2BulletsLevel1"/>
      </w:pPr>
      <w:r>
        <w:t xml:space="preserve">Improved numerical tools for infrastructure asset owners to predict failures. </w:t>
      </w:r>
    </w:p>
    <w:p w14:paraId="54997795" w14:textId="20C66552" w:rsidR="00013D3E" w:rsidRDefault="00013D3E" w:rsidP="00D93256">
      <w:pPr>
        <w:pStyle w:val="STPR2BulletsLevel1"/>
      </w:pPr>
      <w:r>
        <w:t xml:space="preserve">Improved instrumentation and monitoring systems to detect pre-failure slope behaviour linked to decision support systems. </w:t>
      </w:r>
    </w:p>
    <w:p w14:paraId="1E8D77CE" w14:textId="7B21A1D1" w:rsidR="00013D3E" w:rsidRDefault="00013D3E" w:rsidP="00D93256">
      <w:pPr>
        <w:pStyle w:val="STPR2BulletsLevel1"/>
      </w:pPr>
      <w:r>
        <w:t>More detailed characterisation of engineered soil assets</w:t>
      </w:r>
      <w:r w:rsidR="00B576F6">
        <w:t>.</w:t>
      </w:r>
      <w:r>
        <w:t xml:space="preserve"> </w:t>
      </w:r>
    </w:p>
    <w:p w14:paraId="3439EA29" w14:textId="45B05DFD" w:rsidR="00013D3E" w:rsidRDefault="00013D3E" w:rsidP="00D93256">
      <w:pPr>
        <w:pStyle w:val="STPR2BulletsLevel1"/>
      </w:pPr>
      <w:r>
        <w:t xml:space="preserve">Continued use of slope inspection programs. </w:t>
      </w:r>
    </w:p>
    <w:p w14:paraId="2CD8F5F2" w14:textId="548BF4F9" w:rsidR="00013D3E" w:rsidRDefault="00013D3E" w:rsidP="00D93256">
      <w:pPr>
        <w:pStyle w:val="STPR2BulletsLevel1"/>
      </w:pPr>
      <w:r>
        <w:t xml:space="preserve">Greater use of soft engineering techniques such as vegetation management to reinforce vulnerable slopes. </w:t>
      </w:r>
    </w:p>
    <w:p w14:paraId="222F5C6D" w14:textId="7EEC9B4A" w:rsidR="006F03E0" w:rsidRDefault="00013D3E" w:rsidP="00D93256">
      <w:pPr>
        <w:pStyle w:val="STPR2BulletsLevel1"/>
      </w:pPr>
      <w:r>
        <w:t xml:space="preserve">Enhanced maintenance of drainage systems for roads and railways and increasing drainage capacity in new road infrastructure.  </w:t>
      </w:r>
    </w:p>
    <w:p w14:paraId="364E02DE" w14:textId="2C4E176A" w:rsidR="00924D89" w:rsidRDefault="00924D89" w:rsidP="0033560A">
      <w:pPr>
        <w:pStyle w:val="Heading2"/>
      </w:pPr>
      <w:bookmarkStart w:id="1937" w:name="_Toc121339167"/>
      <w:r w:rsidRPr="008E14D2">
        <w:t>Populatio</w:t>
      </w:r>
      <w:r w:rsidR="00A149D2" w:rsidRPr="008E14D2">
        <w:t>n</w:t>
      </w:r>
      <w:r w:rsidR="00A149D2">
        <w:t xml:space="preserve"> and Human Health</w:t>
      </w:r>
      <w:bookmarkEnd w:id="1937"/>
    </w:p>
    <w:p w14:paraId="4197FEEF" w14:textId="1BB744C1" w:rsidR="00326308" w:rsidRPr="00047418" w:rsidRDefault="00576F56" w:rsidP="00D93256">
      <w:pPr>
        <w:pStyle w:val="STPR2BodyText"/>
      </w:pPr>
      <w:r w:rsidRPr="00047418">
        <w:t xml:space="preserve">Many of the final STPR2 recommendations will have beneficial </w:t>
      </w:r>
      <w:r w:rsidR="00527809">
        <w:t>effe</w:t>
      </w:r>
      <w:r w:rsidR="00527809" w:rsidRPr="004F5EEB">
        <w:t>cts</w:t>
      </w:r>
      <w:r w:rsidRPr="00047418">
        <w:t xml:space="preserve"> on </w:t>
      </w:r>
      <w:r w:rsidR="00491508" w:rsidRPr="00047418">
        <w:t xml:space="preserve">Population and Human Health, as shown in the assessment summary of </w:t>
      </w:r>
      <w:r w:rsidR="00491508" w:rsidRPr="00047418">
        <w:rPr>
          <w:b/>
          <w:bCs/>
        </w:rPr>
        <w:t xml:space="preserve">Chapter </w:t>
      </w:r>
      <w:r w:rsidR="00492B66" w:rsidRPr="00047418">
        <w:rPr>
          <w:b/>
          <w:bCs/>
        </w:rPr>
        <w:fldChar w:fldCharType="begin"/>
      </w:r>
      <w:r w:rsidR="00492B66" w:rsidRPr="00047418">
        <w:rPr>
          <w:b/>
          <w:bCs/>
        </w:rPr>
        <w:instrText xml:space="preserve"> REF _Ref90565706 \r \h </w:instrText>
      </w:r>
      <w:r w:rsidR="00D1611E" w:rsidRPr="00047418">
        <w:rPr>
          <w:b/>
          <w:bCs/>
        </w:rPr>
        <w:instrText xml:space="preserve"> \* MERGEFORMAT </w:instrText>
      </w:r>
      <w:r w:rsidR="00492B66" w:rsidRPr="00047418">
        <w:rPr>
          <w:b/>
          <w:bCs/>
        </w:rPr>
      </w:r>
      <w:r w:rsidR="00492B66" w:rsidRPr="00047418">
        <w:rPr>
          <w:b/>
          <w:bCs/>
        </w:rPr>
        <w:fldChar w:fldCharType="separate"/>
      </w:r>
      <w:r w:rsidR="00C22A9E" w:rsidRPr="00C22A9E">
        <w:rPr>
          <w:b/>
        </w:rPr>
        <w:t>8</w:t>
      </w:r>
      <w:r w:rsidR="00492B66" w:rsidRPr="00047418">
        <w:rPr>
          <w:b/>
          <w:bCs/>
        </w:rPr>
        <w:fldChar w:fldCharType="end"/>
      </w:r>
      <w:r w:rsidR="000C1D6C" w:rsidRPr="00047418">
        <w:rPr>
          <w:b/>
          <w:bCs/>
        </w:rPr>
        <w:t xml:space="preserve"> (Assessment Results)</w:t>
      </w:r>
      <w:r w:rsidR="00491508" w:rsidRPr="00047418">
        <w:rPr>
          <w:b/>
          <w:bCs/>
        </w:rPr>
        <w:t>.</w:t>
      </w:r>
      <w:r w:rsidR="00491508" w:rsidRPr="00047418">
        <w:t xml:space="preserve"> </w:t>
      </w:r>
      <w:r w:rsidR="00C72A20" w:rsidRPr="00047418">
        <w:t>Howe</w:t>
      </w:r>
      <w:r w:rsidR="00E33986" w:rsidRPr="00047418">
        <w:t xml:space="preserve">ver, there </w:t>
      </w:r>
      <w:r w:rsidR="00AB4129" w:rsidRPr="00047418">
        <w:t>remain some strategic op</w:t>
      </w:r>
      <w:r w:rsidR="006826EE" w:rsidRPr="00047418">
        <w:t xml:space="preserve">portunities to </w:t>
      </w:r>
      <w:r w:rsidR="008A3429" w:rsidRPr="00047418">
        <w:t>enhance these beneficial</w:t>
      </w:r>
      <w:r w:rsidR="00803499" w:rsidRPr="00047418">
        <w:t xml:space="preserve"> </w:t>
      </w:r>
      <w:r w:rsidR="000B40FB">
        <w:t>effe</w:t>
      </w:r>
      <w:r w:rsidR="000B40FB" w:rsidRPr="004F5EEB">
        <w:t>cts</w:t>
      </w:r>
      <w:r w:rsidR="00630D16" w:rsidRPr="00047418">
        <w:t xml:space="preserve">. </w:t>
      </w:r>
      <w:r w:rsidR="00E05829" w:rsidRPr="00047418">
        <w:t xml:space="preserve">In particular, </w:t>
      </w:r>
      <w:r w:rsidR="00190DCB" w:rsidRPr="00047418">
        <w:t>the SEA recommend</w:t>
      </w:r>
      <w:r w:rsidR="00E52BC1">
        <w:t>s</w:t>
      </w:r>
      <w:r w:rsidR="00190DCB" w:rsidRPr="00047418">
        <w:t xml:space="preserve"> that</w:t>
      </w:r>
      <w:r w:rsidR="00326308" w:rsidRPr="00047418">
        <w:t>:</w:t>
      </w:r>
    </w:p>
    <w:p w14:paraId="3DE8E80F" w14:textId="5DC954B6" w:rsidR="00326308" w:rsidRPr="00047418" w:rsidRDefault="00791883" w:rsidP="00D93256">
      <w:pPr>
        <w:pStyle w:val="STPR2BulletsLevel1"/>
      </w:pPr>
      <w:r w:rsidRPr="00047418">
        <w:t>A</w:t>
      </w:r>
      <w:r w:rsidR="00190DCB" w:rsidRPr="00047418">
        <w:t>ll of the active travel rec</w:t>
      </w:r>
      <w:r w:rsidR="00F20E6A" w:rsidRPr="00047418">
        <w:t>ommendations are taken forward and implemented</w:t>
      </w:r>
      <w:r w:rsidR="00A92D2E" w:rsidRPr="00047418">
        <w:t xml:space="preserve"> in order to maximise the</w:t>
      </w:r>
      <w:r w:rsidR="00476761" w:rsidRPr="00047418">
        <w:t xml:space="preserve"> potential</w:t>
      </w:r>
      <w:r w:rsidR="00674C51" w:rsidRPr="00047418">
        <w:t xml:space="preserve"> modal shift</w:t>
      </w:r>
      <w:r w:rsidR="006A2A97" w:rsidRPr="00047418">
        <w:t xml:space="preserve"> from pr</w:t>
      </w:r>
      <w:r w:rsidR="00B736D3" w:rsidRPr="00047418">
        <w:t>ivate vehicles to walking, wheeling and</w:t>
      </w:r>
      <w:r w:rsidR="008D0DFB">
        <w:t> </w:t>
      </w:r>
      <w:r w:rsidR="00B736D3" w:rsidRPr="00047418">
        <w:t>cycling</w:t>
      </w:r>
      <w:r w:rsidR="00964D14" w:rsidRPr="00047418">
        <w:t>.</w:t>
      </w:r>
    </w:p>
    <w:p w14:paraId="61D6AEF6" w14:textId="3552B7CC" w:rsidR="00952C0C" w:rsidRPr="00047418" w:rsidRDefault="00A74173" w:rsidP="00D93256">
      <w:pPr>
        <w:pStyle w:val="STPR2BulletsLevel1"/>
      </w:pPr>
      <w:r w:rsidRPr="00047418">
        <w:t xml:space="preserve">Transport Scotland’s active travel investment is prioritised towards locations and areas in which it can help local authorities and their partners deliver comprehensive, high-quality active travel networks, with appropriate supporting measures. This prioritisation should be given to investments which will result in high-quality, attractive, dense and safe networks for people to walk, wheel and cycle </w:t>
      </w:r>
      <w:r w:rsidR="00F84102">
        <w:t>to</w:t>
      </w:r>
      <w:r w:rsidR="005A2E4F">
        <w:t xml:space="preserve"> places of work</w:t>
      </w:r>
      <w:r w:rsidR="003072C1">
        <w:t>, essential services</w:t>
      </w:r>
      <w:r w:rsidR="00B1453D">
        <w:t>, community facilities and spaces</w:t>
      </w:r>
      <w:r w:rsidR="005A2E4F">
        <w:t xml:space="preserve"> and </w:t>
      </w:r>
      <w:r w:rsidR="00BC7E18">
        <w:t xml:space="preserve">public </w:t>
      </w:r>
      <w:r w:rsidR="005A2E4F">
        <w:t>transport</w:t>
      </w:r>
      <w:r w:rsidR="00BC7E18">
        <w:t xml:space="preserve"> hubs</w:t>
      </w:r>
      <w:r w:rsidRPr="00047418">
        <w:t>.</w:t>
      </w:r>
      <w:r w:rsidR="00F84102">
        <w:t xml:space="preserve"> These should be provided within communities and link with other communities.</w:t>
      </w:r>
    </w:p>
    <w:p w14:paraId="666AD0CD" w14:textId="524A06AA" w:rsidR="009F78B7" w:rsidRDefault="009F78B7" w:rsidP="00D93256">
      <w:pPr>
        <w:pStyle w:val="STPR2BulletsLevel1"/>
      </w:pPr>
      <w:r>
        <w:t xml:space="preserve">Seek opportunities to </w:t>
      </w:r>
      <w:r w:rsidR="00201FCC">
        <w:t>implement</w:t>
      </w:r>
      <w:r>
        <w:t xml:space="preserve"> active travel</w:t>
      </w:r>
      <w:r w:rsidR="00201FCC">
        <w:t xml:space="preserve"> measures in, or close to areas</w:t>
      </w:r>
      <w:r>
        <w:t xml:space="preserve"> </w:t>
      </w:r>
      <w:r w:rsidR="00201FCC">
        <w:t>with concentrations of poor health</w:t>
      </w:r>
      <w:r w:rsidR="00805127">
        <w:t xml:space="preserve">, </w:t>
      </w:r>
      <w:r w:rsidR="00201FCC">
        <w:t>low levels</w:t>
      </w:r>
      <w:r>
        <w:t xml:space="preserve"> </w:t>
      </w:r>
      <w:r w:rsidR="00201FCC">
        <w:t>of physical activity</w:t>
      </w:r>
      <w:r w:rsidR="00DB1C79">
        <w:t>, areas of deprivation</w:t>
      </w:r>
      <w:r w:rsidR="00201FCC">
        <w:t xml:space="preserve"> </w:t>
      </w:r>
      <w:r w:rsidR="00805127">
        <w:t>or</w:t>
      </w:r>
      <w:r w:rsidR="00201FCC">
        <w:t xml:space="preserve"> </w:t>
      </w:r>
      <w:r w:rsidR="00DB1C79">
        <w:t>areas where the</w:t>
      </w:r>
      <w:r w:rsidR="00201FCC">
        <w:t xml:space="preserve"> air quality</w:t>
      </w:r>
      <w:r>
        <w:t xml:space="preserve"> </w:t>
      </w:r>
      <w:r w:rsidR="00DB1C79">
        <w:t>is poor</w:t>
      </w:r>
      <w:r w:rsidR="00201FCC">
        <w:t>.</w:t>
      </w:r>
    </w:p>
    <w:p w14:paraId="02E47352" w14:textId="41F5BFA8" w:rsidR="00763279" w:rsidRPr="00047418" w:rsidRDefault="00B2023F" w:rsidP="00D93256">
      <w:pPr>
        <w:pStyle w:val="STPR2BulletsLevel1"/>
      </w:pPr>
      <w:r w:rsidRPr="00047418">
        <w:t xml:space="preserve">The development of </w:t>
      </w:r>
      <w:r w:rsidR="00E620AA" w:rsidRPr="00E620AA">
        <w:t xml:space="preserve">the </w:t>
      </w:r>
      <w:r w:rsidRPr="00047418">
        <w:t xml:space="preserve">STPR2 </w:t>
      </w:r>
      <w:r w:rsidR="00B5201F">
        <w:t>recommenda</w:t>
      </w:r>
      <w:r w:rsidRPr="00047418">
        <w:t xml:space="preserve">tions should prioritise </w:t>
      </w:r>
      <w:r w:rsidR="00EF194D" w:rsidRPr="00047418">
        <w:t xml:space="preserve">the provision of </w:t>
      </w:r>
      <w:r w:rsidRPr="00047418">
        <w:t>high</w:t>
      </w:r>
      <w:r w:rsidR="00D42A63" w:rsidRPr="00047418">
        <w:t>-</w:t>
      </w:r>
      <w:r w:rsidRPr="00047418">
        <w:t>quality</w:t>
      </w:r>
      <w:r w:rsidR="00EF194D" w:rsidRPr="00047418">
        <w:t xml:space="preserve"> green</w:t>
      </w:r>
      <w:r w:rsidR="00F36635" w:rsidRPr="00047418">
        <w:t xml:space="preserve"> or blue infrastructure, or </w:t>
      </w:r>
      <w:r w:rsidR="00433E05" w:rsidRPr="00047418">
        <w:t xml:space="preserve">improve </w:t>
      </w:r>
      <w:r w:rsidR="00F36635" w:rsidRPr="00047418">
        <w:t>accessibility to</w:t>
      </w:r>
      <w:r w:rsidR="00433E05" w:rsidRPr="00047418">
        <w:t xml:space="preserve"> existing green and blue infrastructure.</w:t>
      </w:r>
      <w:r w:rsidR="00E05F8E" w:rsidRPr="00047418">
        <w:t xml:space="preserve"> This is</w:t>
      </w:r>
      <w:r w:rsidR="00E2113A" w:rsidRPr="00047418">
        <w:t xml:space="preserve"> likely to lead to significant benef</w:t>
      </w:r>
      <w:r w:rsidR="00493A53" w:rsidRPr="00047418">
        <w:t>i</w:t>
      </w:r>
      <w:r w:rsidR="00E2113A" w:rsidRPr="00047418">
        <w:t>ts for</w:t>
      </w:r>
      <w:r w:rsidR="00493A53" w:rsidRPr="00047418">
        <w:t xml:space="preserve"> mental and physical health</w:t>
      </w:r>
      <w:r w:rsidR="003D0B54" w:rsidRPr="00047418">
        <w:t xml:space="preserve"> as well as sense of</w:t>
      </w:r>
      <w:r w:rsidR="00E21B06" w:rsidRPr="00047418">
        <w:t xml:space="preserve"> place and local pride</w:t>
      </w:r>
      <w:r w:rsidR="00493A53" w:rsidRPr="00047418">
        <w:t xml:space="preserve">. </w:t>
      </w:r>
    </w:p>
    <w:p w14:paraId="5763D3AA" w14:textId="424AF5DA" w:rsidR="00C97519" w:rsidRDefault="00416EF1" w:rsidP="008E14D2">
      <w:pPr>
        <w:pStyle w:val="Heading2"/>
      </w:pPr>
      <w:bookmarkStart w:id="1938" w:name="_Toc121339168"/>
      <w:r>
        <w:lastRenderedPageBreak/>
        <w:t>Water</w:t>
      </w:r>
      <w:bookmarkEnd w:id="1938"/>
    </w:p>
    <w:p w14:paraId="58B73887" w14:textId="76CE8D2A" w:rsidR="00416EF1" w:rsidRPr="00047418" w:rsidRDefault="00E620AA" w:rsidP="00D93256">
      <w:pPr>
        <w:pStyle w:val="STPR2BodyText"/>
      </w:pPr>
      <w:r>
        <w:t xml:space="preserve">The </w:t>
      </w:r>
      <w:r w:rsidR="007B2CE6" w:rsidRPr="00047418">
        <w:t>STPR</w:t>
      </w:r>
      <w:r w:rsidR="009D688F" w:rsidRPr="00047418">
        <w:t xml:space="preserve">2 </w:t>
      </w:r>
      <w:r w:rsidR="00B5201F" w:rsidRPr="00B5201F">
        <w:t>recommendations</w:t>
      </w:r>
      <w:r w:rsidR="0084633F" w:rsidRPr="00047418">
        <w:t xml:space="preserve"> that focus on</w:t>
      </w:r>
      <w:r w:rsidR="00412D53" w:rsidRPr="00047418">
        <w:t xml:space="preserve"> climate change adaptation</w:t>
      </w:r>
      <w:r w:rsidR="00EE5784">
        <w:t xml:space="preserve"> (</w:t>
      </w:r>
      <w:r w:rsidR="00B3226D">
        <w:t>Recommendation 31</w:t>
      </w:r>
      <w:r w:rsidR="00EE5784">
        <w:t>)</w:t>
      </w:r>
      <w:r w:rsidR="00404A44" w:rsidRPr="00047418">
        <w:t xml:space="preserve"> </w:t>
      </w:r>
      <w:r w:rsidR="00C96D47" w:rsidRPr="00047418">
        <w:t>wil</w:t>
      </w:r>
      <w:r w:rsidR="007124E3" w:rsidRPr="00047418">
        <w:t>l provide opportunities t</w:t>
      </w:r>
      <w:r w:rsidR="002F4501" w:rsidRPr="00047418">
        <w:t>o reduce flood risk and increase</w:t>
      </w:r>
      <w:r w:rsidR="009A2DFE" w:rsidRPr="00047418">
        <w:t xml:space="preserve"> the installation of</w:t>
      </w:r>
      <w:r w:rsidR="00B5201F">
        <w:t xml:space="preserve"> SuDS</w:t>
      </w:r>
      <w:r w:rsidR="00387B8D" w:rsidRPr="00047418">
        <w:t xml:space="preserve"> which will help maintain or improve water quality. </w:t>
      </w:r>
      <w:r w:rsidR="000775EA" w:rsidRPr="00047418">
        <w:t xml:space="preserve">The </w:t>
      </w:r>
      <w:r w:rsidR="0092640F" w:rsidRPr="00047418">
        <w:t xml:space="preserve">implementation of </w:t>
      </w:r>
      <w:r w:rsidR="00C06D67">
        <w:t xml:space="preserve">climate adaptation measures (see </w:t>
      </w:r>
      <w:r w:rsidR="00C06D67" w:rsidRPr="00860B65">
        <w:rPr>
          <w:b/>
          <w:bCs/>
        </w:rPr>
        <w:t>Section 9.2.6</w:t>
      </w:r>
      <w:r w:rsidR="00431209">
        <w:t>)</w:t>
      </w:r>
      <w:r w:rsidR="00C06D67">
        <w:t xml:space="preserve"> </w:t>
      </w:r>
      <w:r w:rsidR="00431209">
        <w:t xml:space="preserve">and </w:t>
      </w:r>
      <w:r w:rsidR="00AC6BE3" w:rsidRPr="00047418">
        <w:t>nature-based solutions</w:t>
      </w:r>
      <w:r w:rsidR="00104829" w:rsidRPr="00047418">
        <w:t xml:space="preserve">, as described in </w:t>
      </w:r>
      <w:r w:rsidR="00104829" w:rsidRPr="003C06C1">
        <w:rPr>
          <w:b/>
          <w:bCs/>
        </w:rPr>
        <w:t xml:space="preserve">Section </w:t>
      </w:r>
      <w:r w:rsidR="00F1728D" w:rsidRPr="003C06C1">
        <w:rPr>
          <w:b/>
          <w:bCs/>
        </w:rPr>
        <w:fldChar w:fldCharType="begin"/>
      </w:r>
      <w:r w:rsidR="00F1728D" w:rsidRPr="003C06C1">
        <w:rPr>
          <w:b/>
          <w:bCs/>
        </w:rPr>
        <w:instrText xml:space="preserve"> REF _Ref90565890 \r \h </w:instrText>
      </w:r>
      <w:r w:rsidR="00047418" w:rsidRPr="003C06C1">
        <w:rPr>
          <w:b/>
          <w:bCs/>
        </w:rPr>
        <w:instrText xml:space="preserve"> \* MERGEFORMAT </w:instrText>
      </w:r>
      <w:r w:rsidR="00F1728D" w:rsidRPr="003C06C1">
        <w:rPr>
          <w:b/>
          <w:bCs/>
        </w:rPr>
      </w:r>
      <w:r w:rsidR="00F1728D" w:rsidRPr="003C06C1">
        <w:rPr>
          <w:b/>
          <w:bCs/>
        </w:rPr>
        <w:fldChar w:fldCharType="separate"/>
      </w:r>
      <w:r w:rsidR="00C22A9E">
        <w:rPr>
          <w:b/>
          <w:bCs/>
        </w:rPr>
        <w:t>9.5</w:t>
      </w:r>
      <w:r w:rsidR="00F1728D" w:rsidRPr="003C06C1">
        <w:rPr>
          <w:b/>
          <w:bCs/>
        </w:rPr>
        <w:fldChar w:fldCharType="end"/>
      </w:r>
      <w:r w:rsidR="00206738" w:rsidRPr="00047418">
        <w:t>, will also help maintain or improve water quality</w:t>
      </w:r>
      <w:r w:rsidR="00AF5F06" w:rsidRPr="00047418">
        <w:t xml:space="preserve"> through the protection of soil and reduction of erosion.</w:t>
      </w:r>
    </w:p>
    <w:p w14:paraId="3ADA5FBA" w14:textId="403FC62E" w:rsidR="00BE1D8C" w:rsidRPr="00047418" w:rsidRDefault="00BE1D8C" w:rsidP="00D93256">
      <w:pPr>
        <w:pStyle w:val="STPR2BodyText"/>
      </w:pPr>
      <w:r w:rsidRPr="00047418">
        <w:t xml:space="preserve">The design of any STPR2 </w:t>
      </w:r>
      <w:r w:rsidR="00B5201F" w:rsidRPr="00B5201F">
        <w:t xml:space="preserve">recommendations </w:t>
      </w:r>
      <w:r w:rsidRPr="00047418">
        <w:t>should be undertaken in line with best practice and relevant guidance, considering the requirements of The Water Environment (Controlled Activities) (Scotland) Regulations 2011 (as amended) (CAR) and in consultation with SEPA.</w:t>
      </w:r>
      <w:r w:rsidR="00493C0C" w:rsidRPr="00493C0C">
        <w:t xml:space="preserve"> </w:t>
      </w:r>
      <w:r w:rsidR="00493C0C" w:rsidRPr="00047418">
        <w:t xml:space="preserve">Site specific flood risk assessments should be undertaken in accordance with </w:t>
      </w:r>
      <w:r w:rsidR="00514D9D">
        <w:t>Design Manual for Roads and Bridges (</w:t>
      </w:r>
      <w:r w:rsidR="00493C0C" w:rsidRPr="00047418">
        <w:t>DMRB</w:t>
      </w:r>
      <w:r w:rsidR="00514D9D">
        <w:t>)</w:t>
      </w:r>
      <w:r w:rsidR="00493C0C" w:rsidRPr="00047418">
        <w:t>, SEPA and other relevant guidance, as more localised detail becomes available at each design stage.</w:t>
      </w:r>
    </w:p>
    <w:p w14:paraId="08327B1E" w14:textId="1B2C8F77" w:rsidR="00A149D2" w:rsidRDefault="00A149D2" w:rsidP="008E14D2">
      <w:pPr>
        <w:pStyle w:val="Heading2"/>
      </w:pPr>
      <w:bookmarkStart w:id="1939" w:name="_Ref90565890"/>
      <w:bookmarkStart w:id="1940" w:name="_Toc121339169"/>
      <w:r>
        <w:t>Biodiversity</w:t>
      </w:r>
      <w:bookmarkEnd w:id="1939"/>
      <w:bookmarkEnd w:id="1940"/>
    </w:p>
    <w:p w14:paraId="7B0E30CE" w14:textId="16800947" w:rsidR="00E442B2" w:rsidRPr="00047418" w:rsidRDefault="00B75C26" w:rsidP="00D93256">
      <w:pPr>
        <w:pStyle w:val="STPR2BodyText"/>
      </w:pPr>
      <w:r w:rsidRPr="00047418">
        <w:t xml:space="preserve">The following mitigation measures will be required for </w:t>
      </w:r>
      <w:r w:rsidR="00CC16D1" w:rsidRPr="00CC16D1">
        <w:t xml:space="preserve">the </w:t>
      </w:r>
      <w:r w:rsidRPr="00047418">
        <w:t>STPR2</w:t>
      </w:r>
      <w:r w:rsidR="00DA121E" w:rsidRPr="00047418">
        <w:t xml:space="preserve"> in relation to </w:t>
      </w:r>
      <w:r w:rsidR="00134FD4" w:rsidRPr="00047418">
        <w:t>biodiversity</w:t>
      </w:r>
      <w:r w:rsidRPr="00047418">
        <w:t>:</w:t>
      </w:r>
      <w:r w:rsidR="00124ABB" w:rsidRPr="00047418">
        <w:t xml:space="preserve"> </w:t>
      </w:r>
    </w:p>
    <w:p w14:paraId="257EA975" w14:textId="211CD01F" w:rsidR="00AE3437" w:rsidRPr="00047418" w:rsidRDefault="007C60AE" w:rsidP="00D93256">
      <w:pPr>
        <w:pStyle w:val="STPR2BulletsLevel1"/>
      </w:pPr>
      <w:r w:rsidRPr="00047418">
        <w:t>Further environmental assessment will need to be undertaken to ensure site-level biodiversity constraints and opportunities are identified</w:t>
      </w:r>
      <w:r w:rsidR="00DD2DF1" w:rsidRPr="00047418">
        <w:t xml:space="preserve"> and </w:t>
      </w:r>
      <w:r w:rsidR="005C5D68" w:rsidRPr="00047418">
        <w:t xml:space="preserve">thereby allow </w:t>
      </w:r>
      <w:r w:rsidR="00DD2DF1" w:rsidRPr="00047418">
        <w:t xml:space="preserve">any negative </w:t>
      </w:r>
      <w:r w:rsidR="000B40FB">
        <w:t>effe</w:t>
      </w:r>
      <w:r w:rsidR="000B40FB" w:rsidRPr="004F5EEB">
        <w:t>cts</w:t>
      </w:r>
      <w:r w:rsidR="000B40FB">
        <w:t xml:space="preserve"> </w:t>
      </w:r>
      <w:r w:rsidR="005C5D68" w:rsidRPr="00047418">
        <w:t>on biodiversity to be avoided or minimised</w:t>
      </w:r>
      <w:r w:rsidRPr="00047418">
        <w:t>. This includes consideration of designated and undesignated biodiversity.</w:t>
      </w:r>
      <w:r w:rsidR="00727A99" w:rsidRPr="00047418">
        <w:t xml:space="preserve"> </w:t>
      </w:r>
      <w:r w:rsidR="00C93DAC" w:rsidRPr="00047418">
        <w:t xml:space="preserve">This environmental assessment will need to </w:t>
      </w:r>
      <w:r w:rsidR="000B5FE2" w:rsidRPr="00047418">
        <w:t xml:space="preserve">prioritise </w:t>
      </w:r>
      <w:r w:rsidR="00041D80" w:rsidRPr="00047418">
        <w:t>delivering nature-based solutions</w:t>
      </w:r>
      <w:r w:rsidR="003620DF" w:rsidRPr="00047418">
        <w:t xml:space="preserve"> with multiple benefits</w:t>
      </w:r>
      <w:r w:rsidR="00894108">
        <w:t xml:space="preserve"> and </w:t>
      </w:r>
      <w:r w:rsidR="00894108" w:rsidRPr="00047418">
        <w:t>achieving positive effects for biodiversity</w:t>
      </w:r>
      <w:r w:rsidR="000B758C">
        <w:t xml:space="preserve">, such as the Scottish Government’s </w:t>
      </w:r>
      <w:r w:rsidR="00A50C5A">
        <w:t>agree</w:t>
      </w:r>
      <w:r w:rsidR="000B758C">
        <w:t>ment to protect at least 30</w:t>
      </w:r>
      <w:r w:rsidR="00847A22">
        <w:t xml:space="preserve"> per cent</w:t>
      </w:r>
      <w:r w:rsidR="000B758C">
        <w:t xml:space="preserve"> of Scotland’s land and seas </w:t>
      </w:r>
      <w:r w:rsidR="009C22B8">
        <w:t xml:space="preserve">by </w:t>
      </w:r>
      <w:r w:rsidR="000B758C">
        <w:t>2030</w:t>
      </w:r>
      <w:r w:rsidR="00DF34EC">
        <w:t xml:space="preserve"> (</w:t>
      </w:r>
      <w:r w:rsidR="009A5B1A">
        <w:t xml:space="preserve">also </w:t>
      </w:r>
      <w:r w:rsidR="00DF34EC">
        <w:t>known as</w:t>
      </w:r>
      <w:r w:rsidR="009A5B1A">
        <w:t xml:space="preserve"> the</w:t>
      </w:r>
      <w:r w:rsidR="00DF34EC">
        <w:t xml:space="preserve"> </w:t>
      </w:r>
      <w:r w:rsidR="00595593">
        <w:t>‘</w:t>
      </w:r>
      <w:r w:rsidR="00DF34EC">
        <w:t>30</w:t>
      </w:r>
      <w:r w:rsidR="00595593">
        <w:t xml:space="preserve"> by </w:t>
      </w:r>
      <w:r w:rsidR="00DF34EC">
        <w:t>30’</w:t>
      </w:r>
      <w:r w:rsidR="009A5B1A">
        <w:t xml:space="preserve"> </w:t>
      </w:r>
      <w:r w:rsidR="00595593">
        <w:t xml:space="preserve">commitment) </w:t>
      </w:r>
      <w:r w:rsidR="009C22B8">
        <w:t>and</w:t>
      </w:r>
      <w:r w:rsidR="009A5B1A">
        <w:t xml:space="preserve"> to</w:t>
      </w:r>
      <w:r w:rsidR="000B758C">
        <w:t xml:space="preserve"> highly protect 10</w:t>
      </w:r>
      <w:r w:rsidR="00847A22">
        <w:t xml:space="preserve"> per cent</w:t>
      </w:r>
      <w:r w:rsidR="00AA224C">
        <w:t xml:space="preserve"> (</w:t>
      </w:r>
      <w:r w:rsidR="001D309B">
        <w:t xml:space="preserve">NatureScot, </w:t>
      </w:r>
      <w:r w:rsidR="00B444A1">
        <w:t>2022</w:t>
      </w:r>
      <w:r w:rsidR="0001186E">
        <w:t>a</w:t>
      </w:r>
      <w:r w:rsidR="00AA224C">
        <w:t>)</w:t>
      </w:r>
      <w:r w:rsidR="000B758C">
        <w:t>.</w:t>
      </w:r>
    </w:p>
    <w:p w14:paraId="7850064B" w14:textId="331606D3" w:rsidR="005726F2" w:rsidRDefault="00AE3437" w:rsidP="00D93256">
      <w:pPr>
        <w:pStyle w:val="STPR2BulletsLevel1"/>
      </w:pPr>
      <w:r w:rsidRPr="00047418">
        <w:t xml:space="preserve">Where new </w:t>
      </w:r>
      <w:r w:rsidR="0013689B" w:rsidRPr="00047418">
        <w:t xml:space="preserve">transport </w:t>
      </w:r>
      <w:r w:rsidRPr="00047418">
        <w:t>infrastructure is</w:t>
      </w:r>
      <w:r w:rsidR="00D17E0B" w:rsidRPr="00047418">
        <w:t xml:space="preserve"> proposed</w:t>
      </w:r>
      <w:r w:rsidR="00E048E0" w:rsidRPr="00047418">
        <w:t>, particularly linear infrastruc</w:t>
      </w:r>
      <w:r w:rsidR="008E5CFF" w:rsidRPr="00047418">
        <w:t>t</w:t>
      </w:r>
      <w:r w:rsidR="00E048E0" w:rsidRPr="00047418">
        <w:t>ure,</w:t>
      </w:r>
      <w:r w:rsidR="008E5CFF" w:rsidRPr="00047418">
        <w:t xml:space="preserve"> opportunities t</w:t>
      </w:r>
      <w:r w:rsidR="00722E75" w:rsidRPr="00047418">
        <w:t xml:space="preserve">o provide green </w:t>
      </w:r>
      <w:r w:rsidR="00B346B4">
        <w:t xml:space="preserve">or blue </w:t>
      </w:r>
      <w:r w:rsidR="00722E75" w:rsidRPr="00047418">
        <w:t>infrast</w:t>
      </w:r>
      <w:r w:rsidR="00C0593A" w:rsidRPr="00047418">
        <w:t>r</w:t>
      </w:r>
      <w:r w:rsidR="00722E75" w:rsidRPr="00047418">
        <w:t>u</w:t>
      </w:r>
      <w:r w:rsidR="001D3990" w:rsidRPr="00047418">
        <w:t>ctu</w:t>
      </w:r>
      <w:r w:rsidR="00722E75" w:rsidRPr="00047418">
        <w:t>re</w:t>
      </w:r>
      <w:r w:rsidR="00674EF7" w:rsidRPr="00047418">
        <w:t xml:space="preserve"> </w:t>
      </w:r>
      <w:r w:rsidR="00940D92" w:rsidRPr="00940D92">
        <w:t>for biodiversity benefits and climate resilience should be explored</w:t>
      </w:r>
      <w:r w:rsidR="00940D92" w:rsidRPr="00940D92" w:rsidDel="00940D92">
        <w:t xml:space="preserve"> </w:t>
      </w:r>
      <w:r w:rsidR="00DC7E99" w:rsidRPr="00047418">
        <w:t>– for example to provide</w:t>
      </w:r>
      <w:r w:rsidR="00DF3E99" w:rsidRPr="00047418">
        <w:t xml:space="preserve"> new</w:t>
      </w:r>
      <w:r w:rsidR="00DC7E99" w:rsidRPr="00047418">
        <w:t xml:space="preserve"> </w:t>
      </w:r>
      <w:r w:rsidR="006331B9" w:rsidRPr="00047418">
        <w:t>wildlife corridors</w:t>
      </w:r>
      <w:r w:rsidR="00DF3E99" w:rsidRPr="00047418">
        <w:t xml:space="preserve"> between biodiversity sites.</w:t>
      </w:r>
      <w:r w:rsidR="00E22C82">
        <w:t xml:space="preserve"> Careful design will be required to ensure any new wildlife corridors support connectivity without facilitating the spread of invasive non-native species.</w:t>
      </w:r>
      <w:r w:rsidR="00C0593A" w:rsidRPr="00047418">
        <w:t xml:space="preserve"> </w:t>
      </w:r>
      <w:r w:rsidR="00C803EA">
        <w:t xml:space="preserve">This </w:t>
      </w:r>
      <w:r w:rsidR="00B346B4">
        <w:t>green or blue infrastructure is also likely to provide benefits for other SEA topics</w:t>
      </w:r>
      <w:r w:rsidR="001C2797">
        <w:t xml:space="preserve"> – for example, tree planting can provide shading and cooling and </w:t>
      </w:r>
      <w:r w:rsidR="00261F45">
        <w:t xml:space="preserve">potentially intercept </w:t>
      </w:r>
      <w:r w:rsidR="00AE1B39">
        <w:t>airborne particulate matter</w:t>
      </w:r>
      <w:r w:rsidR="00261F45">
        <w:t>.</w:t>
      </w:r>
    </w:p>
    <w:p w14:paraId="317E7EF1" w14:textId="3FC3D493" w:rsidR="009F1AC2" w:rsidRDefault="00FF16C1" w:rsidP="00D93256">
      <w:pPr>
        <w:pStyle w:val="STPR2BulletsLevel1"/>
      </w:pPr>
      <w:r>
        <w:t>Opportunities to enhance habitats with a high carbon sink value should be explored</w:t>
      </w:r>
      <w:r w:rsidR="004F5CA0">
        <w:t>.</w:t>
      </w:r>
    </w:p>
    <w:p w14:paraId="56BEEC35" w14:textId="59E9F5E7" w:rsidR="00CB15BC" w:rsidRPr="00047418" w:rsidRDefault="00CB15BC" w:rsidP="00D93256">
      <w:pPr>
        <w:pStyle w:val="STPR2BulletsLevel1"/>
      </w:pPr>
      <w:r>
        <w:t>New t</w:t>
      </w:r>
      <w:r w:rsidRPr="002D1B22">
        <w:t>ransport projects should also look to deliver Positive Effects for Biodiversity by integrating nature into new or retro-fitted infrastructure projects</w:t>
      </w:r>
      <w:r w:rsidR="00DF0D92">
        <w:t>.</w:t>
      </w:r>
    </w:p>
    <w:p w14:paraId="4119B8E4" w14:textId="74D9B3B5" w:rsidR="001D0BD8" w:rsidRPr="00047418" w:rsidRDefault="005726F2" w:rsidP="00D93256">
      <w:pPr>
        <w:pStyle w:val="STPR2BulletsLevel1"/>
      </w:pPr>
      <w:r w:rsidRPr="00047418">
        <w:t>Where new transport infrastructure is proposed</w:t>
      </w:r>
      <w:r w:rsidR="009C205D" w:rsidRPr="00047418">
        <w:t>, this</w:t>
      </w:r>
      <w:r w:rsidR="00E048E0" w:rsidRPr="00047418">
        <w:t xml:space="preserve"> </w:t>
      </w:r>
      <w:r w:rsidRPr="00047418">
        <w:t xml:space="preserve">should </w:t>
      </w:r>
      <w:r w:rsidR="00C4051C" w:rsidRPr="00047418">
        <w:t>seek to reduce</w:t>
      </w:r>
      <w:r w:rsidR="00CF6BFC" w:rsidRPr="00047418">
        <w:t xml:space="preserve"> overall land-take and </w:t>
      </w:r>
      <w:r w:rsidRPr="00047418">
        <w:t>avoid sites designated for their biological interest, particularly sites of international and national importance.</w:t>
      </w:r>
    </w:p>
    <w:p w14:paraId="50A9FCBA" w14:textId="6F108AEA" w:rsidR="006F5085" w:rsidRPr="00047418" w:rsidRDefault="00BC0B0B" w:rsidP="00D93256">
      <w:pPr>
        <w:pStyle w:val="STPR2BulletsLevel1"/>
      </w:pPr>
      <w:r w:rsidRPr="00047418">
        <w:t>Further engagement with NatureScot will be required in relation to the development of any new infrastructure</w:t>
      </w:r>
      <w:r w:rsidR="00DD5D05">
        <w:t>,</w:t>
      </w:r>
      <w:r w:rsidRPr="00047418">
        <w:t xml:space="preserve"> improvements to existing infrastructure</w:t>
      </w:r>
      <w:r w:rsidR="00DD5D05">
        <w:t xml:space="preserve"> or provision of green and blue infrastructure</w:t>
      </w:r>
      <w:r w:rsidRPr="00047418">
        <w:t>.</w:t>
      </w:r>
      <w:r w:rsidR="003B6DC1">
        <w:t xml:space="preserve"> This will allow any biodiversity opportunities to be maximised.</w:t>
      </w:r>
    </w:p>
    <w:p w14:paraId="42862987" w14:textId="0D32FC29" w:rsidR="004273D5" w:rsidRDefault="00DA3BE2" w:rsidP="008E14D2">
      <w:pPr>
        <w:pStyle w:val="Heading2"/>
      </w:pPr>
      <w:bookmarkStart w:id="1941" w:name="_Toc121339170"/>
      <w:r>
        <w:t>Soil</w:t>
      </w:r>
      <w:bookmarkEnd w:id="1941"/>
    </w:p>
    <w:p w14:paraId="197375B5" w14:textId="7A569D24" w:rsidR="00607FE7" w:rsidRPr="00047418" w:rsidRDefault="00607FE7" w:rsidP="00D93256">
      <w:pPr>
        <w:pStyle w:val="STPR2BodyText"/>
      </w:pPr>
      <w:r w:rsidRPr="00047418">
        <w:t xml:space="preserve">The following mitigation measures will be required for </w:t>
      </w:r>
      <w:r w:rsidR="00CC16D1" w:rsidRPr="00CC16D1">
        <w:t xml:space="preserve">the </w:t>
      </w:r>
      <w:r w:rsidRPr="00047418">
        <w:t xml:space="preserve">STPR2 in relation to </w:t>
      </w:r>
      <w:r w:rsidR="0019568B" w:rsidRPr="00047418">
        <w:t>soil</w:t>
      </w:r>
      <w:r w:rsidRPr="00047418">
        <w:t xml:space="preserve">: </w:t>
      </w:r>
    </w:p>
    <w:p w14:paraId="50E3853C" w14:textId="19D20E18" w:rsidR="00DA3BE2" w:rsidRDefault="00607FE7" w:rsidP="00D93256">
      <w:pPr>
        <w:pStyle w:val="STPR2BulletsLevel1"/>
      </w:pPr>
      <w:r w:rsidRPr="00047418">
        <w:t xml:space="preserve">Further environmental assessment will need to be undertaken to ensure site-level </w:t>
      </w:r>
      <w:r w:rsidR="00623E1F" w:rsidRPr="00047418">
        <w:t>development</w:t>
      </w:r>
      <w:r w:rsidR="0019568B" w:rsidRPr="00047418">
        <w:t xml:space="preserve"> avoids any</w:t>
      </w:r>
      <w:r w:rsidR="000B40FB">
        <w:t xml:space="preserve"> adverse</w:t>
      </w:r>
      <w:r w:rsidR="007E0453" w:rsidRPr="00047418">
        <w:t xml:space="preserve"> </w:t>
      </w:r>
      <w:r w:rsidR="000B40FB">
        <w:t>effe</w:t>
      </w:r>
      <w:r w:rsidR="000B40FB" w:rsidRPr="004F5EEB">
        <w:t>cts</w:t>
      </w:r>
      <w:r w:rsidR="007E0453" w:rsidRPr="00047418">
        <w:t xml:space="preserve"> on carbon-rich soils</w:t>
      </w:r>
      <w:r w:rsidR="00581BC5" w:rsidRPr="00047418">
        <w:t xml:space="preserve">, </w:t>
      </w:r>
      <w:r w:rsidR="007E0453" w:rsidRPr="00047418">
        <w:t>areas important for carbon sequestration</w:t>
      </w:r>
      <w:r w:rsidR="00866617" w:rsidRPr="00047418">
        <w:t xml:space="preserve"> and</w:t>
      </w:r>
      <w:r w:rsidR="00623E1F" w:rsidRPr="00047418">
        <w:t xml:space="preserve"> </w:t>
      </w:r>
      <w:r w:rsidR="006F63AE" w:rsidRPr="00047418">
        <w:t>sites designated for their geological interest</w:t>
      </w:r>
      <w:r w:rsidR="00B66D8C">
        <w:t>, such as</w:t>
      </w:r>
      <w:r w:rsidR="006F63AE" w:rsidRPr="00047418">
        <w:t xml:space="preserve"> </w:t>
      </w:r>
      <w:r w:rsidR="006F63AE" w:rsidRPr="00047418">
        <w:lastRenderedPageBreak/>
        <w:t>Geological Conservation Review (GCR) sites</w:t>
      </w:r>
      <w:r w:rsidR="006434C7">
        <w:t>.</w:t>
      </w:r>
    </w:p>
    <w:p w14:paraId="74A19E20" w14:textId="3DB6D460" w:rsidR="006434C7" w:rsidRPr="00047418" w:rsidRDefault="006D7E64" w:rsidP="00D93256">
      <w:pPr>
        <w:pStyle w:val="STPR2BulletsLevel1"/>
      </w:pPr>
      <w:r>
        <w:t xml:space="preserve">Further environmental assessment will also help identify opportunities </w:t>
      </w:r>
      <w:r w:rsidR="00A4661B">
        <w:t xml:space="preserve">to protect and/or enhance </w:t>
      </w:r>
      <w:r w:rsidR="003A36BB">
        <w:t xml:space="preserve">the </w:t>
      </w:r>
      <w:r w:rsidR="00A4661B">
        <w:t xml:space="preserve">health and biodiversity </w:t>
      </w:r>
      <w:r w:rsidR="003A36BB">
        <w:t>of soils</w:t>
      </w:r>
      <w:r w:rsidR="00820FF5">
        <w:t>, and</w:t>
      </w:r>
      <w:r w:rsidR="003A36BB">
        <w:t xml:space="preserve"> their</w:t>
      </w:r>
      <w:r w:rsidR="003C0FA0">
        <w:t xml:space="preserve"> role in helping control </w:t>
      </w:r>
      <w:r w:rsidR="009B16B2">
        <w:t>biochemical processes for nutrient cycles, gre</w:t>
      </w:r>
      <w:r w:rsidR="00F33406">
        <w:t>enhouse gas emissions</w:t>
      </w:r>
      <w:r w:rsidR="003A36BB">
        <w:t>, pollution</w:t>
      </w:r>
      <w:r w:rsidR="0088393E">
        <w:t xml:space="preserve"> </w:t>
      </w:r>
      <w:r w:rsidR="0015170E">
        <w:t xml:space="preserve">amongst other </w:t>
      </w:r>
      <w:r w:rsidR="00066200">
        <w:t xml:space="preserve">ecosystem </w:t>
      </w:r>
      <w:r w:rsidR="0015170E">
        <w:t>services</w:t>
      </w:r>
      <w:r w:rsidR="0088393E">
        <w:t>.</w:t>
      </w:r>
    </w:p>
    <w:p w14:paraId="5B601907" w14:textId="62EA7E4E" w:rsidR="002B120D" w:rsidRPr="00047418" w:rsidRDefault="002B120D" w:rsidP="00D93256">
      <w:pPr>
        <w:pStyle w:val="STPR2BulletsLevel1"/>
      </w:pPr>
      <w:r w:rsidRPr="00047418">
        <w:t xml:space="preserve">Where new transport infrastructure is required, prioritise the development of </w:t>
      </w:r>
      <w:r w:rsidR="00232785" w:rsidRPr="00047418">
        <w:t>vac</w:t>
      </w:r>
      <w:r w:rsidR="00DF56DC" w:rsidRPr="00047418">
        <w:t>ant and derelict land</w:t>
      </w:r>
      <w:r w:rsidRPr="00047418">
        <w:t xml:space="preserve"> to avoid</w:t>
      </w:r>
      <w:r w:rsidR="001C2E3E" w:rsidRPr="00047418">
        <w:t xml:space="preserve"> or minimise loss of </w:t>
      </w:r>
      <w:r w:rsidR="007532E0" w:rsidRPr="00047418">
        <w:t xml:space="preserve">undisturbed </w:t>
      </w:r>
      <w:r w:rsidR="001C2E3E" w:rsidRPr="00047418">
        <w:t>soils</w:t>
      </w:r>
      <w:r w:rsidR="00D05BA6" w:rsidRPr="00047418">
        <w:t>.</w:t>
      </w:r>
    </w:p>
    <w:p w14:paraId="22E61C1C" w14:textId="09AFFDD5" w:rsidR="00DA3BE2" w:rsidRDefault="00DA3BE2" w:rsidP="008E14D2">
      <w:pPr>
        <w:pStyle w:val="Heading2"/>
      </w:pPr>
      <w:bookmarkStart w:id="1942" w:name="_Toc121339171"/>
      <w:r>
        <w:t>Cultural Heritage</w:t>
      </w:r>
      <w:bookmarkEnd w:id="1942"/>
    </w:p>
    <w:p w14:paraId="70D11A90" w14:textId="58A42B9E" w:rsidR="00DA3BE2" w:rsidRPr="00047418" w:rsidRDefault="00DA3BE2" w:rsidP="00D93256">
      <w:pPr>
        <w:pStyle w:val="STPR2BodyText"/>
      </w:pPr>
      <w:r w:rsidRPr="00047418">
        <w:t>The role that the historic environment plays in existing transport infrastructure needs to be recognised in the planning of any future upgrades of this infrastructure</w:t>
      </w:r>
      <w:r w:rsidR="00C7031A">
        <w:t xml:space="preserve"> - t</w:t>
      </w:r>
      <w:r w:rsidR="00C7031A" w:rsidRPr="00C7031A">
        <w:t>his issue was highlighted by HES in their response to the STPR2 SEA Progress Report in March 2021.</w:t>
      </w:r>
      <w:r w:rsidRPr="00047418">
        <w:t xml:space="preserve"> For example, some rail stations have Listed Building status (</w:t>
      </w:r>
      <w:r w:rsidR="00167789">
        <w:t>for example,</w:t>
      </w:r>
      <w:r w:rsidRPr="00047418">
        <w:t xml:space="preserve"> Edinburgh Waverley) or contain important historic assets, such as cast iron footbridges. Transport infrastructure can therefore play a key role in local pride and sense of history and place</w:t>
      </w:r>
      <w:r w:rsidR="00D0485A" w:rsidRPr="00047418">
        <w:t>,</w:t>
      </w:r>
      <w:r w:rsidR="00AF073F" w:rsidRPr="00047418">
        <w:t xml:space="preserve"> and f</w:t>
      </w:r>
      <w:r w:rsidRPr="00047418">
        <w:t>uture development needs to take these factors into account. This is most likely to apply to the following STPR2 recommendations:</w:t>
      </w:r>
    </w:p>
    <w:p w14:paraId="360E89E8" w14:textId="77777777" w:rsidR="00A676F7" w:rsidRDefault="00A676F7" w:rsidP="00D93256">
      <w:pPr>
        <w:pStyle w:val="STPR2BulletsLevel1"/>
        <w:rPr>
          <w:szCs w:val="24"/>
        </w:rPr>
      </w:pPr>
      <w:r w:rsidRPr="00A676F7">
        <w:t>11 (Clyde Metro)</w:t>
      </w:r>
    </w:p>
    <w:p w14:paraId="2F88098E" w14:textId="7B4D6E74" w:rsidR="00A676F7" w:rsidRPr="00A676F7" w:rsidRDefault="00A676F7" w:rsidP="00D93256">
      <w:pPr>
        <w:pStyle w:val="STPR2BulletsLevel1"/>
        <w:rPr>
          <w:szCs w:val="24"/>
        </w:rPr>
      </w:pPr>
      <w:r w:rsidRPr="00A676F7">
        <w:t xml:space="preserve">12 (Edinburgh </w:t>
      </w:r>
      <w:r w:rsidR="00337EAA">
        <w:t>and</w:t>
      </w:r>
      <w:r w:rsidRPr="00A676F7">
        <w:t xml:space="preserve"> South</w:t>
      </w:r>
      <w:r w:rsidR="00337EAA">
        <w:t xml:space="preserve"> </w:t>
      </w:r>
      <w:r w:rsidRPr="00A676F7">
        <w:t>East Scotland Mass Transit)</w:t>
      </w:r>
    </w:p>
    <w:p w14:paraId="22927A08" w14:textId="77777777" w:rsidR="00A676F7" w:rsidRPr="00A676F7" w:rsidRDefault="00A676F7" w:rsidP="00D93256">
      <w:pPr>
        <w:pStyle w:val="STPR2BulletsLevel1"/>
        <w:rPr>
          <w:szCs w:val="24"/>
        </w:rPr>
      </w:pPr>
      <w:r w:rsidRPr="00A676F7">
        <w:t>16 (Perth – Dundee – Aberdeen Rail Corridor Enhancements)</w:t>
      </w:r>
    </w:p>
    <w:p w14:paraId="538841CB" w14:textId="64935F02" w:rsidR="00A676F7" w:rsidRPr="00A676F7" w:rsidRDefault="00A676F7" w:rsidP="00D93256">
      <w:pPr>
        <w:pStyle w:val="STPR2BulletsLevel1"/>
        <w:rPr>
          <w:szCs w:val="24"/>
        </w:rPr>
      </w:pPr>
      <w:r w:rsidRPr="00A676F7">
        <w:t>17 (Edinburgh/Glasgow-Perth</w:t>
      </w:r>
      <w:r w:rsidR="001563FB">
        <w:t>/Dundee</w:t>
      </w:r>
      <w:r w:rsidRPr="00A676F7">
        <w:t xml:space="preserve"> Rail Corridor Enhancements)</w:t>
      </w:r>
    </w:p>
    <w:p w14:paraId="4CD11540" w14:textId="77777777" w:rsidR="00A676F7" w:rsidRPr="00A676F7" w:rsidRDefault="00A676F7" w:rsidP="00D93256">
      <w:pPr>
        <w:pStyle w:val="STPR2BulletsLevel1"/>
        <w:rPr>
          <w:szCs w:val="24"/>
        </w:rPr>
      </w:pPr>
      <w:r w:rsidRPr="00A676F7">
        <w:t>19 (Infrastructure to provide access for all at rail stations)</w:t>
      </w:r>
    </w:p>
    <w:p w14:paraId="448425EB" w14:textId="5D4F3913" w:rsidR="00A676F7" w:rsidRPr="00A676F7" w:rsidRDefault="00A676F7" w:rsidP="00D93256">
      <w:pPr>
        <w:pStyle w:val="STPR2BulletsLevel1"/>
        <w:rPr>
          <w:szCs w:val="24"/>
        </w:rPr>
      </w:pPr>
      <w:r w:rsidRPr="00A676F7">
        <w:t xml:space="preserve">21 (Improved </w:t>
      </w:r>
      <w:r w:rsidR="00E87230">
        <w:t>p</w:t>
      </w:r>
      <w:r w:rsidRPr="00A676F7">
        <w:t xml:space="preserve">ublic </w:t>
      </w:r>
      <w:r w:rsidR="00E87230">
        <w:t>t</w:t>
      </w:r>
      <w:r w:rsidRPr="00A676F7">
        <w:t xml:space="preserve">ransport </w:t>
      </w:r>
      <w:r w:rsidR="00E87230">
        <w:t>p</w:t>
      </w:r>
      <w:r w:rsidRPr="00A676F7">
        <w:t xml:space="preserve">assenger </w:t>
      </w:r>
      <w:r w:rsidR="00E87230">
        <w:t>i</w:t>
      </w:r>
      <w:r w:rsidRPr="00A676F7">
        <w:t xml:space="preserve">nterchange </w:t>
      </w:r>
      <w:r w:rsidR="00E87230">
        <w:t>f</w:t>
      </w:r>
      <w:r w:rsidRPr="00A676F7">
        <w:t>acilities)</w:t>
      </w:r>
    </w:p>
    <w:p w14:paraId="3646C9B4" w14:textId="41217CBE" w:rsidR="00A676F7" w:rsidRPr="00A676F7" w:rsidRDefault="00A676F7" w:rsidP="00D93256">
      <w:pPr>
        <w:pStyle w:val="STPR2BulletsLevel1"/>
      </w:pPr>
      <w:r w:rsidRPr="00A676F7">
        <w:t xml:space="preserve">22 (Framework for </w:t>
      </w:r>
      <w:r w:rsidR="00996559">
        <w:t xml:space="preserve">the </w:t>
      </w:r>
      <w:r w:rsidRPr="00A676F7">
        <w:t xml:space="preserve">delivery of </w:t>
      </w:r>
      <w:r w:rsidR="00996559">
        <w:t>m</w:t>
      </w:r>
      <w:r w:rsidRPr="00A676F7">
        <w:t xml:space="preserve">obility </w:t>
      </w:r>
      <w:r w:rsidR="00996559">
        <w:t>h</w:t>
      </w:r>
      <w:r w:rsidRPr="00A676F7">
        <w:t>ubs)</w:t>
      </w:r>
    </w:p>
    <w:p w14:paraId="20F4EF97" w14:textId="4B95037D" w:rsidR="00DA3BE2" w:rsidRPr="00A676F7" w:rsidRDefault="00DA3BE2" w:rsidP="00D93256">
      <w:pPr>
        <w:pStyle w:val="STPR2BulletsLevel1"/>
      </w:pPr>
      <w:r w:rsidRPr="00A676F7">
        <w:t>2</w:t>
      </w:r>
      <w:r w:rsidR="00C51C14" w:rsidRPr="00A676F7">
        <w:t>5</w:t>
      </w:r>
      <w:r w:rsidRPr="00A676F7">
        <w:t xml:space="preserve"> (Decarbonisation</w:t>
      </w:r>
      <w:r w:rsidR="00090CF3">
        <w:t xml:space="preserve"> of the rail network</w:t>
      </w:r>
      <w:r w:rsidRPr="00A676F7">
        <w:t>)</w:t>
      </w:r>
    </w:p>
    <w:p w14:paraId="2FF153B4" w14:textId="640F22F1" w:rsidR="00DA3BE2" w:rsidRPr="00A676F7" w:rsidRDefault="00C06827" w:rsidP="00D93256">
      <w:pPr>
        <w:pStyle w:val="STPR2BulletsLevel1"/>
      </w:pPr>
      <w:r w:rsidRPr="00A676F7">
        <w:t>42</w:t>
      </w:r>
      <w:r w:rsidR="00DA3BE2" w:rsidRPr="00A676F7">
        <w:t xml:space="preserve"> (Investment in </w:t>
      </w:r>
      <w:r w:rsidR="003259AA">
        <w:t>p</w:t>
      </w:r>
      <w:r w:rsidR="00DA3BE2" w:rsidRPr="00A676F7">
        <w:t xml:space="preserve">ort </w:t>
      </w:r>
      <w:r w:rsidR="003259AA">
        <w:t>i</w:t>
      </w:r>
      <w:r w:rsidR="00DA3BE2" w:rsidRPr="00A676F7">
        <w:t>nfrastructure</w:t>
      </w:r>
      <w:r w:rsidR="003259AA">
        <w:t>…</w:t>
      </w:r>
      <w:r w:rsidR="00DA3BE2" w:rsidRPr="00A676F7">
        <w:t>)</w:t>
      </w:r>
    </w:p>
    <w:p w14:paraId="31E2027B" w14:textId="237A70EF" w:rsidR="00A676F7" w:rsidRPr="00A676F7" w:rsidRDefault="00A676F7" w:rsidP="00D93256">
      <w:pPr>
        <w:pStyle w:val="STPR2BulletsLevel1"/>
        <w:rPr>
          <w:szCs w:val="24"/>
        </w:rPr>
      </w:pPr>
      <w:r w:rsidRPr="00A676F7">
        <w:t xml:space="preserve">43 (Major </w:t>
      </w:r>
      <w:r w:rsidR="003259AA">
        <w:t>s</w:t>
      </w:r>
      <w:r w:rsidRPr="00A676F7">
        <w:t xml:space="preserve">tation </w:t>
      </w:r>
      <w:r w:rsidR="003259AA">
        <w:t>m</w:t>
      </w:r>
      <w:r w:rsidRPr="00A676F7">
        <w:t>asterplans)</w:t>
      </w:r>
    </w:p>
    <w:p w14:paraId="09FA3164" w14:textId="728ADAE9" w:rsidR="00DA3BE2" w:rsidRPr="00A676F7" w:rsidRDefault="00DA3BE2" w:rsidP="00D93256">
      <w:pPr>
        <w:pStyle w:val="STPR2BulletsLevel1"/>
      </w:pPr>
      <w:r w:rsidRPr="00A676F7">
        <w:t>4</w:t>
      </w:r>
      <w:r w:rsidR="00A676F7" w:rsidRPr="00A676F7">
        <w:t>4</w:t>
      </w:r>
      <w:r w:rsidRPr="00A676F7">
        <w:t xml:space="preserve"> (Rail </w:t>
      </w:r>
      <w:r w:rsidR="003259AA">
        <w:t>f</w:t>
      </w:r>
      <w:r w:rsidRPr="00A676F7">
        <w:t xml:space="preserve">reight </w:t>
      </w:r>
      <w:r w:rsidR="003259AA">
        <w:t>t</w:t>
      </w:r>
      <w:r w:rsidRPr="00A676F7">
        <w:t xml:space="preserve">erminals and </w:t>
      </w:r>
      <w:r w:rsidR="003259AA">
        <w:t>f</w:t>
      </w:r>
      <w:r w:rsidRPr="00A676F7">
        <w:t>acilities).</w:t>
      </w:r>
    </w:p>
    <w:p w14:paraId="5E4576A9" w14:textId="4743E76A" w:rsidR="00DA3BE2" w:rsidRPr="00047418" w:rsidRDefault="00DA3BE2" w:rsidP="00D93256">
      <w:pPr>
        <w:pStyle w:val="STPR2BodyText"/>
      </w:pPr>
      <w:r w:rsidRPr="00047418">
        <w:t xml:space="preserve">The following mitigation measures will be required for </w:t>
      </w:r>
      <w:r w:rsidR="00B92F19" w:rsidRPr="00B92F19">
        <w:t xml:space="preserve">the </w:t>
      </w:r>
      <w:r w:rsidRPr="00047418">
        <w:t>STPR2 in relation to cultural</w:t>
      </w:r>
      <w:r w:rsidR="007171A6">
        <w:t> </w:t>
      </w:r>
      <w:r w:rsidRPr="00047418">
        <w:t>heritage:</w:t>
      </w:r>
    </w:p>
    <w:p w14:paraId="29E6071D" w14:textId="521655CF" w:rsidR="00DA3BE2" w:rsidRPr="00047418" w:rsidRDefault="00DA3BE2" w:rsidP="00D93256">
      <w:pPr>
        <w:pStyle w:val="STPR2BulletsLevel1"/>
      </w:pPr>
      <w:r w:rsidRPr="00047418">
        <w:t xml:space="preserve">Further environmental assessment will need to be undertaken to ensure site-level heritage constraints and opportunities are identified. This includes consideration of designated and undesignated heritage assets. For rail infrastructure, the environmental assessment will also need to consider the potential impacts associated with access work, electrification and issues for historic bridges </w:t>
      </w:r>
      <w:r w:rsidR="001B3C90">
        <w:t>and other heritage assets</w:t>
      </w:r>
      <w:r w:rsidRPr="00047418">
        <w:t xml:space="preserve"> relating to gauge clearance work</w:t>
      </w:r>
      <w:r w:rsidR="00CF6563">
        <w:t>. Con</w:t>
      </w:r>
      <w:r w:rsidR="005F69E2">
        <w:t xml:space="preserve">sultation with HES is likely to be required for site-specific </w:t>
      </w:r>
      <w:r w:rsidR="00F918E8">
        <w:t xml:space="preserve">work </w:t>
      </w:r>
      <w:r w:rsidR="00DD281B">
        <w:t>at</w:t>
      </w:r>
      <w:r w:rsidR="00F918E8">
        <w:t xml:space="preserve"> heritage assets</w:t>
      </w:r>
      <w:r w:rsidR="00DD281B">
        <w:t xml:space="preserve"> on the transport network</w:t>
      </w:r>
      <w:r w:rsidR="00380F57">
        <w:t>, such as railway stations</w:t>
      </w:r>
      <w:r w:rsidR="00DC0EF4">
        <w:t xml:space="preserve"> and road bridges</w:t>
      </w:r>
      <w:r w:rsidR="00DD281B">
        <w:t>.</w:t>
      </w:r>
      <w:r w:rsidR="00F918E8">
        <w:t xml:space="preserve"> </w:t>
      </w:r>
    </w:p>
    <w:p w14:paraId="1DCD8097" w14:textId="67BF612F" w:rsidR="00445D84" w:rsidRPr="00047418" w:rsidRDefault="00445D84" w:rsidP="00D93256">
      <w:pPr>
        <w:pStyle w:val="STPR2BulletsLevel1"/>
      </w:pPr>
      <w:r w:rsidRPr="00047418">
        <w:t>At the project level</w:t>
      </w:r>
      <w:r w:rsidR="00421D0E" w:rsidRPr="00047418">
        <w:t>, the location and design of transport interventions should</w:t>
      </w:r>
      <w:r w:rsidRPr="00047418">
        <w:t xml:space="preserve"> avoid direct</w:t>
      </w:r>
      <w:r w:rsidR="000B40FB">
        <w:t xml:space="preserve"> effe</w:t>
      </w:r>
      <w:r w:rsidR="000B40FB" w:rsidRPr="004F5EEB">
        <w:t>cts</w:t>
      </w:r>
      <w:r w:rsidR="000B40FB">
        <w:t xml:space="preserve"> </w:t>
      </w:r>
      <w:r w:rsidRPr="00047418">
        <w:t>on cultural heritage resources or their setting, where feasible.</w:t>
      </w:r>
    </w:p>
    <w:p w14:paraId="78ABB594" w14:textId="36C53572" w:rsidR="00DA3BE2" w:rsidRDefault="00DA3BE2" w:rsidP="00D93256">
      <w:pPr>
        <w:pStyle w:val="STPR2BulletsLevel1"/>
      </w:pPr>
      <w:r w:rsidRPr="00047418">
        <w:t xml:space="preserve">At the project level, opportunities should be sought to maintain, restore and repurpose historic assets to support sustainable placemaking (in line with </w:t>
      </w:r>
      <w:r w:rsidR="00BB39F1" w:rsidRPr="00BB39F1">
        <w:t xml:space="preserve">the </w:t>
      </w:r>
      <w:r w:rsidRPr="00047418">
        <w:t>NPF4).</w:t>
      </w:r>
      <w:r w:rsidR="00034F5B">
        <w:t xml:space="preserve"> </w:t>
      </w:r>
      <w:r w:rsidR="006545EA" w:rsidRPr="006545EA">
        <w:t>This includes</w:t>
      </w:r>
      <w:r w:rsidR="006545EA">
        <w:t xml:space="preserve"> adherence to circular economy principles</w:t>
      </w:r>
      <w:r w:rsidR="003B4BC9">
        <w:t xml:space="preserve"> – for example, some historic assets could potentially be </w:t>
      </w:r>
      <w:r w:rsidR="00EF39A5">
        <w:t xml:space="preserve">restored or </w:t>
      </w:r>
      <w:r w:rsidR="003B4BC9">
        <w:t>deconstructed and re-used or repurpose</w:t>
      </w:r>
      <w:r w:rsidR="00271B51">
        <w:t>d</w:t>
      </w:r>
      <w:r w:rsidR="003B4BC9">
        <w:t xml:space="preserve"> rather than demoli</w:t>
      </w:r>
      <w:r w:rsidR="00271B51">
        <w:t>shed</w:t>
      </w:r>
      <w:r w:rsidR="003B4BC9">
        <w:t xml:space="preserve"> and dispos</w:t>
      </w:r>
      <w:r w:rsidR="00271B51">
        <w:t>ed of</w:t>
      </w:r>
      <w:r w:rsidR="003B4BC9">
        <w:t>.</w:t>
      </w:r>
      <w:r w:rsidR="004C05DF" w:rsidRPr="004C05DF">
        <w:t xml:space="preserve"> </w:t>
      </w:r>
      <w:r w:rsidR="004C05DF">
        <w:t xml:space="preserve">This will align with </w:t>
      </w:r>
      <w:r w:rsidR="00307B95">
        <w:t xml:space="preserve">the </w:t>
      </w:r>
      <w:r w:rsidR="004C05DF">
        <w:t xml:space="preserve">HES </w:t>
      </w:r>
      <w:r w:rsidR="00307B95">
        <w:t>(2020</w:t>
      </w:r>
      <w:r w:rsidR="000A7DDE">
        <w:t>b</w:t>
      </w:r>
      <w:r w:rsidR="00307B95">
        <w:t xml:space="preserve">) Climate Action Plan and </w:t>
      </w:r>
      <w:r w:rsidR="004C05DF">
        <w:t>help meet</w:t>
      </w:r>
      <w:r w:rsidR="004C05DF" w:rsidRPr="004C05DF">
        <w:t xml:space="preserve"> Scotland’s Zero Waste targets of 70</w:t>
      </w:r>
      <w:r w:rsidR="000A43D5">
        <w:t xml:space="preserve"> per cent</w:t>
      </w:r>
      <w:r w:rsidR="004C05DF" w:rsidRPr="004C05DF">
        <w:t xml:space="preserve"> recycling by 2025 and no more than 5</w:t>
      </w:r>
      <w:r w:rsidR="000A43D5">
        <w:t xml:space="preserve"> per cent</w:t>
      </w:r>
      <w:r w:rsidR="004C05DF" w:rsidRPr="004C05DF">
        <w:t xml:space="preserve"> to landfill by 2025</w:t>
      </w:r>
      <w:r w:rsidR="00307B95">
        <w:t>.</w:t>
      </w:r>
      <w:r w:rsidR="00CF04A2" w:rsidRPr="00CF04A2">
        <w:t xml:space="preserve"> </w:t>
      </w:r>
      <w:r w:rsidR="00CF04A2">
        <w:t>An emphasis on maintenance, repair and re-use</w:t>
      </w:r>
      <w:r w:rsidR="00CF04A2" w:rsidRPr="00CF04A2">
        <w:t xml:space="preserve"> would</w:t>
      </w:r>
      <w:r w:rsidR="00CF04A2">
        <w:t xml:space="preserve"> also</w:t>
      </w:r>
      <w:r w:rsidR="00CF04A2" w:rsidRPr="00CF04A2">
        <w:t xml:space="preserve"> align </w:t>
      </w:r>
      <w:r w:rsidR="00B92F19" w:rsidRPr="00B92F19">
        <w:t xml:space="preserve">the </w:t>
      </w:r>
      <w:r w:rsidR="00CF04A2" w:rsidRPr="00CF04A2">
        <w:t xml:space="preserve">STPR2 with the Sustainable Investment Hierarchy in the </w:t>
      </w:r>
      <w:r w:rsidR="00CF04A2" w:rsidRPr="00CF04A2">
        <w:lastRenderedPageBreak/>
        <w:t>Infrastructure Investment Plan (Scottish Government, 2021e)</w:t>
      </w:r>
      <w:r w:rsidR="00CF04A2">
        <w:t xml:space="preserve"> and </w:t>
      </w:r>
      <w:r w:rsidR="006A1FE5">
        <w:t>the Skills Investment Plan (Skills Development Scotland, 2019)</w:t>
      </w:r>
      <w:r w:rsidR="00CF04A2" w:rsidRPr="00CF04A2">
        <w:t>.</w:t>
      </w:r>
    </w:p>
    <w:p w14:paraId="4A945D09" w14:textId="3C7A3A6E" w:rsidR="00E92554" w:rsidRPr="00047418" w:rsidRDefault="00E92554" w:rsidP="00D93256">
      <w:pPr>
        <w:pStyle w:val="STPR2BulletsLevel1"/>
      </w:pPr>
      <w:r>
        <w:t>Consider how to maintain</w:t>
      </w:r>
      <w:r w:rsidR="00C42DAE">
        <w:t xml:space="preserve"> or improve existing</w:t>
      </w:r>
      <w:r w:rsidR="003546C8">
        <w:t xml:space="preserve"> historic infrastructure, such as the canal network, former railway lines and military roads, </w:t>
      </w:r>
      <w:r w:rsidR="00440915">
        <w:t xml:space="preserve">to </w:t>
      </w:r>
      <w:r w:rsidR="00E10A37">
        <w:t xml:space="preserve">allow </w:t>
      </w:r>
      <w:r w:rsidR="007B2583">
        <w:t>it</w:t>
      </w:r>
      <w:r w:rsidR="00E10A37">
        <w:t xml:space="preserve"> to</w:t>
      </w:r>
      <w:r w:rsidR="007B2583">
        <w:t xml:space="preserve"> </w:t>
      </w:r>
      <w:r w:rsidR="00440915">
        <w:t xml:space="preserve">continue playing a key role in </w:t>
      </w:r>
      <w:r w:rsidR="007B2583">
        <w:t xml:space="preserve">the </w:t>
      </w:r>
      <w:r w:rsidR="00440915">
        <w:t xml:space="preserve">active travel </w:t>
      </w:r>
      <w:r w:rsidR="00E10A37">
        <w:t>network</w:t>
      </w:r>
      <w:r w:rsidR="007B2583">
        <w:t>.</w:t>
      </w:r>
      <w:r w:rsidR="005304C2">
        <w:t xml:space="preserve"> This may require reuse, repair and maintenance, in consultation with HES.</w:t>
      </w:r>
      <w:r w:rsidR="00FD0639">
        <w:t xml:space="preserve"> </w:t>
      </w:r>
    </w:p>
    <w:p w14:paraId="343CC45F" w14:textId="0F0F3BB6" w:rsidR="0039760F" w:rsidRDefault="0039760F" w:rsidP="00D93256">
      <w:pPr>
        <w:pStyle w:val="STPR2BulletsLevel1"/>
      </w:pPr>
      <w:r w:rsidRPr="0039760F">
        <w:t>Consider how to maintain or improve</w:t>
      </w:r>
      <w:r w:rsidR="00F90A08">
        <w:t xml:space="preserve"> active travel access to</w:t>
      </w:r>
      <w:r w:rsidR="003C7643">
        <w:t xml:space="preserve"> cultural</w:t>
      </w:r>
      <w:r w:rsidR="00D034BB">
        <w:t xml:space="preserve"> heritage resources.</w:t>
      </w:r>
    </w:p>
    <w:p w14:paraId="6568BA1B" w14:textId="403B0BB4" w:rsidR="00DA3BE2" w:rsidRPr="00047418" w:rsidRDefault="00DA3BE2" w:rsidP="00D93256">
      <w:pPr>
        <w:pStyle w:val="STPR2BulletsLevel1"/>
      </w:pPr>
      <w:r w:rsidRPr="00047418">
        <w:t>Further engagement with HES will be required in relation to the development of any new infrastructure or improvements to existing infrastructure</w:t>
      </w:r>
      <w:r w:rsidR="004D4306" w:rsidRPr="00047418">
        <w:t>.</w:t>
      </w:r>
    </w:p>
    <w:p w14:paraId="21ABAB9B" w14:textId="03017B7F" w:rsidR="00971C72" w:rsidRDefault="00971C72" w:rsidP="0033560A">
      <w:pPr>
        <w:pStyle w:val="Heading2"/>
      </w:pPr>
      <w:bookmarkStart w:id="1943" w:name="_Toc121339172"/>
      <w:r>
        <w:t>Landscape and Visual Amenity</w:t>
      </w:r>
      <w:bookmarkEnd w:id="1943"/>
    </w:p>
    <w:p w14:paraId="70B31F21" w14:textId="3E07846A" w:rsidR="00971C72" w:rsidRPr="00047418" w:rsidRDefault="003178C8" w:rsidP="00D93256">
      <w:pPr>
        <w:pStyle w:val="STPR2BodyText"/>
      </w:pPr>
      <w:r w:rsidRPr="00047418">
        <w:t xml:space="preserve">The following mitigation measures will be required for </w:t>
      </w:r>
      <w:r w:rsidR="00B92F19" w:rsidRPr="00B92F19">
        <w:t xml:space="preserve">the </w:t>
      </w:r>
      <w:r w:rsidRPr="00047418">
        <w:t xml:space="preserve">STPR2 in relation to </w:t>
      </w:r>
      <w:r w:rsidR="00424B3E" w:rsidRPr="00047418">
        <w:t>Landscape</w:t>
      </w:r>
      <w:r w:rsidR="005E48E0" w:rsidRPr="00047418">
        <w:t xml:space="preserve"> and Visual Amen</w:t>
      </w:r>
      <w:r w:rsidR="00C55145" w:rsidRPr="00047418">
        <w:t>ity</w:t>
      </w:r>
      <w:r w:rsidRPr="00047418">
        <w:t>:</w:t>
      </w:r>
    </w:p>
    <w:p w14:paraId="6876915C" w14:textId="78D00AB4" w:rsidR="00C55145" w:rsidRPr="00047418" w:rsidRDefault="00047C67" w:rsidP="00D93256">
      <w:pPr>
        <w:pStyle w:val="STPR2BulletsLevel1"/>
      </w:pPr>
      <w:r w:rsidRPr="00047418">
        <w:t>Embed landscape mitigation into design of</w:t>
      </w:r>
      <w:r w:rsidR="00201520" w:rsidRPr="00047418">
        <w:t xml:space="preserve"> </w:t>
      </w:r>
      <w:r w:rsidR="00B92F19" w:rsidRPr="00B92F19">
        <w:t xml:space="preserve">the </w:t>
      </w:r>
      <w:r w:rsidR="00201520" w:rsidRPr="00047418">
        <w:t>STPR2 interventions,</w:t>
      </w:r>
      <w:r w:rsidRPr="00047418">
        <w:t xml:space="preserve"> including careful route selection and alignment</w:t>
      </w:r>
      <w:r w:rsidR="00201520" w:rsidRPr="00047418">
        <w:t>s</w:t>
      </w:r>
      <w:r w:rsidRPr="00047418">
        <w:t>, input into the design of structures and form and extent of earthworks, woodland planting</w:t>
      </w:r>
      <w:r w:rsidR="00720EF6">
        <w:t xml:space="preserve"> and</w:t>
      </w:r>
      <w:r w:rsidRPr="00047418">
        <w:t xml:space="preserve"> cutting slopes</w:t>
      </w:r>
      <w:r w:rsidR="00196ABE">
        <w:t>,</w:t>
      </w:r>
      <w:r w:rsidRPr="00047418">
        <w:t xml:space="preserve"> with</w:t>
      </w:r>
      <w:r w:rsidR="00B53027">
        <w:t xml:space="preserve"> suitable</w:t>
      </w:r>
      <w:r w:rsidRPr="00047418">
        <w:t xml:space="preserve"> cognisance of </w:t>
      </w:r>
      <w:r w:rsidR="00B53027">
        <w:t xml:space="preserve">the surrounding </w:t>
      </w:r>
      <w:r w:rsidRPr="00047418">
        <w:t>landscape, and avoiding or reducing</w:t>
      </w:r>
      <w:r w:rsidR="00435674" w:rsidRPr="00047418">
        <w:t xml:space="preserve"> the loss of existing natural</w:t>
      </w:r>
      <w:r w:rsidR="00DF6ACA">
        <w:t> </w:t>
      </w:r>
      <w:r w:rsidR="00435674" w:rsidRPr="00047418">
        <w:t>landscapes.</w:t>
      </w:r>
    </w:p>
    <w:p w14:paraId="0CAE618C" w14:textId="538BA6CD" w:rsidR="00B3122A" w:rsidRDefault="00B3122A" w:rsidP="00D93256">
      <w:pPr>
        <w:pStyle w:val="STPR2BulletsLevel1"/>
      </w:pPr>
      <w:r>
        <w:t>Opportunities to maximise landscape benefits should be explored, for example through focus</w:t>
      </w:r>
      <w:r w:rsidR="00675A9B">
        <w:t>ing</w:t>
      </w:r>
      <w:r>
        <w:t xml:space="preserve"> development on vacant and derelict land.</w:t>
      </w:r>
    </w:p>
    <w:p w14:paraId="2FAA172B" w14:textId="77777777" w:rsidR="0008333E" w:rsidRDefault="0008333E" w:rsidP="00D93256">
      <w:pPr>
        <w:pStyle w:val="STPR2BulletsLevel1"/>
      </w:pPr>
      <w:r>
        <w:t>Transport infrastructure development proposals should be designed to a high quality so that the scale and nature of the development contributes positively to the character and sense of place of the area.</w:t>
      </w:r>
    </w:p>
    <w:p w14:paraId="77905212" w14:textId="173E0777" w:rsidR="00992F32" w:rsidRPr="00047418" w:rsidRDefault="00992F32" w:rsidP="00D93256">
      <w:pPr>
        <w:pStyle w:val="STPR2BulletsLevel1"/>
      </w:pPr>
      <w:r w:rsidRPr="00047418">
        <w:t xml:space="preserve">Minimise the loss of existing vegetation wherever practicable and in particular retain mature trees and woodland and ancient woodland. Where loss of existing vegetation is unavoidable, seek to provide replacement planting which corresponds to, or exceeds, the natural capital value of the landscape elements and ecosystem services lost as a result of the </w:t>
      </w:r>
      <w:r w:rsidR="004C1C4C" w:rsidRPr="00047418">
        <w:t>intervention</w:t>
      </w:r>
      <w:r w:rsidR="00A63615">
        <w:t xml:space="preserve"> in keeping with landscape character.</w:t>
      </w:r>
    </w:p>
    <w:p w14:paraId="3BB5073E" w14:textId="16B85F84" w:rsidR="008344AB" w:rsidRPr="00047418" w:rsidRDefault="008344AB" w:rsidP="00D93256">
      <w:pPr>
        <w:pStyle w:val="STPR2BulletsLevel1"/>
      </w:pPr>
      <w:r w:rsidRPr="00047418">
        <w:t>Ensure the design of SuDS features considers opportunities for multi-functionality and delivers amenity and biodiversity benefits as well as attenuation and treatment. Mitigate adverse landscape and visual effects by integrating with surrounding topography, using natural characteristics in design and planting with native aquatic and terrestrial species suitable to local context to provide wildlife habitat and visual interest</w:t>
      </w:r>
      <w:r w:rsidR="00A63615">
        <w:t xml:space="preserve"> in keeping with landscape character</w:t>
      </w:r>
      <w:r w:rsidRPr="00047418">
        <w:t>.</w:t>
      </w:r>
    </w:p>
    <w:p w14:paraId="0986B79C" w14:textId="10EC8B5E" w:rsidR="00042F16" w:rsidRPr="00047418" w:rsidRDefault="00042F16" w:rsidP="00D93256">
      <w:pPr>
        <w:pStyle w:val="STPR2BulletsLevel1"/>
      </w:pPr>
      <w:r w:rsidRPr="00047418">
        <w:t>Take account of local species composition, forest and woodland strategies,</w:t>
      </w:r>
      <w:r w:rsidR="00324B3D">
        <w:t xml:space="preserve"> landscape character,</w:t>
      </w:r>
      <w:r w:rsidRPr="00047418">
        <w:t xml:space="preserve"> climate change adaptation and biosecurity threats when developing planting proposals.</w:t>
      </w:r>
    </w:p>
    <w:p w14:paraId="44D691C6" w14:textId="0022975F" w:rsidR="00C02CEF" w:rsidRPr="00047418" w:rsidRDefault="00C02CEF" w:rsidP="00D93256">
      <w:pPr>
        <w:pStyle w:val="STPR2BulletsLevel1"/>
      </w:pPr>
      <w:r w:rsidRPr="00047418">
        <w:t xml:space="preserve">Develop planting and landscape proposals that integrate with </w:t>
      </w:r>
      <w:r w:rsidR="00D44D2E">
        <w:t xml:space="preserve">the </w:t>
      </w:r>
      <w:r w:rsidRPr="00047418">
        <w:t>surrounding landscape and secure positive effects for biodiversity</w:t>
      </w:r>
      <w:r w:rsidR="00AD38BB">
        <w:t xml:space="preserve"> and landscape character</w:t>
      </w:r>
      <w:r w:rsidRPr="00047418">
        <w:t>. Maintain and</w:t>
      </w:r>
      <w:r w:rsidR="00AD38BB">
        <w:t>,</w:t>
      </w:r>
      <w:r w:rsidRPr="00047418">
        <w:t xml:space="preserve"> where feasible</w:t>
      </w:r>
      <w:r w:rsidR="00AD38BB">
        <w:t>,</w:t>
      </w:r>
      <w:r w:rsidRPr="00047418">
        <w:t xml:space="preserve"> enhance ecological</w:t>
      </w:r>
      <w:r w:rsidR="007F40D7">
        <w:t>,</w:t>
      </w:r>
      <w:r w:rsidR="00405601">
        <w:t xml:space="preserve"> </w:t>
      </w:r>
      <w:r w:rsidRPr="00047418">
        <w:t>landscape</w:t>
      </w:r>
      <w:r w:rsidR="007F40D7">
        <w:t>, active travel and recreational</w:t>
      </w:r>
      <w:r w:rsidRPr="00047418">
        <w:t xml:space="preserve"> connectivity and minimise fragmentation. Consider and contribute towards local and strategic biodiversity priorities through planting proposals. Ensure long</w:t>
      </w:r>
      <w:r w:rsidR="001072E0">
        <w:t>-</w:t>
      </w:r>
      <w:r w:rsidRPr="00047418">
        <w:t xml:space="preserve">term </w:t>
      </w:r>
      <w:r w:rsidR="000B137C">
        <w:t xml:space="preserve">maintenance and </w:t>
      </w:r>
      <w:r w:rsidRPr="00047418">
        <w:t>management.</w:t>
      </w:r>
    </w:p>
    <w:p w14:paraId="13149AB8" w14:textId="685AA191" w:rsidR="009E4820" w:rsidRPr="00047418" w:rsidRDefault="009E4820" w:rsidP="00D93256">
      <w:pPr>
        <w:pStyle w:val="STPR2BulletsLevel1"/>
      </w:pPr>
      <w:r w:rsidRPr="00047418">
        <w:t>Preserve vistas</w:t>
      </w:r>
      <w:r w:rsidR="00C12B80">
        <w:t xml:space="preserve"> </w:t>
      </w:r>
      <w:r w:rsidRPr="00047418">
        <w:t>/</w:t>
      </w:r>
      <w:r w:rsidR="00C12B80">
        <w:t xml:space="preserve"> </w:t>
      </w:r>
      <w:r w:rsidRPr="00047418">
        <w:t xml:space="preserve">focal points from key viewpoints and maintain or enhance the evolving narrative of </w:t>
      </w:r>
      <w:r w:rsidR="00604EFC">
        <w:t>any</w:t>
      </w:r>
      <w:r w:rsidRPr="00047418">
        <w:t xml:space="preserve"> existing scenic routes (walking, </w:t>
      </w:r>
      <w:r w:rsidR="006B3232">
        <w:t>wheeling,</w:t>
      </w:r>
      <w:r w:rsidRPr="00047418">
        <w:t xml:space="preserve"> cycling, hiking or driving)</w:t>
      </w:r>
      <w:r w:rsidR="000D6BA1">
        <w:t xml:space="preserve">, and ensure long-term management </w:t>
      </w:r>
      <w:r w:rsidR="007E13CF">
        <w:t>of these facilities to maintain views.</w:t>
      </w:r>
    </w:p>
    <w:p w14:paraId="67F6ECCB" w14:textId="6A44B88D" w:rsidR="006F726C" w:rsidRPr="00047418" w:rsidRDefault="006F726C" w:rsidP="00D93256">
      <w:pPr>
        <w:pStyle w:val="STPR2BulletsLevel1"/>
      </w:pPr>
      <w:r w:rsidRPr="00047418">
        <w:t>Consider dark skies</w:t>
      </w:r>
      <w:r w:rsidR="009E5239">
        <w:t xml:space="preserve">, wild land and perceived wildness in Scotland </w:t>
      </w:r>
      <w:r w:rsidRPr="00047418">
        <w:t>and seek to avoid significant effects on them.</w:t>
      </w:r>
      <w:r w:rsidR="002B7B05">
        <w:t xml:space="preserve"> Avoid or minimise light pollution to reduce</w:t>
      </w:r>
      <w:r w:rsidR="005B101F">
        <w:t xml:space="preserve"> any negative</w:t>
      </w:r>
      <w:r w:rsidR="002B7B05">
        <w:t xml:space="preserve"> </w:t>
      </w:r>
      <w:r w:rsidR="002B7B05">
        <w:lastRenderedPageBreak/>
        <w:t xml:space="preserve">landscape, visual and biodiversity </w:t>
      </w:r>
      <w:r w:rsidR="005B101F">
        <w:t>effe</w:t>
      </w:r>
      <w:r w:rsidR="005B101F" w:rsidRPr="004F5EEB">
        <w:t>cts</w:t>
      </w:r>
      <w:r w:rsidR="002B7B05">
        <w:t>.</w:t>
      </w:r>
    </w:p>
    <w:p w14:paraId="78860244" w14:textId="3E02A126" w:rsidR="00642605" w:rsidRPr="00047418" w:rsidRDefault="00642605" w:rsidP="00D93256">
      <w:pPr>
        <w:pStyle w:val="STPR2BulletsLevel1"/>
      </w:pPr>
      <w:r w:rsidRPr="00047418">
        <w:t xml:space="preserve">Consult </w:t>
      </w:r>
      <w:r w:rsidR="00103900" w:rsidRPr="00047418">
        <w:t>with NatureScot</w:t>
      </w:r>
      <w:r w:rsidR="00966C9B" w:rsidRPr="00047418">
        <w:t xml:space="preserve">, </w:t>
      </w:r>
      <w:r w:rsidR="00103900" w:rsidRPr="00047418">
        <w:t>National Park Authorities</w:t>
      </w:r>
      <w:r w:rsidR="00966C9B" w:rsidRPr="00047418">
        <w:t xml:space="preserve"> and </w:t>
      </w:r>
      <w:r w:rsidR="001A7180" w:rsidRPr="00047418">
        <w:t xml:space="preserve">local </w:t>
      </w:r>
      <w:r w:rsidR="006B3232">
        <w:t>authorities</w:t>
      </w:r>
      <w:r w:rsidR="006B3232" w:rsidRPr="00047418">
        <w:t xml:space="preserve"> </w:t>
      </w:r>
      <w:r w:rsidR="00966C9B" w:rsidRPr="00047418">
        <w:t>about potential landscape constraints and opportunities</w:t>
      </w:r>
      <w:r w:rsidR="00277AB0" w:rsidRPr="00047418">
        <w:t xml:space="preserve"> associated with specific interventions. </w:t>
      </w:r>
    </w:p>
    <w:p w14:paraId="2538667C" w14:textId="7C70E61E" w:rsidR="00A149D2" w:rsidRDefault="00A149D2" w:rsidP="0033560A">
      <w:pPr>
        <w:pStyle w:val="Heading2"/>
      </w:pPr>
      <w:bookmarkStart w:id="1944" w:name="_Toc121339173"/>
      <w:r>
        <w:t>Further Environmental Assessment</w:t>
      </w:r>
      <w:bookmarkEnd w:id="1944"/>
    </w:p>
    <w:p w14:paraId="4D351563" w14:textId="171AAEB8" w:rsidR="0045477F" w:rsidRDefault="002A7929" w:rsidP="00D93256">
      <w:pPr>
        <w:pStyle w:val="STPR2BodyText"/>
        <w:sectPr w:rsidR="0045477F" w:rsidSect="000C6958">
          <w:pgSz w:w="11906" w:h="16838" w:code="9"/>
          <w:pgMar w:top="1701" w:right="1134" w:bottom="1134" w:left="1134" w:header="454" w:footer="567" w:gutter="0"/>
          <w:cols w:space="720"/>
          <w:noEndnote/>
          <w:docGrid w:linePitch="299"/>
        </w:sectPr>
      </w:pPr>
      <w:r w:rsidRPr="00047418">
        <w:t xml:space="preserve">As discussed in </w:t>
      </w:r>
      <w:r w:rsidR="005D4B8F" w:rsidRPr="00047418">
        <w:t>the section</w:t>
      </w:r>
      <w:r w:rsidR="00C34BD6" w:rsidRPr="00047418">
        <w:t>s above</w:t>
      </w:r>
      <w:r w:rsidRPr="00047418">
        <w:t xml:space="preserve">, </w:t>
      </w:r>
      <w:r w:rsidR="00606096" w:rsidRPr="00047418">
        <w:t xml:space="preserve">further environmental assessment will be required </w:t>
      </w:r>
      <w:r w:rsidR="00D31E5A" w:rsidRPr="00047418">
        <w:t>at the project leve</w:t>
      </w:r>
      <w:r w:rsidR="00015E0B" w:rsidRPr="00047418">
        <w:t>l</w:t>
      </w:r>
      <w:r w:rsidR="000928F2" w:rsidRPr="00047418">
        <w:t xml:space="preserve">. </w:t>
      </w:r>
      <w:r w:rsidR="00E71D2B" w:rsidRPr="00047418">
        <w:t>At th</w:t>
      </w:r>
      <w:r w:rsidR="00C34BD6" w:rsidRPr="00047418">
        <w:t>e STPR2</w:t>
      </w:r>
      <w:r w:rsidR="00E71D2B" w:rsidRPr="00047418">
        <w:t xml:space="preserve"> strategic level, where locations of </w:t>
      </w:r>
      <w:r w:rsidR="00F235EF" w:rsidRPr="00047418">
        <w:t>interventions</w:t>
      </w:r>
      <w:r w:rsidR="00484969" w:rsidRPr="00047418">
        <w:t xml:space="preserve"> are </w:t>
      </w:r>
      <w:r w:rsidR="00FD2997" w:rsidRPr="00047418">
        <w:t>sometimes unknown</w:t>
      </w:r>
      <w:r w:rsidR="00D8232D" w:rsidRPr="00047418">
        <w:t xml:space="preserve"> or</w:t>
      </w:r>
      <w:r w:rsidR="0014004B" w:rsidRPr="00047418">
        <w:t xml:space="preserve"> where</w:t>
      </w:r>
      <w:r w:rsidR="00D8232D" w:rsidRPr="00047418">
        <w:t xml:space="preserve"> design detail</w:t>
      </w:r>
      <w:r w:rsidR="0014004B" w:rsidRPr="00047418">
        <w:t xml:space="preserve"> is no</w:t>
      </w:r>
      <w:r w:rsidR="00D84220" w:rsidRPr="00047418">
        <w:t>t yet available, many uncertain</w:t>
      </w:r>
      <w:r w:rsidR="00170F7C" w:rsidRPr="00047418">
        <w:t xml:space="preserve"> effects were assessed</w:t>
      </w:r>
      <w:r w:rsidR="007B0D33" w:rsidRPr="00047418">
        <w:t xml:space="preserve"> in this SEA</w:t>
      </w:r>
      <w:r w:rsidR="00791CFA" w:rsidRPr="00047418">
        <w:t>. This applied to</w:t>
      </w:r>
      <w:r w:rsidR="000C5E73" w:rsidRPr="00047418">
        <w:t xml:space="preserve"> most of</w:t>
      </w:r>
      <w:r w:rsidR="00791CFA" w:rsidRPr="00047418">
        <w:t xml:space="preserve"> the SEA top</w:t>
      </w:r>
      <w:r w:rsidR="000C5E73" w:rsidRPr="00047418">
        <w:t>ics.</w:t>
      </w:r>
      <w:r w:rsidR="00D8232D" w:rsidRPr="00047418">
        <w:t xml:space="preserve"> </w:t>
      </w:r>
      <w:r w:rsidR="00DE15D1" w:rsidRPr="00DE15D1">
        <w:t xml:space="preserve">Individual development proposals </w:t>
      </w:r>
      <w:r w:rsidR="00550985">
        <w:t xml:space="preserve">that arise from </w:t>
      </w:r>
      <w:r w:rsidR="00B92F19" w:rsidRPr="00B92F19">
        <w:t xml:space="preserve">the </w:t>
      </w:r>
      <w:r w:rsidR="00550985">
        <w:t xml:space="preserve">STPR2 should </w:t>
      </w:r>
      <w:r w:rsidR="00DE15D1" w:rsidRPr="00DE15D1">
        <w:t>be subject to the usual consideration through the relevant consenting process, supplemented where appropriate by</w:t>
      </w:r>
      <w:r w:rsidR="00550985">
        <w:t xml:space="preserve"> Environmental Impact Assessment (</w:t>
      </w:r>
      <w:r w:rsidR="00DE15D1" w:rsidRPr="00DE15D1">
        <w:t>EIA</w:t>
      </w:r>
      <w:r w:rsidR="00550985">
        <w:t>)</w:t>
      </w:r>
      <w:r w:rsidR="00DE15D1" w:rsidRPr="00DE15D1">
        <w:t>, Habitats Regulations Appraisal (HRA), and via site controls and Environmental Management Plans.</w:t>
      </w:r>
      <w:r w:rsidR="00550985">
        <w:t xml:space="preserve"> This</w:t>
      </w:r>
      <w:r w:rsidR="00550985" w:rsidRPr="00047418">
        <w:t xml:space="preserve"> </w:t>
      </w:r>
      <w:r w:rsidR="000C5E73" w:rsidRPr="00047418">
        <w:t>environmental assessment</w:t>
      </w:r>
      <w:r w:rsidR="000928F2" w:rsidRPr="00047418">
        <w:t xml:space="preserve"> will</w:t>
      </w:r>
      <w:r w:rsidR="00A34BA1" w:rsidRPr="00047418">
        <w:t xml:space="preserve"> therefore</w:t>
      </w:r>
      <w:r w:rsidR="000928F2" w:rsidRPr="00047418">
        <w:t xml:space="preserve"> enabl</w:t>
      </w:r>
      <w:r w:rsidR="00526603" w:rsidRPr="00047418">
        <w:t>e the clear identificatio</w:t>
      </w:r>
      <w:r w:rsidR="00945338" w:rsidRPr="00047418">
        <w:t>n of constraints</w:t>
      </w:r>
      <w:r w:rsidR="00026BB5" w:rsidRPr="00047418">
        <w:t xml:space="preserve">, </w:t>
      </w:r>
      <w:r w:rsidR="00945338" w:rsidRPr="00047418">
        <w:t>op</w:t>
      </w:r>
      <w:r w:rsidR="00AA7F93" w:rsidRPr="00047418">
        <w:t>portunities</w:t>
      </w:r>
      <w:r w:rsidR="00FA1461" w:rsidRPr="00047418">
        <w:t xml:space="preserve"> </w:t>
      </w:r>
      <w:r w:rsidR="00026BB5" w:rsidRPr="00047418">
        <w:t>and ecosystem serv</w:t>
      </w:r>
      <w:r w:rsidR="00B03F85" w:rsidRPr="00047418">
        <w:t>i</w:t>
      </w:r>
      <w:r w:rsidR="00026BB5" w:rsidRPr="00047418">
        <w:t xml:space="preserve">ces </w:t>
      </w:r>
      <w:r w:rsidR="00D537CD" w:rsidRPr="00047418">
        <w:t>at the site</w:t>
      </w:r>
      <w:r w:rsidR="00A34BA1" w:rsidRPr="00047418">
        <w:t>/ project</w:t>
      </w:r>
      <w:r w:rsidR="00D537CD" w:rsidRPr="00047418">
        <w:t xml:space="preserve"> level</w:t>
      </w:r>
      <w:r w:rsidR="006259EC" w:rsidRPr="00047418">
        <w:t xml:space="preserve">, </w:t>
      </w:r>
      <w:r w:rsidR="00046017" w:rsidRPr="00047418">
        <w:t>which in turn will a</w:t>
      </w:r>
      <w:r w:rsidR="00622FFC" w:rsidRPr="00047418">
        <w:t>llow the develop</w:t>
      </w:r>
      <w:r w:rsidR="00D6570D" w:rsidRPr="00047418">
        <w:t>ment of targeted</w:t>
      </w:r>
      <w:r w:rsidR="0077083D" w:rsidRPr="00047418">
        <w:t xml:space="preserve"> and detailed mitigation, enhance</w:t>
      </w:r>
      <w:r w:rsidR="0065591D" w:rsidRPr="00047418">
        <w:t>ment and monitoring measures</w:t>
      </w:r>
      <w:r w:rsidR="00D537CD" w:rsidRPr="00047418">
        <w:t>.</w:t>
      </w:r>
    </w:p>
    <w:p w14:paraId="28471064" w14:textId="6259C49B" w:rsidR="000C6958" w:rsidRPr="0045477F" w:rsidRDefault="000C6958" w:rsidP="0045477F">
      <w:pPr>
        <w:pStyle w:val="Heading1"/>
      </w:pPr>
      <w:bookmarkStart w:id="1945" w:name="_Toc81993614"/>
      <w:bookmarkStart w:id="1946" w:name="_Ref90564682"/>
      <w:bookmarkStart w:id="1947" w:name="_Toc121339174"/>
      <w:r w:rsidRPr="0045477F">
        <w:lastRenderedPageBreak/>
        <w:t>Monitoring</w:t>
      </w:r>
      <w:bookmarkEnd w:id="1945"/>
      <w:bookmarkEnd w:id="1946"/>
      <w:bookmarkEnd w:id="1947"/>
    </w:p>
    <w:p w14:paraId="021E5B2A" w14:textId="467A6DA9" w:rsidR="00317822" w:rsidRDefault="00B25187" w:rsidP="00D93256">
      <w:pPr>
        <w:pStyle w:val="STPR2BodyText"/>
      </w:pPr>
      <w:r w:rsidRPr="00B25187">
        <w:t>Section 19 of the 2005 Environmental Assessment (Scotland) Act requires the Responsible Authority</w:t>
      </w:r>
      <w:r>
        <w:t>, Transport Scotland,</w:t>
      </w:r>
      <w:r w:rsidRPr="00B25187">
        <w:t xml:space="preserve"> to monitor significant environmental </w:t>
      </w:r>
      <w:r w:rsidR="0003531F">
        <w:t>effe</w:t>
      </w:r>
      <w:r w:rsidR="0003531F" w:rsidRPr="004F5EEB">
        <w:t>cts</w:t>
      </w:r>
      <w:r w:rsidR="0003531F">
        <w:t xml:space="preserve"> </w:t>
      </w:r>
      <w:r w:rsidRPr="00B25187">
        <w:t xml:space="preserve">arising as a result of the implementation of the plan, programme or strategy. The purpose of the monitoring is to identify any unforeseen adverse effects at </w:t>
      </w:r>
      <w:r w:rsidR="001626B4">
        <w:t>this</w:t>
      </w:r>
      <w:r w:rsidRPr="00B25187">
        <w:t xml:space="preserve"> early</w:t>
      </w:r>
      <w:r w:rsidR="001626B4">
        <w:t xml:space="preserve"> planning</w:t>
      </w:r>
      <w:r w:rsidRPr="00B25187">
        <w:t xml:space="preserve"> stage and to enable appropriate remedial action to be taken. </w:t>
      </w:r>
    </w:p>
    <w:p w14:paraId="63D705BA" w14:textId="47A1F59B" w:rsidR="00FA5B64" w:rsidRDefault="00EE0675" w:rsidP="00D93256">
      <w:pPr>
        <w:pStyle w:val="STPR2BodyText"/>
      </w:pPr>
      <w:r>
        <w:t>T</w:t>
      </w:r>
      <w:r w:rsidR="00C67F81" w:rsidRPr="00C67F81">
        <w:t>here are a wide range of existing</w:t>
      </w:r>
      <w:r>
        <w:t xml:space="preserve"> monitoring</w:t>
      </w:r>
      <w:r w:rsidR="00C67F81" w:rsidRPr="00C67F81">
        <w:t xml:space="preserve"> programmes in place at the national and local level to monitor environmental status and assess performance against established environmental indicators, many of which are </w:t>
      </w:r>
      <w:r>
        <w:t>relevant to</w:t>
      </w:r>
      <w:r w:rsidR="00B92F19" w:rsidRPr="00B92F19">
        <w:t xml:space="preserve"> the</w:t>
      </w:r>
      <w:r>
        <w:t xml:space="preserve"> STPR2</w:t>
      </w:r>
      <w:r w:rsidR="00C67F81" w:rsidRPr="00C67F81">
        <w:t xml:space="preserve">. </w:t>
      </w:r>
      <w:r w:rsidR="009D0716" w:rsidRPr="009D0716">
        <w:t>Table 10</w:t>
      </w:r>
      <w:r w:rsidR="009D0716">
        <w:t xml:space="preserve"> shows the </w:t>
      </w:r>
      <w:r w:rsidR="0084452A">
        <w:t xml:space="preserve">existing monitoring </w:t>
      </w:r>
      <w:r w:rsidR="009C24DB">
        <w:t>programm</w:t>
      </w:r>
      <w:r w:rsidR="0084452A">
        <w:t xml:space="preserve">es </w:t>
      </w:r>
      <w:r w:rsidR="009D0716">
        <w:t>in Scotland in relation to each SEA topic</w:t>
      </w:r>
      <w:r w:rsidR="00247464">
        <w:t>.</w:t>
      </w:r>
    </w:p>
    <w:p w14:paraId="6831A9E5" w14:textId="54E5C094" w:rsidR="00247464" w:rsidRPr="00247464" w:rsidRDefault="00247464" w:rsidP="00D93256">
      <w:pPr>
        <w:pStyle w:val="STPR2Caption"/>
      </w:pPr>
      <w:bookmarkStart w:id="1948" w:name="_Ref90570304"/>
      <w:bookmarkStart w:id="1949" w:name="_Ref92970248"/>
      <w:bookmarkStart w:id="1950" w:name="_Ref90570300"/>
      <w:bookmarkStart w:id="1951" w:name="_Toc121231981"/>
      <w:r w:rsidRPr="00247464">
        <w:t xml:space="preserve">Table </w:t>
      </w:r>
      <w:bookmarkEnd w:id="1948"/>
      <w:r w:rsidR="00E428D4">
        <w:fldChar w:fldCharType="begin"/>
      </w:r>
      <w:r w:rsidR="00E428D4">
        <w:instrText xml:space="preserve"> SEQ Table \* ARABIC </w:instrText>
      </w:r>
      <w:r w:rsidR="00E428D4">
        <w:fldChar w:fldCharType="separate"/>
      </w:r>
      <w:r w:rsidR="00C22A9E">
        <w:rPr>
          <w:noProof/>
        </w:rPr>
        <w:t>10</w:t>
      </w:r>
      <w:r w:rsidR="00E428D4">
        <w:fldChar w:fldCharType="end"/>
      </w:r>
      <w:bookmarkEnd w:id="1949"/>
      <w:r w:rsidRPr="00247464">
        <w:t>: Existing monitoring programmes</w:t>
      </w:r>
      <w:bookmarkEnd w:id="1950"/>
      <w:bookmarkEnd w:id="195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29"/>
        <w:gridCol w:w="6799"/>
      </w:tblGrid>
      <w:tr w:rsidR="0045477F" w:rsidRPr="00DF6ACA" w14:paraId="17036E88" w14:textId="77777777" w:rsidTr="004839A6">
        <w:trPr>
          <w:cantSplit/>
          <w:tblHeader/>
        </w:trPr>
        <w:tc>
          <w:tcPr>
            <w:tcW w:w="2829" w:type="dxa"/>
            <w:tcBorders>
              <w:bottom w:val="single" w:sz="18" w:space="0" w:color="FFFFFF" w:themeColor="background1"/>
            </w:tcBorders>
            <w:shd w:val="clear" w:color="auto" w:fill="007D55"/>
          </w:tcPr>
          <w:p w14:paraId="1C150915" w14:textId="74E18416" w:rsidR="0084452A" w:rsidRPr="00DF6ACA" w:rsidRDefault="0045477F" w:rsidP="00D93256">
            <w:pPr>
              <w:pStyle w:val="STPR2WhiteTableHeading"/>
            </w:pPr>
            <w:r w:rsidRPr="00DF6ACA">
              <w:t>SEA TOPIC</w:t>
            </w:r>
          </w:p>
        </w:tc>
        <w:tc>
          <w:tcPr>
            <w:tcW w:w="6799" w:type="dxa"/>
            <w:tcBorders>
              <w:bottom w:val="single" w:sz="18" w:space="0" w:color="FFFFFF" w:themeColor="background1"/>
            </w:tcBorders>
            <w:shd w:val="clear" w:color="auto" w:fill="007D55"/>
          </w:tcPr>
          <w:p w14:paraId="6E0A2A3E" w14:textId="24417574" w:rsidR="0084452A" w:rsidRPr="00DF6ACA" w:rsidRDefault="0045477F" w:rsidP="00D93256">
            <w:pPr>
              <w:pStyle w:val="STPR2WhiteTableHeading"/>
            </w:pPr>
            <w:r w:rsidRPr="00DF6ACA">
              <w:t>EXISTING MONITORING PROGRAMMES</w:t>
            </w:r>
          </w:p>
        </w:tc>
      </w:tr>
      <w:tr w:rsidR="0084452A" w:rsidRPr="00E645D5" w14:paraId="0AFB55B0" w14:textId="77777777" w:rsidTr="008D0DFB">
        <w:trPr>
          <w:cantSplit/>
        </w:trPr>
        <w:tc>
          <w:tcPr>
            <w:tcW w:w="2829" w:type="dxa"/>
            <w:tcBorders>
              <w:top w:val="single" w:sz="18" w:space="0" w:color="FFFFFF" w:themeColor="background1"/>
            </w:tcBorders>
            <w:shd w:val="clear" w:color="auto" w:fill="DCEDC6"/>
          </w:tcPr>
          <w:p w14:paraId="79B4215B" w14:textId="2F8DFC9B" w:rsidR="0084452A" w:rsidRPr="008A1FE5" w:rsidRDefault="00853CF8" w:rsidP="00D93256">
            <w:pPr>
              <w:pStyle w:val="STPR2TableBody"/>
            </w:pPr>
            <w:r w:rsidRPr="008A1FE5">
              <w:t>Climatic Factors</w:t>
            </w:r>
            <w:r w:rsidR="006E32E7" w:rsidRPr="008A1FE5">
              <w:t>: Greenhouse Gas Emissions</w:t>
            </w:r>
          </w:p>
        </w:tc>
        <w:tc>
          <w:tcPr>
            <w:tcW w:w="6799" w:type="dxa"/>
            <w:tcBorders>
              <w:top w:val="single" w:sz="18" w:space="0" w:color="FFFFFF" w:themeColor="background1"/>
            </w:tcBorders>
            <w:shd w:val="clear" w:color="auto" w:fill="DCEDC6"/>
          </w:tcPr>
          <w:p w14:paraId="4CEBBE96" w14:textId="4EAABF63" w:rsidR="005808EE" w:rsidRPr="008A1FE5" w:rsidRDefault="008769D0" w:rsidP="00D93256">
            <w:pPr>
              <w:pStyle w:val="STPR2TableBody"/>
            </w:pPr>
            <w:r w:rsidRPr="008A1FE5">
              <w:t xml:space="preserve">Scottish greenhouse gas emissions data </w:t>
            </w:r>
            <w:r w:rsidR="002447CB" w:rsidRPr="008A1FE5">
              <w:t>are</w:t>
            </w:r>
            <w:r w:rsidRPr="008A1FE5">
              <w:t xml:space="preserve"> collected as part of the Scottish Government statistics series.</w:t>
            </w:r>
            <w:r w:rsidR="00285CDB" w:rsidRPr="008A1FE5">
              <w:t xml:space="preserve"> The Annual Compendium of Scottish Energy Statistics (2019</w:t>
            </w:r>
            <w:r w:rsidR="004C0C80" w:rsidRPr="008A1FE5">
              <w:t>b</w:t>
            </w:r>
            <w:r w:rsidR="00285CDB" w:rsidRPr="008A1FE5">
              <w:t>) reports on energy consumption from transport.</w:t>
            </w:r>
            <w:r w:rsidRPr="008A1FE5">
              <w:t xml:space="preserve"> The collation and collection of data on greenhouse gas emissions is also considered in </w:t>
            </w:r>
            <w:r w:rsidR="00300240" w:rsidRPr="008A1FE5">
              <w:t>various</w:t>
            </w:r>
            <w:r w:rsidRPr="008A1FE5">
              <w:t xml:space="preserve"> plans, including the Climate Change Plan</w:t>
            </w:r>
            <w:r w:rsidR="00B30911" w:rsidRPr="008A1FE5">
              <w:t xml:space="preserve"> </w:t>
            </w:r>
            <w:r w:rsidR="00C06245">
              <w:t xml:space="preserve">Update </w:t>
            </w:r>
            <w:r w:rsidR="00B30911" w:rsidRPr="008A1FE5">
              <w:t>and Carbon Account for Transport.</w:t>
            </w:r>
          </w:p>
        </w:tc>
      </w:tr>
      <w:tr w:rsidR="0084452A" w:rsidRPr="00E645D5" w14:paraId="0F3BFAB1" w14:textId="77777777" w:rsidTr="001E478B">
        <w:trPr>
          <w:cantSplit/>
        </w:trPr>
        <w:tc>
          <w:tcPr>
            <w:tcW w:w="2829" w:type="dxa"/>
            <w:shd w:val="clear" w:color="auto" w:fill="DCEDC6"/>
          </w:tcPr>
          <w:p w14:paraId="67130891" w14:textId="34B39DDE" w:rsidR="0084452A" w:rsidRPr="00E645D5" w:rsidRDefault="00E63B7E" w:rsidP="00D93256">
            <w:pPr>
              <w:pStyle w:val="STPR2TableBody"/>
            </w:pPr>
            <w:r w:rsidRPr="00E63B7E">
              <w:t>Climatic Factors:</w:t>
            </w:r>
            <w:r>
              <w:t xml:space="preserve"> Climate Adaptation</w:t>
            </w:r>
          </w:p>
        </w:tc>
        <w:tc>
          <w:tcPr>
            <w:tcW w:w="6799" w:type="dxa"/>
            <w:shd w:val="clear" w:color="auto" w:fill="DCEDC6"/>
            <w:vAlign w:val="center"/>
          </w:tcPr>
          <w:p w14:paraId="603C9564" w14:textId="6E9CFC6A" w:rsidR="0084452A" w:rsidRPr="00E645D5" w:rsidRDefault="007E72F6" w:rsidP="00D93256">
            <w:pPr>
              <w:pStyle w:val="STPR2TableBody"/>
            </w:pPr>
            <w:r>
              <w:t>Scotland’s Second Climate Change Adaptation Programme</w:t>
            </w:r>
            <w:r w:rsidR="00F55BED">
              <w:t>.</w:t>
            </w:r>
          </w:p>
        </w:tc>
      </w:tr>
      <w:tr w:rsidR="0084452A" w:rsidRPr="00E645D5" w14:paraId="52E660F8" w14:textId="77777777" w:rsidTr="008D0DFB">
        <w:trPr>
          <w:cantSplit/>
        </w:trPr>
        <w:tc>
          <w:tcPr>
            <w:tcW w:w="2829" w:type="dxa"/>
            <w:shd w:val="clear" w:color="auto" w:fill="DCEDC6"/>
          </w:tcPr>
          <w:p w14:paraId="0B0D1838" w14:textId="3CC5B585" w:rsidR="0084452A" w:rsidRPr="008132BF" w:rsidRDefault="00F22887" w:rsidP="00D93256">
            <w:pPr>
              <w:pStyle w:val="STPR2TableBody"/>
            </w:pPr>
            <w:r>
              <w:t>Air Quality</w:t>
            </w:r>
          </w:p>
        </w:tc>
        <w:tc>
          <w:tcPr>
            <w:tcW w:w="6799" w:type="dxa"/>
            <w:shd w:val="clear" w:color="auto" w:fill="DCEDC6"/>
          </w:tcPr>
          <w:p w14:paraId="788F83DF" w14:textId="6D0CB50C" w:rsidR="002C5CE7" w:rsidRDefault="007F7432" w:rsidP="00D93256">
            <w:pPr>
              <w:pStyle w:val="STPR2TableBody"/>
            </w:pPr>
            <w:r w:rsidRPr="007F7432">
              <w:t>Monitoring and reporting of air quality currently takes place at 98 monitoring sites throughout Scotland and in some instances, includes real time monitoring data</w:t>
            </w:r>
            <w:r>
              <w:t xml:space="preserve">. </w:t>
            </w:r>
            <w:r w:rsidR="009C5507">
              <w:t xml:space="preserve">Air pollution levels </w:t>
            </w:r>
            <w:r w:rsidR="00EB1DE1">
              <w:t xml:space="preserve">across Scotland </w:t>
            </w:r>
            <w:r w:rsidR="009C5507">
              <w:t>are updated hourly</w:t>
            </w:r>
            <w:r w:rsidR="008D16BC">
              <w:t xml:space="preserve"> (Scotland</w:t>
            </w:r>
            <w:r w:rsidR="002735EF">
              <w:t>’s E</w:t>
            </w:r>
            <w:r w:rsidR="003A410B">
              <w:t>nvironment, 2021)</w:t>
            </w:r>
            <w:r w:rsidR="00493ABB">
              <w:t>.</w:t>
            </w:r>
            <w:r w:rsidR="0096297B">
              <w:rPr>
                <w:rStyle w:val="FootnoteReference"/>
              </w:rPr>
              <w:footnoteReference w:id="2"/>
            </w:r>
          </w:p>
          <w:p w14:paraId="4A38B084" w14:textId="2FFF45E7" w:rsidR="00A36564" w:rsidRDefault="00BC6D7D" w:rsidP="00D93256">
            <w:pPr>
              <w:pStyle w:val="STPR2TableBody"/>
            </w:pPr>
            <w:r>
              <w:t>The Air Pollution Information System (APIS)</w:t>
            </w:r>
            <w:r w:rsidR="00B95F95">
              <w:t xml:space="preserve"> monitors air pollution trends in the UK</w:t>
            </w:r>
            <w:r w:rsidR="00C35290">
              <w:t xml:space="preserve"> (including deposition values of sulphur and nitrogen, and concentration levels for ammonia (NH</w:t>
            </w:r>
            <w:r w:rsidR="00C35290">
              <w:rPr>
                <w:vertAlign w:val="subscript"/>
              </w:rPr>
              <w:t>3</w:t>
            </w:r>
            <w:r w:rsidR="00C35290">
              <w:rPr>
                <w:vertAlign w:val="subscript"/>
              </w:rPr>
              <w:softHyphen/>
            </w:r>
            <w:r w:rsidR="00C35290">
              <w:t>), sulphur dioxide (SO</w:t>
            </w:r>
            <w:r w:rsidR="00C35290">
              <w:rPr>
                <w:vertAlign w:val="subscript"/>
              </w:rPr>
              <w:t>2</w:t>
            </w:r>
            <w:r w:rsidR="00C35290">
              <w:t>) and nitrogen oxide (NO</w:t>
            </w:r>
            <w:r w:rsidR="00C35290">
              <w:rPr>
                <w:vertAlign w:val="subscript"/>
              </w:rPr>
              <w:t>x</w:t>
            </w:r>
            <w:r w:rsidR="00C35290">
              <w:t>)</w:t>
            </w:r>
            <w:r w:rsidR="00860193">
              <w:t>, and their effects on habitats and species</w:t>
            </w:r>
            <w:r w:rsidR="00C35290">
              <w:t xml:space="preserve"> (</w:t>
            </w:r>
            <w:r w:rsidR="00997BCC">
              <w:t>UK Centre for Ecology</w:t>
            </w:r>
            <w:r w:rsidR="00380B9D">
              <w:t xml:space="preserve"> &amp; Hydrology, </w:t>
            </w:r>
            <w:r w:rsidR="00997BCC">
              <w:t>2022)</w:t>
            </w:r>
            <w:r w:rsidR="00C35290">
              <w:t>.</w:t>
            </w:r>
          </w:p>
          <w:p w14:paraId="686AFE6D" w14:textId="4E3F2858" w:rsidR="002C5CE7" w:rsidRDefault="003D045F" w:rsidP="00D93256">
            <w:pPr>
              <w:pStyle w:val="STPR2TableBody"/>
            </w:pPr>
            <w:r>
              <w:t xml:space="preserve">Key </w:t>
            </w:r>
            <w:r w:rsidR="00F5667E" w:rsidRPr="00F5667E">
              <w:t>performance indicators aligned to Cleaner Air for Scotland: The Road to a Healthier Future are also monitored</w:t>
            </w:r>
            <w:r w:rsidR="00BC349B">
              <w:t xml:space="preserve"> </w:t>
            </w:r>
            <w:r w:rsidR="00F5667E">
              <w:t>(</w:t>
            </w:r>
            <w:r w:rsidR="0089064F" w:rsidRPr="0089064F">
              <w:t>Scottish Government</w:t>
            </w:r>
            <w:r w:rsidR="00F5667E">
              <w:t xml:space="preserve">, </w:t>
            </w:r>
            <w:r w:rsidR="0089064F" w:rsidRPr="0089064F">
              <w:t>2015)</w:t>
            </w:r>
            <w:r w:rsidR="00493ABB">
              <w:t>.</w:t>
            </w:r>
          </w:p>
          <w:p w14:paraId="1066CD80" w14:textId="1BCC6CCF" w:rsidR="002C5CE7" w:rsidRPr="00FE7BDB" w:rsidRDefault="002C5CE7" w:rsidP="00D93256">
            <w:pPr>
              <w:pStyle w:val="STPR2TableBody"/>
            </w:pPr>
            <w:r>
              <w:t xml:space="preserve">Environmental Standards Scotland (2021) </w:t>
            </w:r>
            <w:r w:rsidR="00E64632">
              <w:t>are currently investigating Scotland’s compliance with statutory air quality limit levels for nitrogen dioxide.</w:t>
            </w:r>
          </w:p>
        </w:tc>
      </w:tr>
      <w:tr w:rsidR="0084452A" w:rsidRPr="00E645D5" w14:paraId="27A762C8" w14:textId="77777777" w:rsidTr="008D0DFB">
        <w:trPr>
          <w:cantSplit/>
        </w:trPr>
        <w:tc>
          <w:tcPr>
            <w:tcW w:w="2829" w:type="dxa"/>
            <w:shd w:val="clear" w:color="auto" w:fill="DCEDC6"/>
          </w:tcPr>
          <w:p w14:paraId="6B22F025" w14:textId="0D482FCE" w:rsidR="0084452A" w:rsidRPr="00112210" w:rsidRDefault="00A66343" w:rsidP="00D93256">
            <w:pPr>
              <w:pStyle w:val="STPR2TableBody"/>
            </w:pPr>
            <w:r>
              <w:lastRenderedPageBreak/>
              <w:t>Population and Human Health</w:t>
            </w:r>
          </w:p>
        </w:tc>
        <w:tc>
          <w:tcPr>
            <w:tcW w:w="6799" w:type="dxa"/>
            <w:shd w:val="clear" w:color="auto" w:fill="DCEDC6"/>
          </w:tcPr>
          <w:p w14:paraId="23A63C9C" w14:textId="3F016197" w:rsidR="00A96242" w:rsidRDefault="00D43AA8" w:rsidP="00D93256">
            <w:pPr>
              <w:pStyle w:val="STPR2TableBody"/>
            </w:pPr>
            <w:r w:rsidRPr="00D43AA8">
              <w:t>Key sources of transport-related noise are reported via local authority environmental noise mapping and Marine Scotland collects data on the impacts of marine noise, including the construction of infrastructure and the operation of infrastructure and boats.</w:t>
            </w:r>
            <w:r>
              <w:t xml:space="preserve"> </w:t>
            </w:r>
            <w:r w:rsidR="00F5002E">
              <w:t>Noise monitoring is also relevant to the Biodiversity SEA Topic.</w:t>
            </w:r>
          </w:p>
          <w:p w14:paraId="655A84B2" w14:textId="449D5C75" w:rsidR="00A66343" w:rsidRDefault="00A66343" w:rsidP="00D93256">
            <w:pPr>
              <w:pStyle w:val="STPR2TableBody"/>
            </w:pPr>
            <w:r w:rsidRPr="00A66343">
              <w:t>Road safety is monitored by Transport Scotland (202</w:t>
            </w:r>
            <w:r w:rsidR="00F079E8">
              <w:t>1</w:t>
            </w:r>
            <w:r w:rsidRPr="00A66343">
              <w:t>b)</w:t>
            </w:r>
            <w:r w:rsidR="00EE3C5F">
              <w:t>.</w:t>
            </w:r>
          </w:p>
          <w:p w14:paraId="5AF5970C" w14:textId="28FAAE34" w:rsidR="00A96242" w:rsidRDefault="00A96242" w:rsidP="00D93256">
            <w:pPr>
              <w:pStyle w:val="STPR2TableBody"/>
            </w:pPr>
            <w:r>
              <w:t xml:space="preserve">Transport Scotland also publishes annual statistics on </w:t>
            </w:r>
            <w:r w:rsidR="005A2A24">
              <w:t xml:space="preserve">participation in active travel </w:t>
            </w:r>
            <w:r w:rsidR="005A2A24" w:rsidRPr="00FA6B86">
              <w:t>(202</w:t>
            </w:r>
            <w:r w:rsidR="00CF48A2">
              <w:t>0</w:t>
            </w:r>
            <w:r w:rsidR="00F079E8">
              <w:t>b</w:t>
            </w:r>
            <w:r w:rsidR="005A2A24" w:rsidRPr="00FA6B86">
              <w:t>)</w:t>
            </w:r>
            <w:r w:rsidR="005A2A24">
              <w:t>.</w:t>
            </w:r>
          </w:p>
          <w:p w14:paraId="3663A46B" w14:textId="7A627812" w:rsidR="00EE3C5F" w:rsidRDefault="00675994" w:rsidP="00D93256">
            <w:pPr>
              <w:pStyle w:val="STPR2TableBody"/>
            </w:pPr>
            <w:r>
              <w:t>National and regional d</w:t>
            </w:r>
            <w:r w:rsidR="00D72DDC">
              <w:t xml:space="preserve">ata on income, employment, education, health, access to services, crime and housing is </w:t>
            </w:r>
            <w:r w:rsidR="00D578DB">
              <w:t>reported</w:t>
            </w:r>
            <w:r w:rsidR="00D72DDC">
              <w:t xml:space="preserve"> </w:t>
            </w:r>
            <w:r w:rsidR="0028531E">
              <w:t>via the Scottish Index of Multiple Deprivation (SIMD) tool</w:t>
            </w:r>
            <w:r w:rsidR="00D578DB">
              <w:t xml:space="preserve"> every four years.</w:t>
            </w:r>
          </w:p>
        </w:tc>
      </w:tr>
      <w:tr w:rsidR="0084452A" w:rsidRPr="00E645D5" w14:paraId="6C9FD6EE" w14:textId="77777777" w:rsidTr="008D0DFB">
        <w:trPr>
          <w:cantSplit/>
        </w:trPr>
        <w:tc>
          <w:tcPr>
            <w:tcW w:w="2829" w:type="dxa"/>
            <w:shd w:val="clear" w:color="auto" w:fill="DCEDC6"/>
          </w:tcPr>
          <w:p w14:paraId="3F6FAB22" w14:textId="52DDD213" w:rsidR="0084452A" w:rsidRPr="00112210" w:rsidRDefault="00F22887" w:rsidP="00D93256">
            <w:pPr>
              <w:pStyle w:val="STPR2TableBody"/>
            </w:pPr>
            <w:r w:rsidRPr="00F22887">
              <w:t>Material Assets</w:t>
            </w:r>
            <w:r w:rsidR="00C14058">
              <w:t>:</w:t>
            </w:r>
            <w:r w:rsidR="000A7B4C">
              <w:t xml:space="preserve"> Sustainable Use of the Transport Network</w:t>
            </w:r>
          </w:p>
        </w:tc>
        <w:tc>
          <w:tcPr>
            <w:tcW w:w="6799" w:type="dxa"/>
            <w:shd w:val="clear" w:color="auto" w:fill="DCEDC6"/>
          </w:tcPr>
          <w:p w14:paraId="3A04FE62" w14:textId="1D0CA4ED" w:rsidR="0084452A" w:rsidRDefault="003F0CFE" w:rsidP="00D93256">
            <w:pPr>
              <w:pStyle w:val="STPR2TableBody"/>
            </w:pPr>
            <w:r>
              <w:t>Monitoring of transp</w:t>
            </w:r>
            <w:r w:rsidR="00891DE6">
              <w:t>ort</w:t>
            </w:r>
            <w:r w:rsidR="002B3AC5">
              <w:t xml:space="preserve"> trend data</w:t>
            </w:r>
            <w:r w:rsidR="00891DE6">
              <w:t xml:space="preserve"> in Scotland is undertaken by Transport </w:t>
            </w:r>
            <w:r w:rsidR="00891DE6" w:rsidRPr="00FA6B86">
              <w:t>Scotland</w:t>
            </w:r>
            <w:r w:rsidR="002B3AC5" w:rsidRPr="00FA6B86">
              <w:t xml:space="preserve"> </w:t>
            </w:r>
            <w:r w:rsidR="009927C1" w:rsidRPr="00FA6B86">
              <w:t>(2021</w:t>
            </w:r>
            <w:r w:rsidR="009E3E94">
              <w:t>c</w:t>
            </w:r>
            <w:r w:rsidR="009927C1" w:rsidRPr="00FA6B86">
              <w:t>)</w:t>
            </w:r>
            <w:r w:rsidR="00CF0F2A">
              <w:t>.</w:t>
            </w:r>
            <w:r w:rsidR="00891DE6">
              <w:t xml:space="preserve"> </w:t>
            </w:r>
          </w:p>
        </w:tc>
      </w:tr>
      <w:tr w:rsidR="0084452A" w:rsidRPr="00E645D5" w14:paraId="5F54A4D3" w14:textId="77777777" w:rsidTr="008D0DFB">
        <w:trPr>
          <w:cantSplit/>
        </w:trPr>
        <w:tc>
          <w:tcPr>
            <w:tcW w:w="2829" w:type="dxa"/>
            <w:shd w:val="clear" w:color="auto" w:fill="DCEDC6"/>
          </w:tcPr>
          <w:p w14:paraId="4B0566CA" w14:textId="3632401A" w:rsidR="0084452A" w:rsidRPr="00112210" w:rsidRDefault="00C14058" w:rsidP="00D93256">
            <w:pPr>
              <w:pStyle w:val="STPR2TableBody"/>
            </w:pPr>
            <w:r>
              <w:t xml:space="preserve">Material Assets: </w:t>
            </w:r>
            <w:r w:rsidR="000A7B4C">
              <w:t>Natural Resources</w:t>
            </w:r>
          </w:p>
        </w:tc>
        <w:tc>
          <w:tcPr>
            <w:tcW w:w="6799" w:type="dxa"/>
            <w:shd w:val="clear" w:color="auto" w:fill="DCEDC6"/>
          </w:tcPr>
          <w:p w14:paraId="5471AB91" w14:textId="77777777" w:rsidR="0084452A" w:rsidRDefault="003C61D7" w:rsidP="00D93256">
            <w:pPr>
              <w:pStyle w:val="STPR2TableBody"/>
            </w:pPr>
            <w:r>
              <w:t>Proportions of recycled or secondary aggregates used in the construction of transport infrastructure is monitored by Transport Scotland.</w:t>
            </w:r>
            <w:r w:rsidR="00835BA1">
              <w:t xml:space="preserve"> The </w:t>
            </w:r>
            <w:r w:rsidR="00C23287">
              <w:t xml:space="preserve">total </w:t>
            </w:r>
            <w:r w:rsidR="00AD3410">
              <w:t>quantities of these aggregates used also need to be monitored.</w:t>
            </w:r>
          </w:p>
          <w:p w14:paraId="294536D0" w14:textId="360D4AA4" w:rsidR="00972C23" w:rsidRDefault="00FE2A18" w:rsidP="00D93256">
            <w:pPr>
              <w:pStyle w:val="STPR2TableBody"/>
            </w:pPr>
            <w:r>
              <w:t xml:space="preserve">Natural resources are also monitored through </w:t>
            </w:r>
            <w:r w:rsidR="00011FBD">
              <w:t xml:space="preserve">Scotland’s Natural </w:t>
            </w:r>
            <w:r w:rsidR="00DC1EF0">
              <w:t>Capital Index</w:t>
            </w:r>
            <w:r w:rsidR="00CA33D3">
              <w:t>, which monitors</w:t>
            </w:r>
            <w:r w:rsidR="00692B02">
              <w:t xml:space="preserve"> </w:t>
            </w:r>
            <w:r w:rsidR="00DA6739">
              <w:t>a variety of habitat types in terms of their ecosystem services potential</w:t>
            </w:r>
            <w:r w:rsidR="006E6009">
              <w:t xml:space="preserve"> (NatureScot, 202</w:t>
            </w:r>
            <w:r w:rsidR="003D02E0">
              <w:t>2</w:t>
            </w:r>
            <w:r w:rsidR="0001186E">
              <w:t>b</w:t>
            </w:r>
            <w:r w:rsidR="006E6009">
              <w:t>).</w:t>
            </w:r>
          </w:p>
        </w:tc>
      </w:tr>
      <w:tr w:rsidR="00C14058" w:rsidRPr="00E645D5" w14:paraId="130BD878" w14:textId="77777777" w:rsidTr="008D0DFB">
        <w:trPr>
          <w:cantSplit/>
        </w:trPr>
        <w:tc>
          <w:tcPr>
            <w:tcW w:w="2829" w:type="dxa"/>
            <w:shd w:val="clear" w:color="auto" w:fill="DCEDC6"/>
          </w:tcPr>
          <w:p w14:paraId="4D4415A2" w14:textId="28626FEA" w:rsidR="00C14058" w:rsidRPr="00112210" w:rsidRDefault="00C14058" w:rsidP="00D93256">
            <w:pPr>
              <w:pStyle w:val="STPR2TableBody"/>
            </w:pPr>
            <w:r w:rsidRPr="00F22887">
              <w:t>Water Environment</w:t>
            </w:r>
          </w:p>
        </w:tc>
        <w:tc>
          <w:tcPr>
            <w:tcW w:w="6799" w:type="dxa"/>
            <w:shd w:val="clear" w:color="auto" w:fill="DCEDC6"/>
          </w:tcPr>
          <w:p w14:paraId="4C8F4F34" w14:textId="06020C55" w:rsidR="00C14058" w:rsidRDefault="00C06E79" w:rsidP="00D93256">
            <w:pPr>
              <w:pStyle w:val="STPR2TableBody"/>
            </w:pPr>
            <w:r>
              <w:t xml:space="preserve">The </w:t>
            </w:r>
            <w:r w:rsidR="007414BB">
              <w:t xml:space="preserve">water environment </w:t>
            </w:r>
            <w:r>
              <w:t xml:space="preserve">is monitored </w:t>
            </w:r>
            <w:r w:rsidR="000654A1">
              <w:t>through a combination of</w:t>
            </w:r>
            <w:r w:rsidR="002E0EDE">
              <w:t xml:space="preserve"> </w:t>
            </w:r>
            <w:r w:rsidR="00740C0F">
              <w:t>surveillance, operational and investigative monitoring</w:t>
            </w:r>
            <w:r w:rsidR="00D72701">
              <w:t xml:space="preserve"> </w:t>
            </w:r>
            <w:r w:rsidR="007169EA">
              <w:t xml:space="preserve">as </w:t>
            </w:r>
            <w:r w:rsidR="00D72701">
              <w:t>set out in</w:t>
            </w:r>
            <w:r>
              <w:t xml:space="preserve"> SEPA’s</w:t>
            </w:r>
            <w:r w:rsidR="005973BF">
              <w:t xml:space="preserve"> WFD Aquatic Monitoring Strategy (2007)</w:t>
            </w:r>
            <w:r w:rsidR="00264CFB">
              <w:t>.</w:t>
            </w:r>
            <w:r w:rsidR="00D72701">
              <w:t xml:space="preserve"> SEPA’s monitoring responsibilities also include nitrates</w:t>
            </w:r>
            <w:r w:rsidR="000E36F4">
              <w:t xml:space="preserve"> and protected areas</w:t>
            </w:r>
            <w:r w:rsidR="00873D5B">
              <w:t>, the results of which are maintained in a register of protected areas (</w:t>
            </w:r>
            <w:r w:rsidR="00A20087">
              <w:t>SEPA, n.d.).</w:t>
            </w:r>
            <w:r w:rsidR="00D72701">
              <w:t xml:space="preserve"> </w:t>
            </w:r>
          </w:p>
          <w:p w14:paraId="47FEBFAB" w14:textId="694CA434" w:rsidR="00E322E5" w:rsidRDefault="00973A88" w:rsidP="00D93256">
            <w:pPr>
              <w:pStyle w:val="STPR2TableBody"/>
            </w:pPr>
            <w:r>
              <w:t xml:space="preserve">To monitor </w:t>
            </w:r>
            <w:r w:rsidR="0098337D">
              <w:t xml:space="preserve">surface water </w:t>
            </w:r>
            <w:r>
              <w:t>flooding</w:t>
            </w:r>
            <w:r w:rsidR="00B808E2">
              <w:t xml:space="preserve"> </w:t>
            </w:r>
            <w:r w:rsidR="0020566B">
              <w:t xml:space="preserve">and </w:t>
            </w:r>
            <w:r w:rsidR="00B808E2">
              <w:t>coastal erosion</w:t>
            </w:r>
            <w:r>
              <w:t xml:space="preserve">, </w:t>
            </w:r>
            <w:r w:rsidR="00E02A52">
              <w:t xml:space="preserve">Flood Risk Management Strategies </w:t>
            </w:r>
            <w:r>
              <w:t>are available for each of the 14 Local Plan Districts in Scotland</w:t>
            </w:r>
            <w:r w:rsidR="00836F7B">
              <w:t xml:space="preserve">. </w:t>
            </w:r>
            <w:r w:rsidR="009B4E15">
              <w:t>Local Flood Risk Management Plans</w:t>
            </w:r>
            <w:r w:rsidR="00836F7B">
              <w:t xml:space="preserve"> have also been developed in parallel with the Flood Risk Management Strategies</w:t>
            </w:r>
            <w:r w:rsidR="008E7B05">
              <w:t xml:space="preserve">, and </w:t>
            </w:r>
            <w:r w:rsidR="00E322E5">
              <w:t>projects such as Dynamic Coast have been developed to assess coastal change and identify assets at risk.</w:t>
            </w:r>
          </w:p>
        </w:tc>
      </w:tr>
      <w:tr w:rsidR="00C14058" w:rsidRPr="00E645D5" w14:paraId="5AE7F03D" w14:textId="77777777" w:rsidTr="008D0DFB">
        <w:trPr>
          <w:cantSplit/>
        </w:trPr>
        <w:tc>
          <w:tcPr>
            <w:tcW w:w="2829" w:type="dxa"/>
            <w:shd w:val="clear" w:color="auto" w:fill="DCEDC6"/>
          </w:tcPr>
          <w:p w14:paraId="487C22CC" w14:textId="636C1CCD" w:rsidR="00C14058" w:rsidRPr="00112210" w:rsidRDefault="00C14058" w:rsidP="00D93256">
            <w:pPr>
              <w:pStyle w:val="STPR2TableBody"/>
            </w:pPr>
            <w:r w:rsidRPr="00F22887">
              <w:lastRenderedPageBreak/>
              <w:t>Biodiversity</w:t>
            </w:r>
          </w:p>
        </w:tc>
        <w:tc>
          <w:tcPr>
            <w:tcW w:w="6799" w:type="dxa"/>
            <w:shd w:val="clear" w:color="auto" w:fill="DCEDC6"/>
          </w:tcPr>
          <w:p w14:paraId="282FBFC8" w14:textId="60897D8F" w:rsidR="00682F15" w:rsidRDefault="00BB65AB" w:rsidP="00D93256">
            <w:pPr>
              <w:pStyle w:val="STPR2TableBody"/>
            </w:pPr>
            <w:r>
              <w:t>Biodiversity reporting is undertaken both nationally and locally via a number of mechanisms, including via the State of Nature Scotland</w:t>
            </w:r>
            <w:r w:rsidR="00056C4A">
              <w:t xml:space="preserve"> (NatureScot, 2019)</w:t>
            </w:r>
            <w:r>
              <w:t xml:space="preserve"> reports and the requirement for public bodies to report every three years to demonstrate compliance with the biodiversity duty</w:t>
            </w:r>
            <w:r w:rsidR="00F866B0">
              <w:t>. This</w:t>
            </w:r>
            <w:r>
              <w:t xml:space="preserve"> includ</w:t>
            </w:r>
            <w:r w:rsidR="00E3182A">
              <w:t>es</w:t>
            </w:r>
            <w:r>
              <w:t xml:space="preserve"> reporting on progress </w:t>
            </w:r>
            <w:r w:rsidR="00E3182A">
              <w:t xml:space="preserve">on </w:t>
            </w:r>
            <w:r>
              <w:t>Scotland’s Biodiversity Strategy.</w:t>
            </w:r>
            <w:r w:rsidR="00B3719C">
              <w:t xml:space="preserve"> </w:t>
            </w:r>
          </w:p>
          <w:p w14:paraId="36EF3392" w14:textId="229015AE" w:rsidR="003F24F4" w:rsidRDefault="00A429FB" w:rsidP="00D93256">
            <w:pPr>
              <w:pStyle w:val="STPR2TableBody"/>
            </w:pPr>
            <w:r>
              <w:t xml:space="preserve">Biodiversity </w:t>
            </w:r>
            <w:r w:rsidR="00203292">
              <w:t xml:space="preserve">reporting </w:t>
            </w:r>
            <w:r w:rsidR="00F60422">
              <w:t>is</w:t>
            </w:r>
            <w:r>
              <w:t xml:space="preserve"> also</w:t>
            </w:r>
            <w:r w:rsidR="00F60422">
              <w:t xml:space="preserve"> undertaken </w:t>
            </w:r>
            <w:r w:rsidR="005C7009">
              <w:t>via</w:t>
            </w:r>
            <w:r>
              <w:t xml:space="preserve"> channels such as</w:t>
            </w:r>
            <w:r w:rsidR="005C7009">
              <w:t xml:space="preserve"> </w:t>
            </w:r>
            <w:r w:rsidR="00E8368E">
              <w:t>NatureSco</w:t>
            </w:r>
            <w:r w:rsidR="00B52115">
              <w:t>t</w:t>
            </w:r>
            <w:r w:rsidR="00800168">
              <w:t xml:space="preserve">’s </w:t>
            </w:r>
            <w:r w:rsidR="0040539E">
              <w:t>Site Conditioning Monitoring Programme</w:t>
            </w:r>
            <w:r w:rsidR="003E0498">
              <w:t xml:space="preserve"> </w:t>
            </w:r>
            <w:r w:rsidR="00E46AA9">
              <w:t xml:space="preserve">and Site Check Monitoring Method </w:t>
            </w:r>
            <w:r w:rsidR="003E0498">
              <w:t>(2018</w:t>
            </w:r>
            <w:r w:rsidR="00A63DF8">
              <w:t>a</w:t>
            </w:r>
            <w:r w:rsidR="003E0498">
              <w:t>)</w:t>
            </w:r>
            <w:r w:rsidR="007C6AFB">
              <w:t xml:space="preserve"> which are supplemented by</w:t>
            </w:r>
            <w:r w:rsidR="005C7009">
              <w:t xml:space="preserve"> </w:t>
            </w:r>
            <w:r w:rsidR="00BE34D6">
              <w:t xml:space="preserve">the </w:t>
            </w:r>
            <w:r w:rsidR="008F7B60">
              <w:t xml:space="preserve">Joint Nature Conservation Committee </w:t>
            </w:r>
            <w:r w:rsidR="00BE34D6">
              <w:t>(</w:t>
            </w:r>
            <w:r w:rsidR="003D37FB">
              <w:t>JNCC</w:t>
            </w:r>
            <w:r w:rsidR="00BE34D6">
              <w:t xml:space="preserve">) </w:t>
            </w:r>
            <w:r w:rsidR="003D37FB">
              <w:t>Seabird Monitoring Programme</w:t>
            </w:r>
            <w:r w:rsidR="004F65B5">
              <w:t xml:space="preserve"> </w:t>
            </w:r>
            <w:r w:rsidR="00C9277D">
              <w:t>(</w:t>
            </w:r>
            <w:r w:rsidR="00791F81">
              <w:t>2021)</w:t>
            </w:r>
            <w:r w:rsidR="005C7009">
              <w:t xml:space="preserve"> and the B</w:t>
            </w:r>
            <w:r w:rsidR="006D7A61">
              <w:t>ritish Trust for Ornithology (BTO) Wetland Bird Survey</w:t>
            </w:r>
            <w:r w:rsidR="00A31CB6">
              <w:t xml:space="preserve"> </w:t>
            </w:r>
            <w:r w:rsidR="00C9277D">
              <w:t>(</w:t>
            </w:r>
            <w:r w:rsidR="00A31CB6">
              <w:t>n.d.)</w:t>
            </w:r>
            <w:r w:rsidR="005C7009">
              <w:t>.</w:t>
            </w:r>
            <w:r w:rsidR="003F24F4">
              <w:t xml:space="preserve"> </w:t>
            </w:r>
          </w:p>
          <w:p w14:paraId="5D4FD695" w14:textId="2D2A26FD" w:rsidR="003D37FB" w:rsidRDefault="00682F15" w:rsidP="00D93256">
            <w:pPr>
              <w:pStyle w:val="STPR2TableBody"/>
            </w:pPr>
            <w:r>
              <w:t>Changes in habitat (</w:t>
            </w:r>
            <w:r w:rsidR="00167789">
              <w:t>for example,</w:t>
            </w:r>
            <w:r>
              <w:t xml:space="preserve"> woodland, grassland or wetland converted into artificial sites) is monitored via the Habitat Map of Scotland</w:t>
            </w:r>
            <w:r w:rsidR="00E51511">
              <w:t xml:space="preserve"> (HabMoS)</w:t>
            </w:r>
            <w:r w:rsidR="00736A60">
              <w:t xml:space="preserve"> </w:t>
            </w:r>
            <w:r w:rsidR="0000289D">
              <w:t>(</w:t>
            </w:r>
            <w:r w:rsidR="00D271C5">
              <w:t xml:space="preserve">NatureScot </w:t>
            </w:r>
            <w:r w:rsidR="0000289D">
              <w:t>2022</w:t>
            </w:r>
            <w:r w:rsidR="00E85642">
              <w:t>c</w:t>
            </w:r>
            <w:r w:rsidR="0000289D">
              <w:t>)</w:t>
            </w:r>
            <w:r w:rsidR="00F108F1">
              <w:t>, and c</w:t>
            </w:r>
            <w:r w:rsidR="0047748E">
              <w:t>hanges to habitat connectivity</w:t>
            </w:r>
            <w:r w:rsidR="00F108F1">
              <w:t xml:space="preserve"> </w:t>
            </w:r>
            <w:r w:rsidR="00DD4537">
              <w:t xml:space="preserve">can be measured by NatureScot’s Ecosystem Health Indicator </w:t>
            </w:r>
            <w:r w:rsidR="00736A60">
              <w:t>8: Connectivity (</w:t>
            </w:r>
            <w:r w:rsidR="00A63DF8">
              <w:t>2018b).</w:t>
            </w:r>
          </w:p>
        </w:tc>
      </w:tr>
      <w:tr w:rsidR="00C14058" w:rsidRPr="00E645D5" w14:paraId="765BDBD9" w14:textId="77777777" w:rsidTr="008D0DFB">
        <w:trPr>
          <w:cantSplit/>
        </w:trPr>
        <w:tc>
          <w:tcPr>
            <w:tcW w:w="2829" w:type="dxa"/>
            <w:shd w:val="clear" w:color="auto" w:fill="DCEDC6"/>
          </w:tcPr>
          <w:p w14:paraId="21603A1B" w14:textId="4599D889" w:rsidR="00C14058" w:rsidRPr="00112210" w:rsidRDefault="00C14058" w:rsidP="00D93256">
            <w:pPr>
              <w:pStyle w:val="STPR2TableBody"/>
            </w:pPr>
            <w:r w:rsidRPr="00F22887">
              <w:t>Soil</w:t>
            </w:r>
          </w:p>
        </w:tc>
        <w:tc>
          <w:tcPr>
            <w:tcW w:w="6799" w:type="dxa"/>
            <w:shd w:val="clear" w:color="auto" w:fill="DCEDC6"/>
          </w:tcPr>
          <w:p w14:paraId="64536A73" w14:textId="4D536377" w:rsidR="00C14058" w:rsidRDefault="007B3E52" w:rsidP="00D93256">
            <w:pPr>
              <w:pStyle w:val="STPR2TableBody"/>
            </w:pPr>
            <w:r>
              <w:t xml:space="preserve">The Soil </w:t>
            </w:r>
            <w:r w:rsidR="009348E4">
              <w:t>Monitoring Action Plan (</w:t>
            </w:r>
            <w:r w:rsidR="008C637D">
              <w:t xml:space="preserve">Soil </w:t>
            </w:r>
            <w:r w:rsidR="009348E4">
              <w:t>MAP)</w:t>
            </w:r>
            <w:r w:rsidR="000D18EA">
              <w:t xml:space="preserve"> </w:t>
            </w:r>
            <w:r w:rsidR="0096475A">
              <w:t xml:space="preserve">collects </w:t>
            </w:r>
            <w:r w:rsidR="000C48C2">
              <w:t xml:space="preserve">and displays </w:t>
            </w:r>
            <w:r w:rsidR="0096475A">
              <w:t>data on Scotland’s soils</w:t>
            </w:r>
            <w:r w:rsidR="003B2885">
              <w:t>, including soil erosion, peatland</w:t>
            </w:r>
            <w:r w:rsidR="000C48C2">
              <w:t xml:space="preserve">, soil carbon </w:t>
            </w:r>
            <w:r w:rsidR="005633B9">
              <w:t>and soil sealing.</w:t>
            </w:r>
            <w:r w:rsidR="00380B04">
              <w:t xml:space="preserve"> The Soil MAP Implementation Plan has </w:t>
            </w:r>
            <w:r w:rsidR="004A34B3">
              <w:t>been developed in conjunction with the Soil MAP and identifies additional monitoring needs for Scotland’s soils</w:t>
            </w:r>
            <w:r w:rsidR="00CC0C06">
              <w:t xml:space="preserve"> (Scotland’s Soils</w:t>
            </w:r>
            <w:r w:rsidR="007663BE">
              <w:t>, 2018).</w:t>
            </w:r>
          </w:p>
          <w:p w14:paraId="7629FC06" w14:textId="19772634" w:rsidR="000C48C2" w:rsidRDefault="000C48C2" w:rsidP="00D93256">
            <w:pPr>
              <w:pStyle w:val="STPR2TableBody"/>
            </w:pPr>
            <w:r>
              <w:t xml:space="preserve">Scotland’s </w:t>
            </w:r>
            <w:r w:rsidR="002C3D8F">
              <w:t>E</w:t>
            </w:r>
            <w:r>
              <w:t xml:space="preserve">nvironment </w:t>
            </w:r>
            <w:r w:rsidR="00FB7391">
              <w:t>W</w:t>
            </w:r>
            <w:r>
              <w:t xml:space="preserve">eb </w:t>
            </w:r>
            <w:r w:rsidR="00FD5BA6">
              <w:t>(2021)</w:t>
            </w:r>
            <w:r>
              <w:t xml:space="preserve"> also publishes information on ecosystem health indicators, including indicators for soil carbon and soil sealing.</w:t>
            </w:r>
          </w:p>
          <w:p w14:paraId="03A1EF09" w14:textId="7A8DAB40" w:rsidR="000C48C2" w:rsidRDefault="004270F9" w:rsidP="00D93256">
            <w:pPr>
              <w:pStyle w:val="STPR2TableBody"/>
            </w:pPr>
            <w:r>
              <w:t>A number of organisations also collect and publish data and information on soil in Scotland, including The James Hutton Institute, Scotland’s Rural College, British Geological Survey</w:t>
            </w:r>
            <w:r w:rsidR="00A64C47">
              <w:t>, Forestry and Land Scotland, and Scottish Forestry</w:t>
            </w:r>
            <w:r w:rsidR="006C7A4C">
              <w:t>.</w:t>
            </w:r>
          </w:p>
        </w:tc>
      </w:tr>
      <w:tr w:rsidR="00C14058" w:rsidRPr="00E645D5" w14:paraId="4D5F6619" w14:textId="77777777" w:rsidTr="008D0DFB">
        <w:trPr>
          <w:cantSplit/>
        </w:trPr>
        <w:tc>
          <w:tcPr>
            <w:tcW w:w="2829" w:type="dxa"/>
            <w:shd w:val="clear" w:color="auto" w:fill="DCEDC6"/>
          </w:tcPr>
          <w:p w14:paraId="1FB84788" w14:textId="3A14E779" w:rsidR="00C14058" w:rsidRPr="00112210" w:rsidRDefault="00C14058" w:rsidP="00D93256">
            <w:pPr>
              <w:pStyle w:val="STPR2TableBody"/>
            </w:pPr>
            <w:r w:rsidRPr="00F22887">
              <w:t>Cultural Heritage</w:t>
            </w:r>
          </w:p>
        </w:tc>
        <w:tc>
          <w:tcPr>
            <w:tcW w:w="6799" w:type="dxa"/>
            <w:shd w:val="clear" w:color="auto" w:fill="DCEDC6"/>
          </w:tcPr>
          <w:p w14:paraId="7B9CE739" w14:textId="6BD44057" w:rsidR="00C14058" w:rsidRDefault="00A8337A" w:rsidP="00D93256">
            <w:pPr>
              <w:pStyle w:val="STPR2TableBody"/>
            </w:pPr>
            <w:r>
              <w:t>HES</w:t>
            </w:r>
            <w:r w:rsidR="00231650">
              <w:t xml:space="preserve"> monitors Scotland’s heritage assets </w:t>
            </w:r>
            <w:r w:rsidR="00F70F47">
              <w:t xml:space="preserve">through regular condition assessments and </w:t>
            </w:r>
            <w:r w:rsidR="009D0240">
              <w:t xml:space="preserve">measures </w:t>
            </w:r>
            <w:r w:rsidR="004D498E">
              <w:t>as set out in the Asset Management Plan</w:t>
            </w:r>
            <w:r w:rsidR="00A60AB2">
              <w:t xml:space="preserve"> (HES, 2018).</w:t>
            </w:r>
          </w:p>
        </w:tc>
      </w:tr>
      <w:tr w:rsidR="00C14058" w:rsidRPr="00E645D5" w14:paraId="3A681474" w14:textId="77777777" w:rsidTr="008D0DFB">
        <w:trPr>
          <w:cantSplit/>
        </w:trPr>
        <w:tc>
          <w:tcPr>
            <w:tcW w:w="2829" w:type="dxa"/>
            <w:shd w:val="clear" w:color="auto" w:fill="DCEDC6"/>
          </w:tcPr>
          <w:p w14:paraId="504D765E" w14:textId="4F00CF6B" w:rsidR="00C14058" w:rsidRPr="00112210" w:rsidRDefault="00C14058" w:rsidP="00D93256">
            <w:pPr>
              <w:pStyle w:val="STPR2TableBody"/>
            </w:pPr>
            <w:r w:rsidRPr="00F22887">
              <w:t>Landscape and Visual Amenity</w:t>
            </w:r>
          </w:p>
        </w:tc>
        <w:tc>
          <w:tcPr>
            <w:tcW w:w="6799" w:type="dxa"/>
            <w:shd w:val="clear" w:color="auto" w:fill="DCEDC6"/>
          </w:tcPr>
          <w:p w14:paraId="46C2CE10" w14:textId="068ACCFA" w:rsidR="00C14058" w:rsidRDefault="000970D7" w:rsidP="00D93256">
            <w:pPr>
              <w:pStyle w:val="STPR2TableBody"/>
            </w:pPr>
            <w:r>
              <w:t xml:space="preserve">Scotland’s Landscape Monitoring Programme is </w:t>
            </w:r>
            <w:r w:rsidR="00AD7732">
              <w:t xml:space="preserve">led by NatureScot in collaboration with others such as HES. It aims to provide a framework to monitor aspects of landscape change in Scotland. </w:t>
            </w:r>
            <w:r w:rsidR="00003847">
              <w:t>The programme monitors indicators</w:t>
            </w:r>
            <w:r w:rsidR="00CE22D3">
              <w:t xml:space="preserve"> currently across four landscape themes</w:t>
            </w:r>
            <w:r w:rsidR="00003847">
              <w:t>: landscape qualities, public perception, land cover, and built development</w:t>
            </w:r>
            <w:r w:rsidR="00C520F3">
              <w:t xml:space="preserve"> (NatureScot, 2017).</w:t>
            </w:r>
          </w:p>
        </w:tc>
      </w:tr>
    </w:tbl>
    <w:p w14:paraId="2908E118" w14:textId="77777777" w:rsidR="00D755F5" w:rsidRDefault="00D755F5" w:rsidP="00D93256">
      <w:pPr>
        <w:pStyle w:val="STPR2BodyText"/>
      </w:pPr>
    </w:p>
    <w:p w14:paraId="494C9815" w14:textId="363D87B5" w:rsidR="000C6958" w:rsidRPr="00804F85" w:rsidRDefault="0022227E" w:rsidP="00D93256">
      <w:pPr>
        <w:pStyle w:val="STPR2BodyText"/>
      </w:pPr>
      <w:r>
        <w:t>The final</w:t>
      </w:r>
      <w:r w:rsidR="000C6958" w:rsidRPr="00804F85">
        <w:t xml:space="preserve"> high-level monitoring framework </w:t>
      </w:r>
      <w:r>
        <w:t xml:space="preserve">for </w:t>
      </w:r>
      <w:r w:rsidR="00B92F19" w:rsidRPr="00B92F19">
        <w:t xml:space="preserve">the </w:t>
      </w:r>
      <w:r>
        <w:t xml:space="preserve">STPR2 </w:t>
      </w:r>
      <w:r w:rsidR="000C6958" w:rsidRPr="00804F85">
        <w:t xml:space="preserve">will be </w:t>
      </w:r>
      <w:r w:rsidR="007366CF">
        <w:t>included in</w:t>
      </w:r>
      <w:r w:rsidR="000C6958" w:rsidRPr="00804F85">
        <w:t xml:space="preserve"> the </w:t>
      </w:r>
      <w:r w:rsidR="007366CF">
        <w:t xml:space="preserve">SEA </w:t>
      </w:r>
      <w:r w:rsidR="000C6958" w:rsidRPr="00804F85">
        <w:t xml:space="preserve">Post </w:t>
      </w:r>
      <w:r w:rsidR="000C6958" w:rsidRPr="00804F85">
        <w:lastRenderedPageBreak/>
        <w:t>Adoption Statement.</w:t>
      </w:r>
      <w:r>
        <w:t xml:space="preserve"> This will </w:t>
      </w:r>
      <w:r w:rsidR="00700DC5">
        <w:t>refer to</w:t>
      </w:r>
      <w:r>
        <w:t xml:space="preserve"> existing monitoring regimes</w:t>
      </w:r>
      <w:r w:rsidR="00A567F9">
        <w:t xml:space="preserve"> such as those includ</w:t>
      </w:r>
      <w:r w:rsidR="00700DC5">
        <w:t xml:space="preserve">ed in </w:t>
      </w:r>
      <w:r w:rsidR="004C767B">
        <w:fldChar w:fldCharType="begin"/>
      </w:r>
      <w:r w:rsidR="004C767B">
        <w:instrText xml:space="preserve"> REF _Ref92970248 \h </w:instrText>
      </w:r>
      <w:r w:rsidR="004C767B">
        <w:fldChar w:fldCharType="separate"/>
      </w:r>
      <w:r w:rsidR="00C22A9E" w:rsidRPr="00247464">
        <w:t xml:space="preserve">Table </w:t>
      </w:r>
      <w:r w:rsidR="00C22A9E">
        <w:rPr>
          <w:noProof/>
        </w:rPr>
        <w:t>10</w:t>
      </w:r>
      <w:r w:rsidR="004C767B">
        <w:fldChar w:fldCharType="end"/>
      </w:r>
      <w:r w:rsidR="004C767B">
        <w:t xml:space="preserve"> </w:t>
      </w:r>
      <w:r w:rsidR="00700DC5">
        <w:t>above.</w:t>
      </w:r>
      <w:r w:rsidR="004B6930">
        <w:t xml:space="preserve"> </w:t>
      </w:r>
    </w:p>
    <w:p w14:paraId="4F100031" w14:textId="77777777" w:rsidR="000C6958" w:rsidRPr="00804F85" w:rsidRDefault="000C6958" w:rsidP="00D93256">
      <w:pPr>
        <w:pStyle w:val="STPR2BodyText"/>
      </w:pPr>
    </w:p>
    <w:p w14:paraId="33E42C52" w14:textId="77777777" w:rsidR="000C6958" w:rsidRDefault="000C6958" w:rsidP="000C6958">
      <w:pPr>
        <w:pStyle w:val="STPR2Heading1"/>
        <w:sectPr w:rsidR="000C6958" w:rsidSect="000C6958">
          <w:pgSz w:w="11906" w:h="16838" w:code="9"/>
          <w:pgMar w:top="1701" w:right="1134" w:bottom="1134" w:left="1134" w:header="454" w:footer="567" w:gutter="0"/>
          <w:cols w:space="720"/>
          <w:noEndnote/>
          <w:docGrid w:linePitch="299"/>
        </w:sectPr>
      </w:pPr>
    </w:p>
    <w:p w14:paraId="53851B6E" w14:textId="687B7690" w:rsidR="000C6958" w:rsidRPr="0045477F" w:rsidRDefault="000C6958" w:rsidP="0045477F">
      <w:pPr>
        <w:pStyle w:val="Heading1"/>
      </w:pPr>
      <w:bookmarkStart w:id="1952" w:name="_Toc81993615"/>
      <w:bookmarkStart w:id="1953" w:name="_Ref90564696"/>
      <w:bookmarkStart w:id="1954" w:name="_Toc121339175"/>
      <w:r w:rsidRPr="0045477F">
        <w:lastRenderedPageBreak/>
        <w:t>Next Steps</w:t>
      </w:r>
      <w:bookmarkEnd w:id="1952"/>
      <w:bookmarkEnd w:id="1953"/>
      <w:bookmarkEnd w:id="1954"/>
    </w:p>
    <w:p w14:paraId="4724404A" w14:textId="514F880B" w:rsidR="00666799" w:rsidRDefault="00B14B3F" w:rsidP="00D93256">
      <w:pPr>
        <w:pStyle w:val="STPR2BodyText"/>
      </w:pPr>
      <w:r>
        <w:t>The feedback received i</w:t>
      </w:r>
      <w:r w:rsidR="00243EB5">
        <w:t>n relation to the</w:t>
      </w:r>
      <w:r w:rsidR="009F4544">
        <w:t xml:space="preserve"> </w:t>
      </w:r>
      <w:r w:rsidRPr="00B14B3F">
        <w:t xml:space="preserve">Draft Environmental Report </w:t>
      </w:r>
      <w:r w:rsidR="00D23BF2" w:rsidRPr="00D23BF2">
        <w:t xml:space="preserve">(Jacobs </w:t>
      </w:r>
      <w:r w:rsidR="007F59CB">
        <w:t>AECOM</w:t>
      </w:r>
      <w:r w:rsidR="00D23BF2" w:rsidRPr="00D23BF2">
        <w:t xml:space="preserve"> 2022</w:t>
      </w:r>
      <w:r w:rsidR="00D23BF2">
        <w:t>d)</w:t>
      </w:r>
      <w:r w:rsidR="00D23BF2" w:rsidRPr="00D23BF2">
        <w:t xml:space="preserve"> </w:t>
      </w:r>
      <w:r w:rsidRPr="00B14B3F">
        <w:t xml:space="preserve">and the STPR2 Draft Technical Report (Jacobs </w:t>
      </w:r>
      <w:r w:rsidR="007F59CB">
        <w:t>AECOM</w:t>
      </w:r>
      <w:r w:rsidRPr="00B14B3F">
        <w:t xml:space="preserve"> 2022b) </w:t>
      </w:r>
      <w:r w:rsidR="00243EB5">
        <w:t>consultation</w:t>
      </w:r>
      <w:r w:rsidR="009F4544">
        <w:t xml:space="preserve"> </w:t>
      </w:r>
      <w:r w:rsidR="00C20E03">
        <w:t>has been</w:t>
      </w:r>
      <w:r w:rsidR="009F4544">
        <w:t xml:space="preserve"> reviewed</w:t>
      </w:r>
      <w:r w:rsidR="00DA639B">
        <w:t>, used to shape the final STPR2 recommendations</w:t>
      </w:r>
      <w:r w:rsidR="009F4544">
        <w:t xml:space="preserve"> and</w:t>
      </w:r>
      <w:r w:rsidR="007F4CD1">
        <w:t xml:space="preserve"> </w:t>
      </w:r>
      <w:r w:rsidR="00471CD0">
        <w:t xml:space="preserve">will be </w:t>
      </w:r>
      <w:r w:rsidR="009F4544">
        <w:t xml:space="preserve">used to inform </w:t>
      </w:r>
      <w:r w:rsidR="00471CD0">
        <w:t xml:space="preserve">the delivery of </w:t>
      </w:r>
      <w:r w:rsidR="00DA639B">
        <w:t>future</w:t>
      </w:r>
      <w:r w:rsidR="008E1BDB" w:rsidRPr="008E1BDB">
        <w:t xml:space="preserve"> </w:t>
      </w:r>
      <w:r w:rsidR="00471CD0">
        <w:t>STPR2 interventions.</w:t>
      </w:r>
    </w:p>
    <w:p w14:paraId="0129F1BF" w14:textId="1618841D" w:rsidR="000C6958" w:rsidRDefault="00211824" w:rsidP="00D93256">
      <w:pPr>
        <w:pStyle w:val="STPR2BodyText"/>
      </w:pPr>
      <w:r>
        <w:t>Th</w:t>
      </w:r>
      <w:r w:rsidR="009F4544">
        <w:t xml:space="preserve">e </w:t>
      </w:r>
      <w:r w:rsidR="007D6525">
        <w:t xml:space="preserve">consultation </w:t>
      </w:r>
      <w:r w:rsidR="009F4544">
        <w:t xml:space="preserve">feedback received </w:t>
      </w:r>
      <w:r w:rsidR="005778E9">
        <w:t xml:space="preserve">will </w:t>
      </w:r>
      <w:r w:rsidR="007D6525">
        <w:t>also be used to</w:t>
      </w:r>
      <w:r w:rsidR="005778E9">
        <w:t xml:space="preserve"> inform </w:t>
      </w:r>
      <w:r w:rsidR="00732549" w:rsidRPr="00732549">
        <w:t>the SEA Post Adoption Statement</w:t>
      </w:r>
      <w:r w:rsidR="00666799">
        <w:t>.</w:t>
      </w:r>
      <w:r w:rsidR="00666799" w:rsidRPr="00666799">
        <w:t xml:space="preserve"> </w:t>
      </w:r>
      <w:r w:rsidR="00666799">
        <w:t>Th</w:t>
      </w:r>
      <w:r w:rsidR="00F44001">
        <w:t xml:space="preserve">e </w:t>
      </w:r>
      <w:r w:rsidR="00F44001" w:rsidRPr="00F44001">
        <w:t>SEA Post Adoption</w:t>
      </w:r>
      <w:r w:rsidR="00666799">
        <w:t xml:space="preserve"> </w:t>
      </w:r>
      <w:r w:rsidR="00F44001">
        <w:t>S</w:t>
      </w:r>
      <w:r w:rsidR="00666799">
        <w:t>tatement outlines how the assessment findings and the comments received at the main consultation</w:t>
      </w:r>
      <w:r w:rsidR="00F44001">
        <w:t xml:space="preserve"> stage</w:t>
      </w:r>
      <w:r w:rsidR="00666799">
        <w:t xml:space="preserve">, both on </w:t>
      </w:r>
      <w:r w:rsidR="008E1BDB" w:rsidRPr="008E1BDB">
        <w:t xml:space="preserve">the </w:t>
      </w:r>
      <w:r w:rsidR="00666799">
        <w:t xml:space="preserve">STPR2 </w:t>
      </w:r>
      <w:r w:rsidR="00AD3909">
        <w:t xml:space="preserve">Draft Technical Report </w:t>
      </w:r>
      <w:r w:rsidR="00BD408C" w:rsidRPr="00BD408C">
        <w:t>(Jacobs AECOM, 2022</w:t>
      </w:r>
      <w:r w:rsidR="00BD408C">
        <w:t>b)</w:t>
      </w:r>
      <w:r w:rsidR="00BD408C" w:rsidRPr="00BD408C">
        <w:t xml:space="preserve"> </w:t>
      </w:r>
      <w:r w:rsidR="00666799">
        <w:t xml:space="preserve">and the </w:t>
      </w:r>
      <w:r w:rsidR="00C20396">
        <w:t xml:space="preserve">Draft </w:t>
      </w:r>
      <w:r w:rsidR="00666799">
        <w:t>Environmental Report</w:t>
      </w:r>
      <w:r w:rsidR="00C20396">
        <w:t xml:space="preserve"> </w:t>
      </w:r>
      <w:r w:rsidR="00C20396" w:rsidRPr="00C20396">
        <w:t xml:space="preserve">(Jacobs </w:t>
      </w:r>
      <w:r w:rsidR="007F59CB">
        <w:t>AECOM</w:t>
      </w:r>
      <w:r w:rsidR="00C20396" w:rsidRPr="00C20396">
        <w:t>, 2022d)</w:t>
      </w:r>
      <w:r w:rsidR="00666799">
        <w:t xml:space="preserve">, have been taken into account. </w:t>
      </w:r>
      <w:r w:rsidR="00740625" w:rsidRPr="00740625">
        <w:t xml:space="preserve">It will also include the final environmental monitoring programme for STPR2 implementation. </w:t>
      </w:r>
      <w:r w:rsidR="00666799">
        <w:t>The statement is designed to improve the transparency of the decision-making process within plans.</w:t>
      </w:r>
    </w:p>
    <w:p w14:paraId="04C30D90" w14:textId="30851E44" w:rsidR="00570EC7" w:rsidRPr="007E020B" w:rsidRDefault="00570EC7" w:rsidP="00DA33ED">
      <w:pPr>
        <w:pStyle w:val="STPR2BulletsLevel1"/>
        <w:numPr>
          <w:ilvl w:val="0"/>
          <w:numId w:val="0"/>
        </w:numPr>
        <w:ind w:left="360" w:hanging="360"/>
        <w:rPr>
          <w:highlight w:val="yellow"/>
        </w:rPr>
        <w:sectPr w:rsidR="00570EC7" w:rsidRPr="007E020B" w:rsidSect="000C6958">
          <w:pgSz w:w="11906" w:h="16838" w:code="9"/>
          <w:pgMar w:top="1701" w:right="1134" w:bottom="1134" w:left="1134" w:header="454" w:footer="567" w:gutter="0"/>
          <w:cols w:space="720"/>
          <w:noEndnote/>
          <w:docGrid w:linePitch="299"/>
        </w:sectPr>
      </w:pPr>
      <w:r>
        <w:t xml:space="preserve">The </w:t>
      </w:r>
      <w:r w:rsidRPr="00570EC7">
        <w:t xml:space="preserve">SEA Post Adoption Statement is expected to be published in </w:t>
      </w:r>
      <w:r w:rsidR="006F7BCD">
        <w:t>early</w:t>
      </w:r>
      <w:r w:rsidR="00DC36CE">
        <w:t xml:space="preserve"> </w:t>
      </w:r>
      <w:r w:rsidRPr="00570EC7">
        <w:t>2023.</w:t>
      </w:r>
    </w:p>
    <w:p w14:paraId="49EBEECE" w14:textId="13C0F726" w:rsidR="000C6958" w:rsidRPr="0045477F" w:rsidRDefault="000C6958" w:rsidP="0045477F">
      <w:pPr>
        <w:pStyle w:val="Heading1"/>
      </w:pPr>
      <w:bookmarkStart w:id="1955" w:name="_Toc81993616"/>
      <w:bookmarkStart w:id="1956" w:name="_Toc121339176"/>
      <w:r w:rsidRPr="0045477F">
        <w:lastRenderedPageBreak/>
        <w:t>References</w:t>
      </w:r>
      <w:bookmarkEnd w:id="1955"/>
      <w:bookmarkEnd w:id="1956"/>
    </w:p>
    <w:p w14:paraId="59B1C3E8" w14:textId="537F642D" w:rsidR="009A62A6" w:rsidRPr="001503E1" w:rsidRDefault="009A62A6" w:rsidP="00D93256">
      <w:pPr>
        <w:pStyle w:val="STPR2BodyText"/>
      </w:pPr>
      <w:r w:rsidRPr="001503E1">
        <w:t xml:space="preserve">British Trust </w:t>
      </w:r>
      <w:r w:rsidR="00F73341" w:rsidRPr="001503E1">
        <w:t>for Ornithology (BTO) (</w:t>
      </w:r>
      <w:r w:rsidR="00A31CB6" w:rsidRPr="001503E1">
        <w:t>n.d.</w:t>
      </w:r>
      <w:r w:rsidR="00F73341" w:rsidRPr="001503E1">
        <w:t>) Wetland Bird Survey</w:t>
      </w:r>
      <w:r w:rsidR="00744EB0" w:rsidRPr="001503E1">
        <w:t xml:space="preserve">. Available </w:t>
      </w:r>
      <w:r w:rsidR="0088721A" w:rsidRPr="001503E1">
        <w:t>at</w:t>
      </w:r>
      <w:r w:rsidR="00744EB0" w:rsidRPr="001503E1">
        <w:t xml:space="preserve">: </w:t>
      </w:r>
      <w:hyperlink r:id="rId50" w:history="1">
        <w:r w:rsidR="00744EB0" w:rsidRPr="001503E1">
          <w:rPr>
            <w:rStyle w:val="Hyperlink"/>
          </w:rPr>
          <w:t>https://www.bto.org/our-science/projects/wetland-bird-survey</w:t>
        </w:r>
      </w:hyperlink>
      <w:r w:rsidR="00744EB0" w:rsidRPr="001503E1">
        <w:t>, accessed 16 December</w:t>
      </w:r>
      <w:r w:rsidR="00DF6ACA" w:rsidRPr="001503E1">
        <w:t> </w:t>
      </w:r>
      <w:r w:rsidR="00744EB0" w:rsidRPr="001503E1">
        <w:t>2021.</w:t>
      </w:r>
    </w:p>
    <w:p w14:paraId="794B211C" w14:textId="582334E9" w:rsidR="009041EB" w:rsidRPr="001503E1" w:rsidRDefault="00085086" w:rsidP="00D93256">
      <w:pPr>
        <w:pStyle w:val="STPR2BodyText"/>
      </w:pPr>
      <w:r w:rsidRPr="001503E1">
        <w:t xml:space="preserve">Climate Change Committee, Net Zero: The UK's contribution to stopping global warming, 2019, </w:t>
      </w:r>
      <w:hyperlink r:id="rId51" w:history="1">
        <w:r w:rsidR="009041EB" w:rsidRPr="001503E1">
          <w:rPr>
            <w:rStyle w:val="Hyperlink"/>
          </w:rPr>
          <w:t>https://www.theccc.org.uk/publication/net-zero-the-uks-contribution-to-stopping-global-warming/</w:t>
        </w:r>
      </w:hyperlink>
      <w:r w:rsidR="009041EB" w:rsidRPr="001503E1">
        <w:t>, accessed 12 October 2021.</w:t>
      </w:r>
    </w:p>
    <w:p w14:paraId="25E3D06C" w14:textId="1540B52F" w:rsidR="00484E81" w:rsidRPr="001503E1" w:rsidRDefault="00484E81" w:rsidP="00D93256">
      <w:pPr>
        <w:pStyle w:val="STPR2BodyText"/>
      </w:pPr>
      <w:r w:rsidRPr="001503E1">
        <w:t>Carbon Leadership Forum (2020).</w:t>
      </w:r>
      <w:r w:rsidR="00ED4AE0" w:rsidRPr="001503E1">
        <w:t xml:space="preserve"> Looking Ahead to Embodied Carbon Policy Action in 2021.</w:t>
      </w:r>
      <w:r w:rsidR="00CF068E" w:rsidRPr="001503E1">
        <w:t xml:space="preserve"> Available at: </w:t>
      </w:r>
      <w:hyperlink r:id="rId52" w:history="1">
        <w:r w:rsidR="00CF068E" w:rsidRPr="001503E1">
          <w:rPr>
            <w:rStyle w:val="Hyperlink"/>
          </w:rPr>
          <w:t>https://carbonleadershipforum.org/looking-ahead-to-embodied-carbon-policy-action-in-2021/</w:t>
        </w:r>
      </w:hyperlink>
      <w:r w:rsidR="00CF068E" w:rsidRPr="001503E1">
        <w:t xml:space="preserve"> accessed 07 January 2022.</w:t>
      </w:r>
    </w:p>
    <w:p w14:paraId="7B353617" w14:textId="7EB5F779" w:rsidR="000C6958" w:rsidRPr="001503E1" w:rsidRDefault="000C6958" w:rsidP="00D93256">
      <w:pPr>
        <w:pStyle w:val="STPR2BodyText"/>
      </w:pPr>
      <w:r w:rsidRPr="001503E1">
        <w:t xml:space="preserve">Construction Leadership Council and the Green Construction Board (2019). Guidance Document for PAS 2080. Available </w:t>
      </w:r>
      <w:r w:rsidR="00A555FB" w:rsidRPr="001503E1">
        <w:t>at</w:t>
      </w:r>
      <w:r w:rsidRPr="001503E1">
        <w:t xml:space="preserve">: </w:t>
      </w:r>
      <w:hyperlink r:id="rId53" w:history="1">
        <w:r w:rsidRPr="001503E1">
          <w:rPr>
            <w:rStyle w:val="Hyperlink"/>
          </w:rPr>
          <w:t>https://www.constructionleadershipcouncil.co.uk/wp-content/uploads/2019/06/Guidance-Document-for-PAS2080_vFinal.pdf</w:t>
        </w:r>
      </w:hyperlink>
      <w:r w:rsidRPr="001503E1">
        <w:t>, accessed 12</w:t>
      </w:r>
      <w:r w:rsidR="00DF6ACA" w:rsidRPr="001503E1">
        <w:t> </w:t>
      </w:r>
      <w:r w:rsidRPr="001503E1">
        <w:t>October 2021.</w:t>
      </w:r>
    </w:p>
    <w:p w14:paraId="7F5DC1C2" w14:textId="0CC96407" w:rsidR="00C74F4E" w:rsidRPr="001503E1" w:rsidRDefault="00C74F4E" w:rsidP="00D93256">
      <w:pPr>
        <w:pStyle w:val="STPR2BodyText"/>
      </w:pPr>
      <w:r w:rsidRPr="001503E1">
        <w:t xml:space="preserve">Directive 2001/42/EC (2001) Directive 2001/42/EC of the European Parliament and of the Council of 27 June 2001 on the Assessment of the Effects of Certain Plans and Programmes on the Environment. Available </w:t>
      </w:r>
      <w:r w:rsidR="0088721A" w:rsidRPr="001503E1">
        <w:t>at</w:t>
      </w:r>
      <w:r w:rsidRPr="001503E1">
        <w:t xml:space="preserve">: </w:t>
      </w:r>
      <w:hyperlink r:id="rId54" w:history="1">
        <w:r w:rsidRPr="001503E1">
          <w:rPr>
            <w:rStyle w:val="Hyperlink"/>
          </w:rPr>
          <w:t>http://eur-lex.europa.eu/LexUriServ/LexUriServ.do?uri=OJ:L:2001:197:0030:0037:EN:PDF</w:t>
        </w:r>
      </w:hyperlink>
      <w:r w:rsidRPr="001503E1">
        <w:t>, accessed</w:t>
      </w:r>
      <w:r w:rsidR="00DF6ACA" w:rsidRPr="001503E1">
        <w:t> </w:t>
      </w:r>
      <w:r w:rsidRPr="001503E1">
        <w:t>18 October 2019.</w:t>
      </w:r>
    </w:p>
    <w:p w14:paraId="07E2404B" w14:textId="5900F448" w:rsidR="008464BE" w:rsidRPr="001503E1" w:rsidRDefault="008464BE" w:rsidP="00D93256">
      <w:pPr>
        <w:pStyle w:val="STPR2BodyText"/>
      </w:pPr>
      <w:r w:rsidRPr="001503E1">
        <w:t>Element Energy (2021)</w:t>
      </w:r>
      <w:r w:rsidR="000F475F" w:rsidRPr="001503E1">
        <w:t xml:space="preserve"> Decarbonising the Scottish Transport Sector. Final Report for Transport Scotland</w:t>
      </w:r>
      <w:r w:rsidR="00C74F4E" w:rsidRPr="001503E1">
        <w:t>, accessed</w:t>
      </w:r>
      <w:r w:rsidR="000F475F" w:rsidRPr="001503E1">
        <w:t xml:space="preserve"> </w:t>
      </w:r>
      <w:r w:rsidR="00F444E2" w:rsidRPr="001503E1">
        <w:t>16</w:t>
      </w:r>
      <w:r w:rsidR="00C74F4E" w:rsidRPr="001503E1">
        <w:t xml:space="preserve"> September 20</w:t>
      </w:r>
      <w:r w:rsidR="00F444E2" w:rsidRPr="001503E1">
        <w:t>21.</w:t>
      </w:r>
    </w:p>
    <w:p w14:paraId="6A774162" w14:textId="7D447CAB" w:rsidR="00E64632" w:rsidRPr="001503E1" w:rsidRDefault="00E64632" w:rsidP="00D93256">
      <w:pPr>
        <w:pStyle w:val="STPR2BodyText"/>
      </w:pPr>
      <w:r w:rsidRPr="001503E1">
        <w:t>Environmental Standards Scotland (2021) Air Quality Investigation.</w:t>
      </w:r>
      <w:r w:rsidR="0088721A" w:rsidRPr="001503E1">
        <w:t xml:space="preserve"> Available at: </w:t>
      </w:r>
      <w:hyperlink r:id="rId55" w:history="1">
        <w:r w:rsidR="0088721A" w:rsidRPr="001503E1">
          <w:rPr>
            <w:rStyle w:val="Hyperlink"/>
          </w:rPr>
          <w:t>https://environmentalstandards.scot/wp-content/uploads/2021/11/ESS-Investigations-Air-quality-website-information-Nov21.pdf</w:t>
        </w:r>
      </w:hyperlink>
      <w:r w:rsidR="0088721A" w:rsidRPr="001503E1">
        <w:t xml:space="preserve"> , accessed 07 January 2022.</w:t>
      </w:r>
    </w:p>
    <w:p w14:paraId="660EF0DD" w14:textId="3B365768" w:rsidR="006C0F3C" w:rsidRPr="001503E1" w:rsidRDefault="00456679" w:rsidP="00D93256">
      <w:pPr>
        <w:pStyle w:val="STPR2BodyText"/>
      </w:pPr>
      <w:r w:rsidRPr="001503E1">
        <w:t xml:space="preserve">The Fifth Estate (2020) How to Disembody your Carbon. Available </w:t>
      </w:r>
      <w:r w:rsidR="00A555FB" w:rsidRPr="001503E1">
        <w:t>at</w:t>
      </w:r>
      <w:r w:rsidRPr="001503E1">
        <w:t>:</w:t>
      </w:r>
      <w:r w:rsidR="00DF6ACA" w:rsidRPr="001503E1">
        <w:t xml:space="preserve"> </w:t>
      </w:r>
      <w:hyperlink r:id="rId56" w:history="1">
        <w:r w:rsidRPr="001503E1">
          <w:rPr>
            <w:rStyle w:val="Hyperlink"/>
          </w:rPr>
          <w:t>https://thefifthestate.com.au/innovation/building-construction/how-to-disembody-your-carbon/</w:t>
        </w:r>
      </w:hyperlink>
      <w:r w:rsidRPr="001503E1">
        <w:t xml:space="preserve"> , accessed </w:t>
      </w:r>
      <w:r w:rsidR="00E65AC4" w:rsidRPr="001503E1">
        <w:t>04</w:t>
      </w:r>
      <w:r w:rsidRPr="001503E1">
        <w:t xml:space="preserve"> </w:t>
      </w:r>
      <w:r w:rsidR="00E65AC4" w:rsidRPr="001503E1">
        <w:t>November</w:t>
      </w:r>
      <w:r w:rsidRPr="001503E1">
        <w:t xml:space="preserve"> 2021.</w:t>
      </w:r>
    </w:p>
    <w:p w14:paraId="56AA0200" w14:textId="7BE3221B" w:rsidR="007F47E4" w:rsidRPr="001503E1" w:rsidRDefault="007F47E4" w:rsidP="00D93256">
      <w:pPr>
        <w:pStyle w:val="STPR2BodyText"/>
      </w:pPr>
      <w:r w:rsidRPr="001503E1">
        <w:t>HES (2018) Asset Management Plan</w:t>
      </w:r>
      <w:r w:rsidR="00CE394A" w:rsidRPr="001503E1">
        <w:t xml:space="preserve"> 2018. Available at: </w:t>
      </w:r>
      <w:hyperlink r:id="rId57" w:history="1">
        <w:r w:rsidR="00CE394A" w:rsidRPr="001503E1">
          <w:rPr>
            <w:rStyle w:val="Hyperlink"/>
          </w:rPr>
          <w:t>https://www.historicenvironment.scot/archives-and-research/publications/publication/?publicationId=bb46bde1-518e-4590-8fca-a882010e711f</w:t>
        </w:r>
      </w:hyperlink>
      <w:r w:rsidR="00CE394A" w:rsidRPr="001503E1">
        <w:t>, accessed 16 December 2021.</w:t>
      </w:r>
    </w:p>
    <w:p w14:paraId="15B0897F" w14:textId="4F072C44" w:rsidR="00455191" w:rsidRDefault="00455191" w:rsidP="00D93256">
      <w:pPr>
        <w:pStyle w:val="STPR2BodyText"/>
      </w:pPr>
      <w:r w:rsidRPr="001503E1">
        <w:t>HES (2020</w:t>
      </w:r>
      <w:r w:rsidR="00307B95">
        <w:t>a</w:t>
      </w:r>
      <w:r w:rsidRPr="001503E1">
        <w:t xml:space="preserve">) </w:t>
      </w:r>
      <w:r w:rsidR="000A5A6A" w:rsidRPr="001503E1">
        <w:t xml:space="preserve">Strategic Transport Projects Review 2 - </w:t>
      </w:r>
      <w:r w:rsidR="004749FA" w:rsidRPr="001503E1">
        <w:t>Environmental Assessment (Scotland) Act 2005</w:t>
      </w:r>
      <w:r w:rsidR="00D27705" w:rsidRPr="001503E1">
        <w:t xml:space="preserve"> – 01511 Scoping</w:t>
      </w:r>
      <w:r w:rsidR="000A5A6A" w:rsidRPr="001503E1">
        <w:t xml:space="preserve">. HES response sent to Transport Scotland and SEA Gateway, </w:t>
      </w:r>
      <w:r w:rsidR="00835CEC" w:rsidRPr="00835CEC">
        <w:t xml:space="preserve">accessed </w:t>
      </w:r>
      <w:r w:rsidR="00D27705" w:rsidRPr="001503E1">
        <w:t>6 February</w:t>
      </w:r>
      <w:r w:rsidR="000A5A6A" w:rsidRPr="001503E1">
        <w:t xml:space="preserve"> 202</w:t>
      </w:r>
      <w:r w:rsidR="00D27705" w:rsidRPr="001503E1">
        <w:t>0</w:t>
      </w:r>
      <w:r w:rsidR="000A5A6A" w:rsidRPr="001503E1">
        <w:t>.</w:t>
      </w:r>
    </w:p>
    <w:p w14:paraId="2ADE1BC5" w14:textId="5C69BBE2" w:rsidR="00307B95" w:rsidRPr="001503E1" w:rsidRDefault="00307B95" w:rsidP="00D93256">
      <w:pPr>
        <w:pStyle w:val="STPR2BodyText"/>
      </w:pPr>
      <w:r>
        <w:t xml:space="preserve">HES (2020b) </w:t>
      </w:r>
      <w:r w:rsidR="00B00B49">
        <w:t xml:space="preserve">Climate Action Plan, Historic Environment Scotland. Available at: </w:t>
      </w:r>
      <w:hyperlink r:id="rId58" w:history="1">
        <w:r w:rsidR="00835CEC" w:rsidRPr="00F83511">
          <w:rPr>
            <w:rStyle w:val="Hyperlink"/>
          </w:rPr>
          <w:t>https://www.historicenvironment.scot/archives-and-research/publications/publication/?publicationId=94dd22c9-5d32-4e91-9a46-ab6600b6c1dd</w:t>
        </w:r>
      </w:hyperlink>
      <w:r w:rsidR="00835CEC">
        <w:t xml:space="preserve"> , accessed 11 March 2022.</w:t>
      </w:r>
    </w:p>
    <w:p w14:paraId="74399A4E" w14:textId="096B1094" w:rsidR="00BF33E5" w:rsidRPr="001503E1" w:rsidRDefault="00003249" w:rsidP="00D93256">
      <w:pPr>
        <w:pStyle w:val="STPR2BodyText"/>
      </w:pPr>
      <w:r w:rsidRPr="001503E1">
        <w:t>HES</w:t>
      </w:r>
      <w:r w:rsidR="004C6C31" w:rsidRPr="001503E1">
        <w:t xml:space="preserve"> (</w:t>
      </w:r>
      <w:r w:rsidRPr="001503E1">
        <w:t>2021</w:t>
      </w:r>
      <w:r w:rsidR="00C94AE5" w:rsidRPr="001503E1">
        <w:t>a</w:t>
      </w:r>
      <w:r w:rsidR="004C6C31" w:rsidRPr="001503E1">
        <w:t xml:space="preserve">) </w:t>
      </w:r>
      <w:r w:rsidR="008228FA" w:rsidRPr="001503E1">
        <w:t>Strategic Transport Projects Review 2 - Update and Phase 1 Recommendations - February 2021</w:t>
      </w:r>
      <w:r w:rsidR="000E6225" w:rsidRPr="001503E1">
        <w:t>. HES</w:t>
      </w:r>
      <w:r w:rsidR="00CC0B46" w:rsidRPr="001503E1">
        <w:t xml:space="preserve"> response sent to </w:t>
      </w:r>
      <w:r w:rsidR="005066E2" w:rsidRPr="001503E1">
        <w:t xml:space="preserve">Transport Scotland and SEA Gateway, </w:t>
      </w:r>
      <w:r w:rsidR="00835CEC" w:rsidRPr="00835CEC">
        <w:t xml:space="preserve">accessed </w:t>
      </w:r>
      <w:r w:rsidR="005066E2" w:rsidRPr="001503E1">
        <w:t>30 March</w:t>
      </w:r>
      <w:r w:rsidR="001503E1" w:rsidRPr="001503E1">
        <w:t> </w:t>
      </w:r>
      <w:r w:rsidR="005066E2" w:rsidRPr="001503E1">
        <w:t>2021.</w:t>
      </w:r>
    </w:p>
    <w:p w14:paraId="59174821" w14:textId="6CBFC60F" w:rsidR="00C94AE5" w:rsidRPr="001503E1" w:rsidRDefault="00C94AE5" w:rsidP="00D93256">
      <w:pPr>
        <w:pStyle w:val="STPR2BodyText"/>
      </w:pPr>
      <w:r w:rsidRPr="001503E1">
        <w:t>HES</w:t>
      </w:r>
      <w:r w:rsidR="004C6C31" w:rsidRPr="001503E1">
        <w:t xml:space="preserve"> (2021b)</w:t>
      </w:r>
      <w:r w:rsidR="00CE0708" w:rsidRPr="001503E1">
        <w:t xml:space="preserve"> Infrastructure </w:t>
      </w:r>
      <w:r w:rsidR="005D38A0" w:rsidRPr="001503E1">
        <w:t>Investment Plan Consultation</w:t>
      </w:r>
      <w:r w:rsidR="00EF0997" w:rsidRPr="001503E1">
        <w:t xml:space="preserve">. </w:t>
      </w:r>
      <w:r w:rsidR="000E6225" w:rsidRPr="001503E1">
        <w:t xml:space="preserve">HES </w:t>
      </w:r>
      <w:r w:rsidR="00CC0B46" w:rsidRPr="001503E1">
        <w:t>r</w:t>
      </w:r>
      <w:r w:rsidR="00EF0997" w:rsidRPr="001503E1">
        <w:t>esponse sent</w:t>
      </w:r>
      <w:r w:rsidR="00152F72" w:rsidRPr="001503E1">
        <w:t xml:space="preserve"> to </w:t>
      </w:r>
      <w:r w:rsidR="00106F8B" w:rsidRPr="001503E1">
        <w:lastRenderedPageBreak/>
        <w:t>Infrastructure Investment Plan team (Scottish Government)</w:t>
      </w:r>
      <w:r w:rsidR="00DB3219" w:rsidRPr="001503E1">
        <w:t xml:space="preserve"> and SEA Gateway</w:t>
      </w:r>
      <w:r w:rsidR="00106F8B" w:rsidRPr="001503E1">
        <w:t>, 19 No</w:t>
      </w:r>
      <w:r w:rsidR="00BA6748" w:rsidRPr="001503E1">
        <w:t>vember</w:t>
      </w:r>
      <w:r w:rsidR="005A4249" w:rsidRPr="001503E1">
        <w:t> </w:t>
      </w:r>
      <w:r w:rsidR="00BA6748" w:rsidRPr="001503E1">
        <w:t>2020.</w:t>
      </w:r>
    </w:p>
    <w:p w14:paraId="2F59DEF5" w14:textId="764C9D40" w:rsidR="000C6958" w:rsidRPr="001503E1" w:rsidRDefault="000C6958" w:rsidP="00D93256">
      <w:pPr>
        <w:pStyle w:val="STPR2BodyText"/>
      </w:pPr>
      <w:r w:rsidRPr="001503E1">
        <w:t xml:space="preserve">Infrastructure Commission for Scotland (2020) Phase 2 Delivery Findings Report (Appendix A: Summary of Phase 1 Recommendations. Available </w:t>
      </w:r>
      <w:r w:rsidR="00A555FB" w:rsidRPr="001503E1">
        <w:t>at</w:t>
      </w:r>
      <w:r w:rsidRPr="001503E1">
        <w:t xml:space="preserve">: </w:t>
      </w:r>
      <w:hyperlink r:id="rId59" w:history="1">
        <w:r w:rsidRPr="001503E1">
          <w:rPr>
            <w:rStyle w:val="Hyperlink"/>
          </w:rPr>
          <w:t>https://infrastructurecommission.scot/storage/261/Phase2_Appendix_A.pdf</w:t>
        </w:r>
      </w:hyperlink>
      <w:r w:rsidRPr="001503E1">
        <w:t>, accessed 21 June 2021.</w:t>
      </w:r>
    </w:p>
    <w:p w14:paraId="2FDDA877" w14:textId="2D13E393" w:rsidR="00FB438D" w:rsidRDefault="00FB438D" w:rsidP="00D93256">
      <w:pPr>
        <w:pStyle w:val="STPR2BodyText"/>
      </w:pPr>
      <w:r w:rsidRPr="00FB438D">
        <w:t xml:space="preserve">Jacobs </w:t>
      </w:r>
      <w:r w:rsidR="007F59CB">
        <w:t>AECOM</w:t>
      </w:r>
      <w:r w:rsidRPr="00FB438D">
        <w:t xml:space="preserve"> (2019)</w:t>
      </w:r>
      <w:r>
        <w:t xml:space="preserve"> STPR2 SEA Scoping Report</w:t>
      </w:r>
      <w:r w:rsidR="008870A8">
        <w:t xml:space="preserve">. Available at </w:t>
      </w:r>
      <w:hyperlink r:id="rId60" w:history="1">
        <w:r w:rsidR="008870A8" w:rsidRPr="00460CFB">
          <w:rPr>
            <w:rStyle w:val="Hyperlink"/>
          </w:rPr>
          <w:t>https://www.strategicenvironmentalassessment.gov.scot/PublicSearch.aspx</w:t>
        </w:r>
      </w:hyperlink>
      <w:r w:rsidR="008870A8">
        <w:t xml:space="preserve"> </w:t>
      </w:r>
      <w:r w:rsidR="008870A8" w:rsidRPr="008870A8">
        <w:t xml:space="preserve">accessed </w:t>
      </w:r>
      <w:r w:rsidR="00990DC6">
        <w:t>04 October</w:t>
      </w:r>
      <w:r w:rsidR="008870A8" w:rsidRPr="008870A8">
        <w:t xml:space="preserve"> 202</w:t>
      </w:r>
      <w:r w:rsidR="00990DC6">
        <w:t>2</w:t>
      </w:r>
      <w:r w:rsidR="008870A8" w:rsidRPr="008870A8">
        <w:t>.</w:t>
      </w:r>
    </w:p>
    <w:p w14:paraId="5C0CAA8E" w14:textId="0F938B4B" w:rsidR="00612070" w:rsidRPr="001503E1" w:rsidRDefault="00C24EBC" w:rsidP="00D93256">
      <w:pPr>
        <w:pStyle w:val="STPR2BodyText"/>
      </w:pPr>
      <w:r w:rsidRPr="001503E1">
        <w:t xml:space="preserve">Jacobs </w:t>
      </w:r>
      <w:r w:rsidR="007F59CB">
        <w:t>AECOM</w:t>
      </w:r>
      <w:r w:rsidRPr="001503E1">
        <w:t xml:space="preserve"> (2021</w:t>
      </w:r>
      <w:r w:rsidR="005471F9" w:rsidRPr="001503E1">
        <w:t>a</w:t>
      </w:r>
      <w:r w:rsidRPr="001503E1">
        <w:t xml:space="preserve">) </w:t>
      </w:r>
      <w:r w:rsidR="0014321E">
        <w:t xml:space="preserve">STPR2 </w:t>
      </w:r>
      <w:r w:rsidRPr="001503E1">
        <w:t>SEA Progress Report</w:t>
      </w:r>
      <w:r w:rsidR="00FD538C" w:rsidRPr="001503E1">
        <w:t>. February 2021.</w:t>
      </w:r>
      <w:r w:rsidR="00A555FB" w:rsidRPr="001503E1">
        <w:t xml:space="preserve"> </w:t>
      </w:r>
      <w:r w:rsidR="00027EEF" w:rsidRPr="001503E1">
        <w:t xml:space="preserve">Available at: </w:t>
      </w:r>
      <w:hyperlink r:id="rId61" w:history="1">
        <w:r w:rsidR="00027EEF" w:rsidRPr="001503E1">
          <w:rPr>
            <w:rStyle w:val="Hyperlink"/>
          </w:rPr>
          <w:t>https://www.transport.gov.scot/media/49074/strategic-environmental-assessment-sea-progress-report.pdf</w:t>
        </w:r>
      </w:hyperlink>
      <w:r w:rsidR="00027EEF" w:rsidRPr="001503E1">
        <w:t>, accessed 21 June 2021.</w:t>
      </w:r>
    </w:p>
    <w:p w14:paraId="4A9AC0A1" w14:textId="64D56A0E" w:rsidR="00742CCC" w:rsidRDefault="00742CCC" w:rsidP="00D93256">
      <w:pPr>
        <w:pStyle w:val="STPR2BodyText"/>
      </w:pPr>
      <w:r w:rsidRPr="00742CCC">
        <w:t xml:space="preserve">Jacobs </w:t>
      </w:r>
      <w:r w:rsidR="007F59CB">
        <w:t>AECOM</w:t>
      </w:r>
      <w:r w:rsidRPr="00742CCC">
        <w:t xml:space="preserve"> </w:t>
      </w:r>
      <w:r>
        <w:t>(</w:t>
      </w:r>
      <w:r w:rsidRPr="00742CCC">
        <w:t>2021</w:t>
      </w:r>
      <w:r>
        <w:t>b</w:t>
      </w:r>
      <w:r w:rsidRPr="00742CCC">
        <w:t>)</w:t>
      </w:r>
      <w:r>
        <w:t xml:space="preserve"> </w:t>
      </w:r>
      <w:r w:rsidR="00212247">
        <w:t xml:space="preserve">STPR2 </w:t>
      </w:r>
      <w:r w:rsidRPr="00742CCC">
        <w:t>Phase 1 Recommendations Report</w:t>
      </w:r>
      <w:r w:rsidR="006F155C">
        <w:t xml:space="preserve">. Available at: </w:t>
      </w:r>
      <w:r w:rsidRPr="00742CCC">
        <w:t xml:space="preserve"> </w:t>
      </w:r>
      <w:hyperlink r:id="rId62" w:history="1">
        <w:r w:rsidR="006F155C" w:rsidRPr="00B67602">
          <w:rPr>
            <w:rStyle w:val="Hyperlink"/>
          </w:rPr>
          <w:t>https://www.transport.gov.scot/publication/update-and-phase-1-recommendations-february-2021-stpr2/</w:t>
        </w:r>
      </w:hyperlink>
      <w:r w:rsidR="006F155C">
        <w:t xml:space="preserve">, accessed </w:t>
      </w:r>
      <w:r w:rsidR="00B6374B">
        <w:t>30 September 2022.</w:t>
      </w:r>
    </w:p>
    <w:p w14:paraId="6A527FB6" w14:textId="01E9D3A4" w:rsidR="00954C84" w:rsidRDefault="00954C84" w:rsidP="00D93256">
      <w:pPr>
        <w:pStyle w:val="STPR2BodyText"/>
      </w:pPr>
      <w:r w:rsidRPr="00954C84">
        <w:t>Jacobs AECOM (2021</w:t>
      </w:r>
      <w:r>
        <w:t>c</w:t>
      </w:r>
      <w:r w:rsidRPr="00954C84">
        <w:t>) National Case for Change Report, Jacobs/AECOM, February 2021</w:t>
      </w:r>
      <w:r>
        <w:t>.</w:t>
      </w:r>
    </w:p>
    <w:p w14:paraId="0268F819" w14:textId="04A4F381" w:rsidR="00954C84" w:rsidRDefault="00954C84" w:rsidP="00D93256">
      <w:pPr>
        <w:pStyle w:val="STPR2BodyText"/>
      </w:pPr>
      <w:r w:rsidRPr="00954C84">
        <w:t>Jacobs AECOM (2021</w:t>
      </w:r>
      <w:r>
        <w:t>d</w:t>
      </w:r>
      <w:r w:rsidRPr="00954C84">
        <w:t xml:space="preserve">) </w:t>
      </w:r>
      <w:r>
        <w:t>Reg</w:t>
      </w:r>
      <w:r w:rsidRPr="00954C84">
        <w:t>ional Case for Change Report</w:t>
      </w:r>
      <w:r>
        <w:t>s</w:t>
      </w:r>
      <w:r w:rsidR="006124D9">
        <w:t xml:space="preserve"> (8 No.)</w:t>
      </w:r>
      <w:r w:rsidRPr="00954C84">
        <w:t>, Jacobs/AECOM, February 2021.</w:t>
      </w:r>
    </w:p>
    <w:p w14:paraId="71164584" w14:textId="7469D842" w:rsidR="00E12B42" w:rsidRPr="001503E1" w:rsidRDefault="005471F9" w:rsidP="00D93256">
      <w:pPr>
        <w:pStyle w:val="STPR2BodyText"/>
      </w:pPr>
      <w:r w:rsidRPr="001503E1">
        <w:t xml:space="preserve">Jacobs </w:t>
      </w:r>
      <w:r w:rsidR="007F59CB">
        <w:t>AECOM</w:t>
      </w:r>
      <w:r w:rsidRPr="001503E1">
        <w:t xml:space="preserve"> (</w:t>
      </w:r>
      <w:r w:rsidR="00E12B42" w:rsidRPr="001503E1">
        <w:t xml:space="preserve">2022a) </w:t>
      </w:r>
      <w:r w:rsidR="00212247">
        <w:t xml:space="preserve">STPR2 </w:t>
      </w:r>
      <w:r w:rsidR="00E12B42" w:rsidRPr="001503E1">
        <w:t>Equalities Impact Assessment (EqIA</w:t>
      </w:r>
      <w:r w:rsidR="00946507" w:rsidRPr="001503E1">
        <w:t>)</w:t>
      </w:r>
      <w:r w:rsidR="00E12B42" w:rsidRPr="001503E1">
        <w:t xml:space="preserve"> Report</w:t>
      </w:r>
      <w:r w:rsidR="00946507" w:rsidRPr="001503E1">
        <w:t>.</w:t>
      </w:r>
      <w:r w:rsidR="00E12B42" w:rsidRPr="001503E1">
        <w:t xml:space="preserve"> </w:t>
      </w:r>
      <w:r w:rsidR="0053311D" w:rsidRPr="0053311D">
        <w:t xml:space="preserve">Available at: </w:t>
      </w:r>
      <w:hyperlink r:id="rId63" w:history="1">
        <w:r w:rsidR="00E83870" w:rsidRPr="00B67602">
          <w:rPr>
            <w:rStyle w:val="Hyperlink"/>
          </w:rPr>
          <w:t>https://www.transport.gov.scot/media/50908/equality-impact-assessment-draft-report-january-2022-stpr2.pdf</w:t>
        </w:r>
      </w:hyperlink>
      <w:r w:rsidR="00E83870">
        <w:t xml:space="preserve">, </w:t>
      </w:r>
      <w:r w:rsidR="00E83870" w:rsidRPr="00E83870">
        <w:t>accessed 30 September 2022.</w:t>
      </w:r>
      <w:r w:rsidR="00E83870">
        <w:t xml:space="preserve"> </w:t>
      </w:r>
      <w:r w:rsidR="0053311D" w:rsidRPr="0053311D">
        <w:t xml:space="preserve"> </w:t>
      </w:r>
    </w:p>
    <w:p w14:paraId="6BBE8E82" w14:textId="0842CB54" w:rsidR="00550257" w:rsidRDefault="005471F9" w:rsidP="00D93256">
      <w:pPr>
        <w:pStyle w:val="STPR2BodyText"/>
      </w:pPr>
      <w:r w:rsidRPr="001503E1">
        <w:t xml:space="preserve">Jacobs </w:t>
      </w:r>
      <w:r w:rsidR="007F59CB">
        <w:t>AECOM</w:t>
      </w:r>
      <w:r w:rsidRPr="001503E1">
        <w:t xml:space="preserve"> (202</w:t>
      </w:r>
      <w:r w:rsidR="0067665C" w:rsidRPr="001503E1">
        <w:t>2</w:t>
      </w:r>
      <w:r w:rsidR="00E12B42" w:rsidRPr="001503E1">
        <w:t>b</w:t>
      </w:r>
      <w:r w:rsidRPr="001503E1">
        <w:t xml:space="preserve">) </w:t>
      </w:r>
      <w:r w:rsidR="005F01E9" w:rsidRPr="001503E1">
        <w:t xml:space="preserve">STPR2: </w:t>
      </w:r>
      <w:r w:rsidR="00E20E66" w:rsidRPr="00E20E66">
        <w:t>Draft Technical</w:t>
      </w:r>
      <w:r>
        <w:t xml:space="preserve"> </w:t>
      </w:r>
      <w:r w:rsidR="005F01E9">
        <w:t>R</w:t>
      </w:r>
      <w:r>
        <w:t>eport</w:t>
      </w:r>
      <w:r w:rsidRPr="001503E1">
        <w:t>.</w:t>
      </w:r>
      <w:r w:rsidR="00165265" w:rsidRPr="00165265">
        <w:t xml:space="preserve"> Available at: </w:t>
      </w:r>
      <w:hyperlink r:id="rId64" w:history="1">
        <w:r w:rsidR="00CF6021" w:rsidRPr="00B67602">
          <w:rPr>
            <w:rStyle w:val="Hyperlink"/>
          </w:rPr>
          <w:t>https://www.transport.gov.scot/media/50946/draft-technical-report-january-2022-stpr2.pdf</w:t>
        </w:r>
      </w:hyperlink>
      <w:r w:rsidR="00CF6021">
        <w:t xml:space="preserve">, </w:t>
      </w:r>
      <w:r w:rsidR="00CF6021" w:rsidRPr="00CF6021">
        <w:t xml:space="preserve">accessed 30 September 2022.  </w:t>
      </w:r>
    </w:p>
    <w:p w14:paraId="3150D469" w14:textId="76326250" w:rsidR="005471F9" w:rsidRPr="00A14D53" w:rsidRDefault="00550257" w:rsidP="00D93256">
      <w:pPr>
        <w:pStyle w:val="STPR2BodyText"/>
      </w:pPr>
      <w:r>
        <w:t xml:space="preserve">Jacobs </w:t>
      </w:r>
      <w:r w:rsidR="007F59CB">
        <w:t>AECOM</w:t>
      </w:r>
      <w:r>
        <w:t xml:space="preserve"> (2022c) </w:t>
      </w:r>
      <w:r w:rsidR="0014419D">
        <w:t xml:space="preserve">Habitats Regulations </w:t>
      </w:r>
      <w:r w:rsidR="00DD2AD9" w:rsidRPr="00A14D53">
        <w:t xml:space="preserve">Appraisal of STPR2, </w:t>
      </w:r>
      <w:r w:rsidR="00FD3A53" w:rsidRPr="00A14D53">
        <w:t>December</w:t>
      </w:r>
      <w:r w:rsidR="00020B35" w:rsidRPr="00A14D53">
        <w:t xml:space="preserve"> 2022.</w:t>
      </w:r>
      <w:r w:rsidR="005471F9" w:rsidRPr="00A14D53">
        <w:t xml:space="preserve"> </w:t>
      </w:r>
    </w:p>
    <w:p w14:paraId="4E229F3D" w14:textId="449F5486" w:rsidR="00340BE2" w:rsidRPr="00A14D53" w:rsidRDefault="00712FEE" w:rsidP="00D93256">
      <w:pPr>
        <w:pStyle w:val="STPR2BodyText"/>
      </w:pPr>
      <w:r w:rsidRPr="00A14D53">
        <w:t xml:space="preserve">Jacobs </w:t>
      </w:r>
      <w:r w:rsidR="007F59CB" w:rsidRPr="00A14D53">
        <w:t>AECOM</w:t>
      </w:r>
      <w:r w:rsidRPr="00A14D53">
        <w:t xml:space="preserve"> (2022d) </w:t>
      </w:r>
      <w:r w:rsidR="0014321E" w:rsidRPr="00A14D53">
        <w:t xml:space="preserve">STPR2 </w:t>
      </w:r>
      <w:r w:rsidRPr="00A14D53">
        <w:t>SEA Draft Environmental Report</w:t>
      </w:r>
      <w:r w:rsidR="0014321E" w:rsidRPr="00A14D53">
        <w:t xml:space="preserve">. </w:t>
      </w:r>
      <w:r w:rsidR="004F6F72" w:rsidRPr="00A14D53">
        <w:t xml:space="preserve">Available at: </w:t>
      </w:r>
      <w:hyperlink r:id="rId65" w:history="1">
        <w:r w:rsidR="004F6F72" w:rsidRPr="00A14D53">
          <w:rPr>
            <w:rStyle w:val="Hyperlink"/>
          </w:rPr>
          <w:t>https://www.transport.gov.scot/publication/strategic-environmental-assessment-draft-environmental-report-january-2022-stpr2/</w:t>
        </w:r>
      </w:hyperlink>
      <w:r w:rsidR="004F6F72" w:rsidRPr="00A14D53">
        <w:t xml:space="preserve">, accessed 30 September 2022. </w:t>
      </w:r>
    </w:p>
    <w:p w14:paraId="77871A5B" w14:textId="62D12347" w:rsidR="00EA2551" w:rsidRPr="00A14D53" w:rsidRDefault="00EA2551" w:rsidP="00D93256">
      <w:pPr>
        <w:pStyle w:val="STPR2BodyText"/>
      </w:pPr>
      <w:r w:rsidRPr="00A14D53">
        <w:t xml:space="preserve">Jacobs </w:t>
      </w:r>
      <w:r w:rsidR="007F59CB" w:rsidRPr="00A14D53">
        <w:t>AECOM</w:t>
      </w:r>
      <w:r w:rsidRPr="00A14D53">
        <w:t xml:space="preserve"> (2022</w:t>
      </w:r>
      <w:r w:rsidR="00712FEE" w:rsidRPr="00A14D53">
        <w:t>e</w:t>
      </w:r>
      <w:r w:rsidRPr="00A14D53">
        <w:t xml:space="preserve">) </w:t>
      </w:r>
      <w:r w:rsidR="000B2E9F" w:rsidRPr="00A14D53">
        <w:t xml:space="preserve">STPR2 Consultation </w:t>
      </w:r>
      <w:r w:rsidR="00730607" w:rsidRPr="00A14D53">
        <w:t xml:space="preserve">Summary </w:t>
      </w:r>
      <w:r w:rsidR="000B2E9F" w:rsidRPr="00A14D53">
        <w:t>Report</w:t>
      </w:r>
      <w:r w:rsidR="00681CEC" w:rsidRPr="00A14D53">
        <w:t>, December 2022</w:t>
      </w:r>
      <w:r w:rsidR="000B2E9F" w:rsidRPr="00A14D53">
        <w:t xml:space="preserve">. </w:t>
      </w:r>
    </w:p>
    <w:p w14:paraId="195B70B2" w14:textId="7ABF26B4" w:rsidR="009760FE" w:rsidRPr="001503E1" w:rsidRDefault="009760FE" w:rsidP="00D93256">
      <w:pPr>
        <w:pStyle w:val="STPR2BodyText"/>
      </w:pPr>
      <w:r w:rsidRPr="00A14D53">
        <w:t xml:space="preserve">Jacobs </w:t>
      </w:r>
      <w:r w:rsidR="007F59CB" w:rsidRPr="00A14D53">
        <w:t>AECOM</w:t>
      </w:r>
      <w:r w:rsidRPr="00A14D53">
        <w:t xml:space="preserve"> (2022f) STPR2: Technical Report (final version</w:t>
      </w:r>
      <w:r w:rsidR="00BF0138" w:rsidRPr="00A14D53">
        <w:t>, December 2022</w:t>
      </w:r>
      <w:r w:rsidRPr="00A14D53">
        <w:t>).</w:t>
      </w:r>
    </w:p>
    <w:p w14:paraId="5CEDFEB6" w14:textId="16307711" w:rsidR="00791F81" w:rsidRPr="001503E1" w:rsidRDefault="00791F81" w:rsidP="00D93256">
      <w:pPr>
        <w:pStyle w:val="STPR2BodyText"/>
      </w:pPr>
      <w:r w:rsidRPr="001503E1">
        <w:t>J</w:t>
      </w:r>
      <w:r w:rsidR="00995E56" w:rsidRPr="001503E1">
        <w:t>oint Nature Conservation C</w:t>
      </w:r>
      <w:r w:rsidR="00036CE1" w:rsidRPr="001503E1">
        <w:t>ommittee (JNCC) (2021) Seabird Monitoring Program</w:t>
      </w:r>
      <w:r w:rsidR="00672527" w:rsidRPr="001503E1">
        <w:t xml:space="preserve">me. Available from: </w:t>
      </w:r>
      <w:hyperlink r:id="rId66" w:history="1">
        <w:r w:rsidR="008758FA" w:rsidRPr="001503E1">
          <w:rPr>
            <w:rStyle w:val="Hyperlink"/>
          </w:rPr>
          <w:t>https://jncc.gov.uk/our-work/seabird-monitoring-programme/</w:t>
        </w:r>
      </w:hyperlink>
      <w:r w:rsidR="008758FA" w:rsidRPr="001503E1">
        <w:t>, accessed 16 December 2021.</w:t>
      </w:r>
    </w:p>
    <w:p w14:paraId="6F62446A" w14:textId="6735A8B6" w:rsidR="001255C3" w:rsidRPr="001503E1" w:rsidRDefault="001255C3" w:rsidP="00D93256">
      <w:pPr>
        <w:pStyle w:val="STPR2BodyText"/>
      </w:pPr>
      <w:r w:rsidRPr="001503E1">
        <w:t xml:space="preserve">NatureScot (2017) Scotland’s Landscape Monitoring Programme. Available at: </w:t>
      </w:r>
      <w:hyperlink r:id="rId67" w:history="1">
        <w:r w:rsidRPr="001503E1">
          <w:rPr>
            <w:rStyle w:val="Hyperlink"/>
          </w:rPr>
          <w:t>https://www.nature.scot/professional-advice/landscape/scotlands-landscape-monitoring-programme</w:t>
        </w:r>
      </w:hyperlink>
      <w:r w:rsidRPr="001503E1">
        <w:t>, accessed 16 December 2021.</w:t>
      </w:r>
    </w:p>
    <w:p w14:paraId="3B12DF0A" w14:textId="6964C409" w:rsidR="00E46AA9" w:rsidRDefault="00E46AA9" w:rsidP="00D93256">
      <w:pPr>
        <w:pStyle w:val="STPR2BodyText"/>
      </w:pPr>
      <w:r w:rsidRPr="001503E1">
        <w:t>NatureScot (2018</w:t>
      </w:r>
      <w:r w:rsidR="00A63DF8">
        <w:t>a</w:t>
      </w:r>
      <w:r w:rsidRPr="001503E1">
        <w:t xml:space="preserve">) How we monitor features. Available from: </w:t>
      </w:r>
      <w:hyperlink r:id="rId68" w:history="1">
        <w:r w:rsidR="00AD43FF" w:rsidRPr="001503E1">
          <w:rPr>
            <w:rStyle w:val="Hyperlink"/>
          </w:rPr>
          <w:t>https://www.nature.scot/professional-advice/protected-areas-and-species/protected-areas/site-condition-monitoring/how-we-monitor-features</w:t>
        </w:r>
      </w:hyperlink>
      <w:r w:rsidR="00AD43FF" w:rsidRPr="001503E1">
        <w:t>, accessed 16 December 2021.</w:t>
      </w:r>
    </w:p>
    <w:p w14:paraId="6EF04890" w14:textId="5CF2F4E3" w:rsidR="00A63DF8" w:rsidRPr="001503E1" w:rsidRDefault="00A63DF8" w:rsidP="00D93256">
      <w:pPr>
        <w:pStyle w:val="STPR2BodyText"/>
      </w:pPr>
      <w:r>
        <w:t xml:space="preserve">NatureScot (2018b) </w:t>
      </w:r>
      <w:r w:rsidR="00927D59">
        <w:t>Indicator 8: Connectivity. Available from:</w:t>
      </w:r>
      <w:r w:rsidR="00F46145">
        <w:t xml:space="preserve"> </w:t>
      </w:r>
      <w:hyperlink r:id="rId69" w:anchor=":~:text=for%20this%20indicator%3F-,What%20is%20it%3F,to%20as%20the%20landscape%20matrix" w:history="1">
        <w:r w:rsidR="00F46145" w:rsidRPr="006D09A6">
          <w:rPr>
            <w:rStyle w:val="Hyperlink"/>
          </w:rPr>
          <w:t>https://www.environment.gov.scot/our-environment/state-of-the-environment/ecosystem-health-indicators/function-indicators/indicator-8-connectivity/#:~:text=for%20this%20indicator%3F-,What%20is%20it%3F,to%20as%20the%20landscape%20matrix</w:t>
        </w:r>
      </w:hyperlink>
      <w:r w:rsidR="00F46145">
        <w:t xml:space="preserve"> </w:t>
      </w:r>
      <w:r w:rsidR="00927D59">
        <w:t>, accessed 29 April 2022.</w:t>
      </w:r>
    </w:p>
    <w:p w14:paraId="0B883BB2" w14:textId="1A939881" w:rsidR="00800168" w:rsidRDefault="00800168" w:rsidP="00D93256">
      <w:pPr>
        <w:pStyle w:val="STPR2BodyText"/>
      </w:pPr>
      <w:r w:rsidRPr="001503E1">
        <w:t xml:space="preserve">NatureScot (2019) </w:t>
      </w:r>
      <w:r w:rsidR="00224DF4" w:rsidRPr="001503E1">
        <w:t xml:space="preserve">State of Nature Report Scotland 2019. Available from: </w:t>
      </w:r>
      <w:hyperlink r:id="rId70" w:history="1">
        <w:r w:rsidR="00224DF4" w:rsidRPr="001503E1">
          <w:rPr>
            <w:rStyle w:val="Hyperlink"/>
          </w:rPr>
          <w:t>https://www.nature.scot/sites/default/files/2019-10/State-of-nature-Report-2019-Scotland-full-report.pdf</w:t>
        </w:r>
      </w:hyperlink>
      <w:r w:rsidR="00224DF4" w:rsidRPr="001503E1">
        <w:t>, accessed 16 December 2021.</w:t>
      </w:r>
    </w:p>
    <w:p w14:paraId="072A1E32" w14:textId="77777777" w:rsidR="00B2130D" w:rsidRDefault="00B2130D" w:rsidP="00D93256">
      <w:pPr>
        <w:pStyle w:val="STPR2BodyText"/>
      </w:pPr>
      <w:r w:rsidRPr="001503E1">
        <w:t xml:space="preserve">NatureScot (2021) STPR2 – Update and Phase 1 Recommendations – SEA Progress Report. NatureScot response sent to Transport Scotland and SEA Gateway, </w:t>
      </w:r>
      <w:r w:rsidRPr="00835CEC">
        <w:t xml:space="preserve">accessed </w:t>
      </w:r>
      <w:r w:rsidRPr="001503E1">
        <w:t>31 March</w:t>
      </w:r>
      <w:r>
        <w:t> </w:t>
      </w:r>
      <w:r w:rsidRPr="001503E1">
        <w:t>2021.</w:t>
      </w:r>
    </w:p>
    <w:p w14:paraId="790C6B81" w14:textId="77777777" w:rsidR="0001186E" w:rsidRPr="001503E1" w:rsidRDefault="0001186E" w:rsidP="00D93256">
      <w:pPr>
        <w:pStyle w:val="STPR2BodyText"/>
      </w:pPr>
      <w:r>
        <w:t xml:space="preserve">NatureScot (2022a) 30 by 30 explained: </w:t>
      </w:r>
      <w:r w:rsidRPr="0028760A">
        <w:t>Background on 30x30 to help inform the co-design of Scotland's 30x30 framework</w:t>
      </w:r>
      <w:r>
        <w:t xml:space="preserve">. </w:t>
      </w:r>
      <w:r w:rsidRPr="002A7A7F">
        <w:t xml:space="preserve">Available from: </w:t>
      </w:r>
      <w:hyperlink r:id="rId71" w:history="1">
        <w:r w:rsidRPr="000C7D58">
          <w:rPr>
            <w:rStyle w:val="Hyperlink"/>
          </w:rPr>
          <w:t>https://www.nature.scot/professional-advice/protected-areas-and-species/30-30-and-nature-networks/30-30-explained</w:t>
        </w:r>
      </w:hyperlink>
      <w:r>
        <w:t xml:space="preserve">, </w:t>
      </w:r>
      <w:r w:rsidRPr="002A7A7F">
        <w:t>accessed 29 April 2022.</w:t>
      </w:r>
    </w:p>
    <w:p w14:paraId="3EC1EEC0" w14:textId="49DB5F14" w:rsidR="00F300C7" w:rsidRPr="00A52383" w:rsidRDefault="00F300C7" w:rsidP="00D93256">
      <w:pPr>
        <w:pStyle w:val="STPR2BodyText"/>
      </w:pPr>
      <w:r>
        <w:t>NatureScot (2022</w:t>
      </w:r>
      <w:r w:rsidR="0001186E">
        <w:t>b</w:t>
      </w:r>
      <w:r>
        <w:t xml:space="preserve">) Scotland’s Natural Capital Asset Index – 2021 Summary. </w:t>
      </w:r>
      <w:r w:rsidRPr="003D02E0">
        <w:t xml:space="preserve">Available from: </w:t>
      </w:r>
      <w:hyperlink r:id="rId72" w:history="1">
        <w:r w:rsidRPr="00A52383">
          <w:rPr>
            <w:rStyle w:val="Hyperlink"/>
          </w:rPr>
          <w:t>https://www.nature.scot/doc/scotlands-natural-capital-asset-index-2021-summary</w:t>
        </w:r>
      </w:hyperlink>
      <w:r>
        <w:t xml:space="preserve">, </w:t>
      </w:r>
      <w:r w:rsidRPr="003D02E0">
        <w:t>accessed 2</w:t>
      </w:r>
      <w:r>
        <w:t>4</w:t>
      </w:r>
      <w:r w:rsidRPr="003D02E0">
        <w:t xml:space="preserve"> </w:t>
      </w:r>
      <w:r>
        <w:t xml:space="preserve">May </w:t>
      </w:r>
      <w:r w:rsidRPr="003D02E0">
        <w:t>2022.</w:t>
      </w:r>
    </w:p>
    <w:p w14:paraId="68092CFD" w14:textId="1B416250" w:rsidR="0000289D" w:rsidRDefault="0000289D" w:rsidP="00D93256">
      <w:pPr>
        <w:pStyle w:val="STPR2BodyText"/>
      </w:pPr>
      <w:r>
        <w:t>NatureScot (2022</w:t>
      </w:r>
      <w:r w:rsidR="0001186E">
        <w:t>c</w:t>
      </w:r>
      <w:r>
        <w:t>) Habitat Map of Scotland</w:t>
      </w:r>
      <w:r w:rsidR="00E51511">
        <w:t xml:space="preserve">. Available from: </w:t>
      </w:r>
      <w:hyperlink r:id="rId73" w:history="1">
        <w:r w:rsidR="00E51511" w:rsidRPr="00785E08">
          <w:rPr>
            <w:rStyle w:val="Hyperlink"/>
          </w:rPr>
          <w:t>https://www.nature.scot/landscapes-and-habitats/habitat-map-scotland</w:t>
        </w:r>
      </w:hyperlink>
      <w:r w:rsidR="00E51511">
        <w:t>, accessed 29 April 2022.</w:t>
      </w:r>
    </w:p>
    <w:p w14:paraId="64D6E18C" w14:textId="15D41F32" w:rsidR="009271FD" w:rsidRPr="001503E1" w:rsidRDefault="0005727C" w:rsidP="00D93256">
      <w:pPr>
        <w:pStyle w:val="STPR2BodyText"/>
      </w:pPr>
      <w:r>
        <w:t>ODPM</w:t>
      </w:r>
      <w:r w:rsidR="009271FD">
        <w:t xml:space="preserve"> </w:t>
      </w:r>
      <w:r w:rsidR="00431A2B" w:rsidRPr="001503E1">
        <w:t>(</w:t>
      </w:r>
      <w:r w:rsidR="009271FD" w:rsidRPr="001503E1">
        <w:t>2005</w:t>
      </w:r>
      <w:r w:rsidR="00431A2B" w:rsidRPr="001503E1">
        <w:t>) A Practical Guide to the SEA Directive.</w:t>
      </w:r>
      <w:r w:rsidR="00487BA5" w:rsidRPr="001503E1">
        <w:t xml:space="preserve"> </w:t>
      </w:r>
      <w:r w:rsidRPr="0005727C">
        <w:t>Office of the Deputy Prime Minister</w:t>
      </w:r>
      <w:r>
        <w:t>.</w:t>
      </w:r>
      <w:r w:rsidRPr="0005727C">
        <w:t xml:space="preserve"> </w:t>
      </w:r>
      <w:r w:rsidR="00746C0E" w:rsidRPr="001503E1">
        <w:t xml:space="preserve">Available from: </w:t>
      </w:r>
      <w:hyperlink r:id="rId74" w:history="1">
        <w:r w:rsidR="00746C0E" w:rsidRPr="001503E1">
          <w:rPr>
            <w:rStyle w:val="Hyperlink"/>
          </w:rPr>
          <w:t>https://assets.publishing.service.gov.uk/government/uploads/system/uploads/attachment_data/file/7657/practicalguidesea.pdf</w:t>
        </w:r>
      </w:hyperlink>
      <w:r w:rsidR="00746C0E" w:rsidRPr="001503E1">
        <w:t xml:space="preserve"> accessed 15 October 2021.</w:t>
      </w:r>
    </w:p>
    <w:p w14:paraId="3EF6F572" w14:textId="30121BDE" w:rsidR="00C74F4E" w:rsidRPr="001503E1" w:rsidRDefault="00C74F4E" w:rsidP="00D93256">
      <w:pPr>
        <w:pStyle w:val="STPR2BodyText"/>
      </w:pPr>
      <w:r w:rsidRPr="001503E1">
        <w:t xml:space="preserve">Scotland’s Environment (2021) Available from: </w:t>
      </w:r>
      <w:hyperlink r:id="rId75" w:history="1">
        <w:r w:rsidRPr="001503E1">
          <w:rPr>
            <w:rStyle w:val="Hyperlink"/>
          </w:rPr>
          <w:t>http://www.scottishairquality.scot/</w:t>
        </w:r>
      </w:hyperlink>
      <w:r w:rsidR="00DF6ACA" w:rsidRPr="001503E1">
        <w:t xml:space="preserve"> </w:t>
      </w:r>
      <w:r w:rsidRPr="001503E1">
        <w:t>accessed 24 November 2021.</w:t>
      </w:r>
    </w:p>
    <w:p w14:paraId="28A77C3A" w14:textId="05D055AB" w:rsidR="007663BE" w:rsidRPr="001503E1" w:rsidRDefault="007663BE" w:rsidP="00D93256">
      <w:pPr>
        <w:pStyle w:val="STPR2BodyText"/>
      </w:pPr>
      <w:r w:rsidRPr="001503E1">
        <w:t xml:space="preserve">Scotland’s Soils (2018) </w:t>
      </w:r>
      <w:r w:rsidR="00D22848" w:rsidRPr="001503E1">
        <w:t xml:space="preserve">Soil </w:t>
      </w:r>
      <w:r w:rsidR="006F3E15" w:rsidRPr="001503E1">
        <w:t xml:space="preserve">monitoring. Available from: </w:t>
      </w:r>
      <w:hyperlink r:id="rId76" w:history="1">
        <w:r w:rsidR="006F3E15" w:rsidRPr="001503E1">
          <w:rPr>
            <w:rStyle w:val="Hyperlink"/>
          </w:rPr>
          <w:t>https://soils.environment.gov.scot/soils-in-scotland/soil-monitoring/</w:t>
        </w:r>
      </w:hyperlink>
      <w:r w:rsidR="006F3E15" w:rsidRPr="001503E1">
        <w:t>, accessed 16 December 2021.</w:t>
      </w:r>
    </w:p>
    <w:p w14:paraId="6E57551E" w14:textId="443A1064" w:rsidR="004903C1" w:rsidRPr="001503E1" w:rsidRDefault="006B4B06" w:rsidP="00D93256">
      <w:pPr>
        <w:pStyle w:val="STPR2BodyText"/>
      </w:pPr>
      <w:r w:rsidRPr="001503E1">
        <w:t>Scottish Environment Protection Agency (SEPA)</w:t>
      </w:r>
      <w:r w:rsidR="004903C1" w:rsidRPr="001503E1">
        <w:t xml:space="preserve"> (n.d.) Protected areas – Water. Available from: </w:t>
      </w:r>
      <w:hyperlink r:id="rId77" w:history="1">
        <w:r w:rsidR="003752AE" w:rsidRPr="001503E1">
          <w:rPr>
            <w:rStyle w:val="Hyperlink"/>
          </w:rPr>
          <w:t>https://www.sepa.org.uk/environment/water/monitoring/protected-areas/</w:t>
        </w:r>
      </w:hyperlink>
      <w:r w:rsidR="003752AE" w:rsidRPr="001503E1">
        <w:t>, accessed 16 December 2021.</w:t>
      </w:r>
    </w:p>
    <w:p w14:paraId="363ED420" w14:textId="23B18362" w:rsidR="006B4B06" w:rsidRPr="001503E1" w:rsidRDefault="004903C1" w:rsidP="00D93256">
      <w:pPr>
        <w:pStyle w:val="STPR2BodyText"/>
      </w:pPr>
      <w:r w:rsidRPr="001503E1">
        <w:t>SEPA</w:t>
      </w:r>
      <w:r w:rsidR="006B4B06" w:rsidRPr="001503E1">
        <w:t xml:space="preserve"> (2007) Scotland’s WFD aquatic monitoring strategy</w:t>
      </w:r>
      <w:r w:rsidR="00691837" w:rsidRPr="001503E1">
        <w:t xml:space="preserve">. Available from: </w:t>
      </w:r>
      <w:hyperlink r:id="rId78" w:history="1">
        <w:r w:rsidR="00654108" w:rsidRPr="001503E1">
          <w:rPr>
            <w:rStyle w:val="Hyperlink"/>
          </w:rPr>
          <w:t>https://www.sepa.org.uk/media/38220/wfd_aquatic_monitoring_strategy-scotland_river_basin.pdf</w:t>
        </w:r>
      </w:hyperlink>
      <w:r w:rsidR="003A4407" w:rsidRPr="001503E1">
        <w:t>, a</w:t>
      </w:r>
      <w:r w:rsidR="00654108" w:rsidRPr="001503E1">
        <w:t>ccessed 16 December 2021</w:t>
      </w:r>
      <w:r w:rsidR="003A4407" w:rsidRPr="001503E1">
        <w:t>.</w:t>
      </w:r>
    </w:p>
    <w:p w14:paraId="0C172F70" w14:textId="61A06BC4" w:rsidR="00945906" w:rsidRPr="001503E1" w:rsidRDefault="00945906" w:rsidP="00D93256">
      <w:pPr>
        <w:pStyle w:val="STPR2BodyText"/>
      </w:pPr>
      <w:r w:rsidRPr="001503E1">
        <w:t>Scottish Government (2013) Strategic Environmental Assessment Guidance. August,</w:t>
      </w:r>
      <w:r w:rsidR="00B80D8F">
        <w:t> </w:t>
      </w:r>
      <w:r w:rsidRPr="001503E1">
        <w:t>2013.</w:t>
      </w:r>
    </w:p>
    <w:p w14:paraId="5984C926" w14:textId="0EF5BBCF" w:rsidR="003D045F" w:rsidRPr="001503E1" w:rsidRDefault="003D045F" w:rsidP="00D93256">
      <w:pPr>
        <w:pStyle w:val="STPR2BodyText"/>
      </w:pPr>
      <w:r w:rsidRPr="001503E1">
        <w:t xml:space="preserve">Scottish Government (2015) Cleaner Air for Scotland: The Road to a Healthier Future Available from: </w:t>
      </w:r>
      <w:hyperlink r:id="rId79" w:history="1">
        <w:r w:rsidR="0089064F" w:rsidRPr="001503E1">
          <w:rPr>
            <w:rStyle w:val="Hyperlink"/>
          </w:rPr>
          <w:t>http://www.gov.scot/Resource/0048/00488493.pdf</w:t>
        </w:r>
      </w:hyperlink>
      <w:r w:rsidR="00835CEC">
        <w:rPr>
          <w:rStyle w:val="Hyperlink"/>
        </w:rPr>
        <w:t>,</w:t>
      </w:r>
      <w:r w:rsidR="0089064F" w:rsidRPr="001503E1">
        <w:t xml:space="preserve"> </w:t>
      </w:r>
      <w:r w:rsidRPr="001503E1">
        <w:t>accessed 24 November</w:t>
      </w:r>
      <w:r w:rsidR="005A4249" w:rsidRPr="001503E1">
        <w:t> </w:t>
      </w:r>
      <w:r w:rsidRPr="001503E1">
        <w:t>2021</w:t>
      </w:r>
      <w:r w:rsidR="0089064F" w:rsidRPr="001503E1">
        <w:t>.</w:t>
      </w:r>
    </w:p>
    <w:p w14:paraId="505319E2" w14:textId="6F269905" w:rsidR="00B46998" w:rsidRPr="001503E1" w:rsidRDefault="000C6958" w:rsidP="00D93256">
      <w:pPr>
        <w:pStyle w:val="STPR2BodyText"/>
      </w:pPr>
      <w:r w:rsidRPr="001503E1">
        <w:t>Scottish Government</w:t>
      </w:r>
      <w:r w:rsidR="00B46998" w:rsidRPr="001503E1">
        <w:t xml:space="preserve"> (2018) Climate Change Plan: Third Report on Proposals and Polices </w:t>
      </w:r>
      <w:r w:rsidR="00B46998" w:rsidRPr="001503E1">
        <w:lastRenderedPageBreak/>
        <w:t>2018-2032 Summary Document.</w:t>
      </w:r>
    </w:p>
    <w:p w14:paraId="65C7D058" w14:textId="5F5B1923" w:rsidR="001303D1" w:rsidRPr="001503E1" w:rsidRDefault="001303D1" w:rsidP="00D93256">
      <w:pPr>
        <w:pStyle w:val="STPR2BodyText"/>
      </w:pPr>
      <w:r w:rsidRPr="001503E1">
        <w:t>Scottish Government (2019</w:t>
      </w:r>
      <w:r w:rsidR="005D6AA1" w:rsidRPr="001503E1">
        <w:t>a</w:t>
      </w:r>
      <w:r w:rsidRPr="001503E1">
        <w:t xml:space="preserve">) National Islands Plan. Available from: </w:t>
      </w:r>
      <w:hyperlink r:id="rId80" w:history="1">
        <w:r w:rsidRPr="001503E1">
          <w:rPr>
            <w:rStyle w:val="Hyperlink"/>
          </w:rPr>
          <w:t>https://www.gov.scot/publications/national-plan-scotlands-islands/pages/7/</w:t>
        </w:r>
      </w:hyperlink>
      <w:r w:rsidRPr="001503E1">
        <w:t>, accessed 10 December 2021.</w:t>
      </w:r>
    </w:p>
    <w:p w14:paraId="6A17B189" w14:textId="1A33508C" w:rsidR="005D6AA1" w:rsidRPr="001503E1" w:rsidRDefault="005D6AA1" w:rsidP="00D93256">
      <w:pPr>
        <w:pStyle w:val="STPR2BodyText"/>
      </w:pPr>
      <w:r w:rsidRPr="001503E1">
        <w:t xml:space="preserve">Scottish Government (2019b) </w:t>
      </w:r>
      <w:r w:rsidR="00355CBD" w:rsidRPr="001503E1">
        <w:t xml:space="preserve">Annual Compendium of Scottish Energy Statistics. Available from: </w:t>
      </w:r>
      <w:hyperlink r:id="rId81" w:history="1">
        <w:r w:rsidR="004C0C80" w:rsidRPr="001503E1">
          <w:rPr>
            <w:rStyle w:val="Hyperlink"/>
          </w:rPr>
          <w:t>https://www.gov.scot/publications/annual-compendium-of-scottish-energy-statistics/</w:t>
        </w:r>
      </w:hyperlink>
      <w:r w:rsidR="004C0C80" w:rsidRPr="001503E1">
        <w:t>, accessed 16 December 2021.</w:t>
      </w:r>
    </w:p>
    <w:p w14:paraId="1D847E7A" w14:textId="117EA0F8" w:rsidR="00D401FA" w:rsidRDefault="00102830" w:rsidP="00D93256">
      <w:pPr>
        <w:pStyle w:val="STPR2BodyText"/>
      </w:pPr>
      <w:r w:rsidRPr="00102830">
        <w:t>Scottish Government (2020</w:t>
      </w:r>
      <w:r w:rsidR="00D401FA">
        <w:t>a</w:t>
      </w:r>
      <w:r w:rsidRPr="00102830">
        <w:t>) Securing a Green Recovery on a Path to Net Zero: Climate Change Plan 2018–2032. Available from: https://www.gov.scot/publications/securing-green-recovery-path-net-zero-update-climate-change-plan-20182032/, accessed 10 December 2021.</w:t>
      </w:r>
    </w:p>
    <w:p w14:paraId="18528095" w14:textId="7ED57676" w:rsidR="00C74F4E" w:rsidRPr="001503E1" w:rsidRDefault="00C74F4E" w:rsidP="00D93256">
      <w:pPr>
        <w:pStyle w:val="STPR2BodyText"/>
      </w:pPr>
      <w:r w:rsidRPr="001503E1">
        <w:t>Scottish Government (2020</w:t>
      </w:r>
      <w:r w:rsidR="00D401FA">
        <w:t>b</w:t>
      </w:r>
      <w:r w:rsidRPr="001503E1">
        <w:t xml:space="preserve">) Protecting Scotland, Renewing Scotland: The Government's Programme for Scotland 2020-2021. Available from: </w:t>
      </w:r>
      <w:hyperlink r:id="rId82" w:history="1">
        <w:r w:rsidRPr="001503E1">
          <w:rPr>
            <w:rStyle w:val="Hyperlink"/>
          </w:rPr>
          <w:t>https://www.gov.scot/publications/protecting-scotland-renewing-scotland-governments-programme-scotland-2020-2021/documents/</w:t>
        </w:r>
      </w:hyperlink>
      <w:r w:rsidRPr="001503E1">
        <w:t>, accessed 10 December 2021.</w:t>
      </w:r>
    </w:p>
    <w:p w14:paraId="63372F8F" w14:textId="3B3179ED" w:rsidR="00851087" w:rsidRPr="001503E1" w:rsidRDefault="00851087" w:rsidP="00D93256">
      <w:pPr>
        <w:pStyle w:val="STPR2BodyText"/>
      </w:pPr>
      <w:r w:rsidRPr="001503E1">
        <w:t>Scottish Government (2020</w:t>
      </w:r>
      <w:r w:rsidR="00D401FA">
        <w:t>c</w:t>
      </w:r>
      <w:r w:rsidRPr="001503E1">
        <w:t xml:space="preserve">) Investing for Jobs: Capital Spending Review Framework 2021-2022 to 2025-2026. </w:t>
      </w:r>
      <w:r w:rsidR="00B5233B" w:rsidRPr="001503E1">
        <w:t xml:space="preserve">Available from: </w:t>
      </w:r>
      <w:hyperlink r:id="rId83" w:history="1">
        <w:r w:rsidR="00B5233B" w:rsidRPr="001503E1">
          <w:rPr>
            <w:rStyle w:val="Hyperlink"/>
          </w:rPr>
          <w:t>https://www.gov.scot/publications/investing-jobs-capital-spending-review-framework-2021-22-2025-26/</w:t>
        </w:r>
      </w:hyperlink>
      <w:r w:rsidR="00B5233B" w:rsidRPr="001503E1">
        <w:t>, accessed 10 December 2021.</w:t>
      </w:r>
    </w:p>
    <w:p w14:paraId="40450132" w14:textId="1DDBD3FE" w:rsidR="0060388B" w:rsidRDefault="0060388B" w:rsidP="00D93256">
      <w:pPr>
        <w:pStyle w:val="STPR2BodyText"/>
      </w:pPr>
      <w:r w:rsidRPr="0060388B">
        <w:t>Scottish Government (2021</w:t>
      </w:r>
      <w:r>
        <w:t>a</w:t>
      </w:r>
      <w:r w:rsidRPr="0060388B">
        <w:t>) Creating Better Ways of Living: Taking Climate Action to Reduce Car Use by 2030.</w:t>
      </w:r>
    </w:p>
    <w:p w14:paraId="5D2C1C99" w14:textId="3383C487" w:rsidR="00C74F4E" w:rsidRPr="001503E1" w:rsidRDefault="00C74F4E" w:rsidP="00D93256">
      <w:pPr>
        <w:pStyle w:val="STPR2BodyText"/>
      </w:pPr>
      <w:r w:rsidRPr="001503E1">
        <w:t>Scottish Government (2021</w:t>
      </w:r>
      <w:r w:rsidR="0060388B">
        <w:t>b</w:t>
      </w:r>
      <w:r w:rsidRPr="001503E1">
        <w:t xml:space="preserve">) Cleaner Air for Scotland 2: Towards a Better Place for Everyone. Available from: </w:t>
      </w:r>
      <w:hyperlink r:id="rId84" w:history="1">
        <w:r w:rsidRPr="001503E1">
          <w:rPr>
            <w:rStyle w:val="Hyperlink"/>
          </w:rPr>
          <w:t>https://www.gov.scot/publications/cleaner-air-scotland-2-towards-better-place-everyone/</w:t>
        </w:r>
      </w:hyperlink>
      <w:r w:rsidRPr="001503E1">
        <w:t>, accessed 10 December 2021.</w:t>
      </w:r>
    </w:p>
    <w:p w14:paraId="0051EFD4" w14:textId="650F00BE" w:rsidR="00C74F4E" w:rsidRPr="001503E1" w:rsidRDefault="00C74F4E" w:rsidP="00D93256">
      <w:pPr>
        <w:pStyle w:val="STPR2BodyText"/>
      </w:pPr>
      <w:r w:rsidRPr="001503E1">
        <w:t>Scottish Government (2021</w:t>
      </w:r>
      <w:r w:rsidR="00913468">
        <w:t>c</w:t>
      </w:r>
      <w:r w:rsidRPr="001503E1">
        <w:t xml:space="preserve">) Just Transition Commission: A National Mission for a fairer, greener Scotland. Available from: </w:t>
      </w:r>
      <w:hyperlink r:id="rId85" w:anchor=":~:text=%20Just%20Transition%20Commission%3A%20A%20National%20Mission%20for,supply%20chain%20and%20embed%20quality%20work...%20More%20" w:history="1">
        <w:r w:rsidR="00F251D2" w:rsidRPr="006D09A6">
          <w:rPr>
            <w:rStyle w:val="Hyperlink"/>
          </w:rPr>
          <w:t>https://www.gov.scot/publications/transition-commission-national-mission-fairer-greener-scotland/pages/5/#:~:text=%20Just%20Transition%20Commission%3A%20A%20National%20Mission%20for,supply%20chain%20and%20embed%20quality%20work...%20More%20</w:t>
        </w:r>
      </w:hyperlink>
      <w:r w:rsidR="00F251D2">
        <w:t xml:space="preserve"> </w:t>
      </w:r>
      <w:r w:rsidRPr="001503E1">
        <w:t>, accessed 10 December 2021.</w:t>
      </w:r>
    </w:p>
    <w:p w14:paraId="626A4E1D" w14:textId="64FDD1AA" w:rsidR="00C74F4E" w:rsidRPr="001503E1" w:rsidRDefault="00C74F4E" w:rsidP="00D93256">
      <w:pPr>
        <w:pStyle w:val="STPR2BodyText"/>
      </w:pPr>
      <w:r w:rsidRPr="001503E1">
        <w:t>Scottish Government (2021</w:t>
      </w:r>
      <w:r w:rsidR="000F6E5F">
        <w:t>d</w:t>
      </w:r>
      <w:r w:rsidRPr="001503E1">
        <w:t xml:space="preserve">) A Fairer, Greener Scotland: Programme for Government 2021-22. Available from: </w:t>
      </w:r>
      <w:hyperlink r:id="rId86" w:history="1">
        <w:r w:rsidRPr="001503E1">
          <w:rPr>
            <w:rStyle w:val="Hyperlink"/>
          </w:rPr>
          <w:t>https://www.gov.scot/publications/fairer-greener-scotland-programme-government-2021-22/</w:t>
        </w:r>
      </w:hyperlink>
      <w:r w:rsidRPr="001503E1">
        <w:t xml:space="preserve">, accessed </w:t>
      </w:r>
      <w:r w:rsidR="009475BF">
        <w:t>9 Nov</w:t>
      </w:r>
      <w:r w:rsidRPr="001503E1">
        <w:t>ember 202</w:t>
      </w:r>
      <w:r w:rsidR="009475BF">
        <w:t>2</w:t>
      </w:r>
      <w:r w:rsidRPr="001503E1">
        <w:t>.</w:t>
      </w:r>
    </w:p>
    <w:p w14:paraId="4FCBD2BB" w14:textId="39A3E2B7" w:rsidR="0047476D" w:rsidRPr="001503E1" w:rsidRDefault="0047476D" w:rsidP="00D93256">
      <w:pPr>
        <w:pStyle w:val="STPR2BodyText"/>
      </w:pPr>
      <w:r w:rsidRPr="001503E1">
        <w:t xml:space="preserve">Scottish Government (2021e) Infrastructure Investment Plan for Scotland 2021-2022 to 2025 -2026. Available from: </w:t>
      </w:r>
      <w:hyperlink r:id="rId87" w:history="1">
        <w:r w:rsidRPr="001503E1">
          <w:rPr>
            <w:rStyle w:val="Hyperlink"/>
          </w:rPr>
          <w:t>https://www.gov.scot/policies/government-finance/infrastructure-investment/</w:t>
        </w:r>
      </w:hyperlink>
      <w:r w:rsidRPr="001503E1">
        <w:t>, accessed 10 December 2021.</w:t>
      </w:r>
    </w:p>
    <w:p w14:paraId="163F69FF" w14:textId="6BB488B8" w:rsidR="00A121C8" w:rsidRPr="001503E1" w:rsidRDefault="00A121C8" w:rsidP="00D93256">
      <w:pPr>
        <w:pStyle w:val="STPR2BodyText"/>
      </w:pPr>
      <w:r w:rsidRPr="001503E1">
        <w:t xml:space="preserve">Scottish Government (2021f) </w:t>
      </w:r>
      <w:r w:rsidR="004856BB" w:rsidRPr="001503E1">
        <w:t xml:space="preserve">National Performance Framework. Available from: </w:t>
      </w:r>
      <w:hyperlink r:id="rId88" w:history="1">
        <w:r w:rsidR="004856BB" w:rsidRPr="001503E1">
          <w:rPr>
            <w:rStyle w:val="Hyperlink"/>
          </w:rPr>
          <w:t>https://nationalperformance.gov.scot/</w:t>
        </w:r>
      </w:hyperlink>
      <w:r w:rsidR="004856BB" w:rsidRPr="001503E1">
        <w:t>, accessed 10 December 2021.</w:t>
      </w:r>
    </w:p>
    <w:p w14:paraId="1DEF904C" w14:textId="73CE2DE1" w:rsidR="00403053" w:rsidRPr="001503E1" w:rsidDel="002E1C7A" w:rsidRDefault="00403053" w:rsidP="00D93256">
      <w:pPr>
        <w:pStyle w:val="STPR2BodyText"/>
      </w:pPr>
      <w:r w:rsidRPr="001503E1">
        <w:t>Scottish Government (2021g)</w:t>
      </w:r>
      <w:r w:rsidR="003F4205" w:rsidRPr="001503E1">
        <w:t xml:space="preserve"> Investing for jobs: Capital Spending Review 2021-2022 to 2025-2026</w:t>
      </w:r>
      <w:r w:rsidR="00BD2A86" w:rsidRPr="001503E1">
        <w:t xml:space="preserve">. Available from: </w:t>
      </w:r>
      <w:hyperlink r:id="rId89" w:history="1">
        <w:r w:rsidR="004368D4" w:rsidRPr="001503E1">
          <w:rPr>
            <w:rStyle w:val="Hyperlink"/>
          </w:rPr>
          <w:t>https://www.gov.scot/publications/investing-jobs-capital-spending-review-2021-22-2025-26/</w:t>
        </w:r>
      </w:hyperlink>
      <w:r w:rsidR="004368D4" w:rsidRPr="001503E1">
        <w:t>, accessed 10 December 2021.</w:t>
      </w:r>
    </w:p>
    <w:p w14:paraId="70AEA0CD" w14:textId="29A18814" w:rsidR="009916AA" w:rsidRDefault="009916AA" w:rsidP="00D93256">
      <w:pPr>
        <w:pStyle w:val="STPR2BodyText"/>
      </w:pPr>
      <w:r w:rsidRPr="001503E1">
        <w:t>Scottish Government (2021</w:t>
      </w:r>
      <w:r w:rsidR="005E72D8">
        <w:t>h</w:t>
      </w:r>
      <w:r w:rsidRPr="001503E1">
        <w:t>)</w:t>
      </w:r>
      <w:r w:rsidR="00042D96" w:rsidRPr="001503E1">
        <w:t xml:space="preserve"> Scotland’s Climate Assembly – recommendations for action</w:t>
      </w:r>
      <w:r w:rsidR="00B65075" w:rsidRPr="001503E1">
        <w:t>: SG response. Available from:</w:t>
      </w:r>
      <w:r w:rsidRPr="001503E1">
        <w:t xml:space="preserve"> </w:t>
      </w:r>
      <w:hyperlink r:id="rId90" w:history="1">
        <w:r w:rsidR="00042D96" w:rsidRPr="001503E1">
          <w:rPr>
            <w:rStyle w:val="Hyperlink"/>
          </w:rPr>
          <w:t>https://www.gov.scot/publications/scottish-government-</w:t>
        </w:r>
        <w:r w:rsidR="00042D96" w:rsidRPr="001503E1">
          <w:rPr>
            <w:rStyle w:val="Hyperlink"/>
          </w:rPr>
          <w:lastRenderedPageBreak/>
          <w:t>response-scotlands-climate-assembly-recommendations-action/pages/3/</w:t>
        </w:r>
      </w:hyperlink>
      <w:r w:rsidR="00042D96" w:rsidRPr="001503E1">
        <w:t xml:space="preserve"> </w:t>
      </w:r>
      <w:r w:rsidR="00B65075" w:rsidRPr="001503E1">
        <w:t>accessed 17 December 2021.</w:t>
      </w:r>
    </w:p>
    <w:p w14:paraId="7E9B1079" w14:textId="2FE90126" w:rsidR="0078772D" w:rsidRPr="001503E1" w:rsidRDefault="0078772D" w:rsidP="00D93256">
      <w:pPr>
        <w:pStyle w:val="STPR2BodyText"/>
      </w:pPr>
      <w:r>
        <w:t>Scottish Government (2021</w:t>
      </w:r>
      <w:r w:rsidR="005E72D8">
        <w:t>i</w:t>
      </w:r>
      <w:r>
        <w:t xml:space="preserve">) </w:t>
      </w:r>
      <w:r w:rsidR="00581DE4" w:rsidRPr="00581DE4">
        <w:t>Scottish Government and Scottish Green Party - Shared Policy Programme</w:t>
      </w:r>
      <w:r w:rsidR="00581DE4">
        <w:t xml:space="preserve">. Available from: </w:t>
      </w:r>
      <w:hyperlink r:id="rId91" w:history="1">
        <w:r w:rsidR="004C5E27" w:rsidRPr="00DE4B85">
          <w:rPr>
            <w:rStyle w:val="Hyperlink"/>
          </w:rPr>
          <w:t>https://www.gov.scot/publications/scottish-government-scottish-green-party-shared-policy-programme/documents/</w:t>
        </w:r>
      </w:hyperlink>
      <w:r w:rsidR="004C5E27">
        <w:t>, accessed 21 April 2022</w:t>
      </w:r>
      <w:r w:rsidR="00287152">
        <w:t>.</w:t>
      </w:r>
    </w:p>
    <w:p w14:paraId="6C2B28DE" w14:textId="7B81286C" w:rsidR="00D401FA" w:rsidRDefault="00D401FA" w:rsidP="001B3B70">
      <w:pPr>
        <w:widowControl w:val="0"/>
        <w:suppressAutoHyphens/>
        <w:autoSpaceDE w:val="0"/>
        <w:autoSpaceDN w:val="0"/>
        <w:adjustRightInd w:val="0"/>
        <w:spacing w:line="240" w:lineRule="auto"/>
        <w:textAlignment w:val="center"/>
        <w:rPr>
          <w:rFonts w:ascii="Arial" w:hAnsi="Arial" w:cs="Arial"/>
          <w:color w:val="000000"/>
          <w:sz w:val="24"/>
        </w:rPr>
      </w:pPr>
      <w:r w:rsidRPr="00D401FA">
        <w:rPr>
          <w:rFonts w:ascii="Arial" w:hAnsi="Arial" w:cs="Arial"/>
          <w:color w:val="000000"/>
          <w:sz w:val="24"/>
        </w:rPr>
        <w:t>Scottish Government (2022</w:t>
      </w:r>
      <w:r>
        <w:rPr>
          <w:rFonts w:ascii="Arial" w:hAnsi="Arial" w:cs="Arial"/>
          <w:color w:val="000000"/>
          <w:sz w:val="24"/>
        </w:rPr>
        <w:t>a</w:t>
      </w:r>
      <w:r w:rsidRPr="00D401FA">
        <w:rPr>
          <w:rFonts w:ascii="Arial" w:hAnsi="Arial" w:cs="Arial"/>
          <w:color w:val="000000"/>
          <w:sz w:val="24"/>
        </w:rPr>
        <w:t>) Scotland’s National Strategy for Economic Transformation, Available from: https://www.gov.scot/publications/scotlands-national-strategy-economic-transformation/ accessed 09 November 2022.</w:t>
      </w:r>
    </w:p>
    <w:p w14:paraId="0B872DEE" w14:textId="76AA908D" w:rsidR="001B3B70" w:rsidRPr="001B3B70" w:rsidRDefault="005025EC" w:rsidP="001B3B70">
      <w:pPr>
        <w:widowControl w:val="0"/>
        <w:suppressAutoHyphens/>
        <w:autoSpaceDE w:val="0"/>
        <w:autoSpaceDN w:val="0"/>
        <w:adjustRightInd w:val="0"/>
        <w:spacing w:line="240" w:lineRule="auto"/>
        <w:textAlignment w:val="center"/>
        <w:rPr>
          <w:rFonts w:ascii="Arial" w:hAnsi="Arial" w:cs="Arial"/>
          <w:color w:val="000000"/>
          <w:sz w:val="24"/>
        </w:rPr>
      </w:pPr>
      <w:r w:rsidRPr="001B3B70">
        <w:rPr>
          <w:rFonts w:ascii="Arial" w:hAnsi="Arial" w:cs="Arial"/>
          <w:color w:val="000000"/>
          <w:sz w:val="24"/>
        </w:rPr>
        <w:t>Scottish Government (</w:t>
      </w:r>
      <w:r w:rsidR="001B3B70" w:rsidRPr="001B3B70">
        <w:rPr>
          <w:rFonts w:ascii="Arial" w:hAnsi="Arial" w:cs="Arial"/>
          <w:color w:val="000000"/>
          <w:sz w:val="24"/>
        </w:rPr>
        <w:t>2022</w:t>
      </w:r>
      <w:r w:rsidR="00D401FA">
        <w:rPr>
          <w:rFonts w:ascii="Arial" w:hAnsi="Arial" w:cs="Arial"/>
          <w:color w:val="000000"/>
          <w:sz w:val="24"/>
        </w:rPr>
        <w:t>b</w:t>
      </w:r>
      <w:r w:rsidR="001B3B70" w:rsidRPr="001B3B70">
        <w:rPr>
          <w:rFonts w:ascii="Arial" w:hAnsi="Arial" w:cs="Arial"/>
          <w:color w:val="000000"/>
          <w:sz w:val="24"/>
        </w:rPr>
        <w:t xml:space="preserve">) National Planning Framework 4 (Revised Draft). Available from: </w:t>
      </w:r>
      <w:hyperlink r:id="rId92" w:history="1">
        <w:r w:rsidR="00266CD9" w:rsidRPr="006D09A6">
          <w:rPr>
            <w:rStyle w:val="Hyperlink"/>
            <w:rFonts w:ascii="Arial" w:hAnsi="Arial" w:cs="Arial"/>
            <w:sz w:val="24"/>
          </w:rPr>
          <w:t>https://www.transformingplanning.scot/national-planning-framework/</w:t>
        </w:r>
      </w:hyperlink>
      <w:r w:rsidR="001B3B70" w:rsidRPr="001B3B70">
        <w:rPr>
          <w:rFonts w:ascii="Arial" w:hAnsi="Arial" w:cs="Arial"/>
          <w:color w:val="000000"/>
          <w:sz w:val="24"/>
        </w:rPr>
        <w:t>, accessed 9 November 2022.</w:t>
      </w:r>
    </w:p>
    <w:p w14:paraId="073B8ACB" w14:textId="0D7DA046" w:rsidR="005025EC" w:rsidRDefault="005025EC" w:rsidP="00D93256">
      <w:pPr>
        <w:pStyle w:val="STPR2BodyText"/>
      </w:pPr>
      <w:r w:rsidRPr="005025EC">
        <w:t>Scottish Government (2022</w:t>
      </w:r>
      <w:r w:rsidR="00D401FA">
        <w:t>c</w:t>
      </w:r>
      <w:r w:rsidRPr="005025EC">
        <w:t>)</w:t>
      </w:r>
      <w:r>
        <w:t xml:space="preserve"> </w:t>
      </w:r>
      <w:r w:rsidR="006C4B24" w:rsidRPr="006C4B24">
        <w:t xml:space="preserve">Reducing Car Use for a Healthier, Fairer and Greener Scotland: A </w:t>
      </w:r>
      <w:r w:rsidR="00AC754F">
        <w:t>Route Map</w:t>
      </w:r>
      <w:r w:rsidR="006C4B24" w:rsidRPr="006C4B24">
        <w:t xml:space="preserve"> to Achieve a 20 Per Cent Reduction in Car Kilometres by 2020, Scottish Government and COSLA, January 2022</w:t>
      </w:r>
      <w:r w:rsidR="006C4B24">
        <w:t xml:space="preserve">. </w:t>
      </w:r>
      <w:r w:rsidR="00355898">
        <w:t xml:space="preserve">Available from: </w:t>
      </w:r>
      <w:hyperlink r:id="rId93" w:history="1">
        <w:r w:rsidR="00355898" w:rsidRPr="000C7D58">
          <w:rPr>
            <w:rStyle w:val="Hyperlink"/>
          </w:rPr>
          <w:t>https://www.transport.gov.scot/news/reducing-car-use-for-a-healthier-fairer-and-greener-scotland/</w:t>
        </w:r>
      </w:hyperlink>
      <w:r w:rsidR="00355898">
        <w:t xml:space="preserve"> , accessed </w:t>
      </w:r>
      <w:r w:rsidR="003E53EA">
        <w:t>09 November 2022.</w:t>
      </w:r>
    </w:p>
    <w:p w14:paraId="277A45D1" w14:textId="0B6F96F0" w:rsidR="00C51684" w:rsidRDefault="00C51684" w:rsidP="00D93256">
      <w:pPr>
        <w:pStyle w:val="STPR2BodyText"/>
      </w:pPr>
      <w:r>
        <w:t xml:space="preserve">Scottish Government (2022d) </w:t>
      </w:r>
      <w:r w:rsidR="006F5C40">
        <w:t xml:space="preserve">A Stronger and More Resilient Scotland. The Programme for Government 2022-23. Available from: </w:t>
      </w:r>
      <w:hyperlink r:id="rId94" w:history="1">
        <w:r w:rsidR="006F5C40" w:rsidRPr="00572203">
          <w:rPr>
            <w:rStyle w:val="Hyperlink"/>
          </w:rPr>
          <w:t>https://www.gov.scot/publications/stronger-more-resilient-scotland-programme-government-2022-23/</w:t>
        </w:r>
      </w:hyperlink>
      <w:r w:rsidR="006F5C40">
        <w:t xml:space="preserve"> </w:t>
      </w:r>
      <w:r w:rsidR="006F5C40" w:rsidRPr="006F5C40">
        <w:t>accessed 3</w:t>
      </w:r>
      <w:r w:rsidR="006F5C40">
        <w:t>0</w:t>
      </w:r>
      <w:r w:rsidR="006F5C40" w:rsidRPr="006F5C40">
        <w:t xml:space="preserve"> </w:t>
      </w:r>
      <w:r w:rsidR="006F5C40">
        <w:t>November</w:t>
      </w:r>
      <w:r w:rsidR="006F5C40" w:rsidRPr="006F5C40">
        <w:t xml:space="preserve"> 2022.</w:t>
      </w:r>
    </w:p>
    <w:p w14:paraId="75E1BEB1" w14:textId="01A1BED3" w:rsidR="006A1FE5" w:rsidRDefault="006A1FE5" w:rsidP="00D93256">
      <w:pPr>
        <w:pStyle w:val="STPR2BodyText"/>
      </w:pPr>
      <w:r w:rsidRPr="006A1FE5">
        <w:t>Skills Development Scotland</w:t>
      </w:r>
      <w:r>
        <w:t xml:space="preserve"> (</w:t>
      </w:r>
      <w:r w:rsidRPr="006A1FE5">
        <w:t>2019).</w:t>
      </w:r>
      <w:r>
        <w:t xml:space="preserve"> Skills Investment Plan for Scotland’s historic environment sector. </w:t>
      </w:r>
      <w:r w:rsidRPr="006A1FE5">
        <w:t>Available from:</w:t>
      </w:r>
      <w:r w:rsidR="00F90E05" w:rsidRPr="00F90E05">
        <w:t xml:space="preserve"> </w:t>
      </w:r>
      <w:hyperlink r:id="rId95" w:history="1">
        <w:r w:rsidR="00F90E05" w:rsidRPr="00F65067">
          <w:rPr>
            <w:rStyle w:val="Hyperlink"/>
          </w:rPr>
          <w:t>https://www.skillsdevelopmentscotland.co.uk/media/45467/historic-environment-sip.pdf</w:t>
        </w:r>
      </w:hyperlink>
      <w:r w:rsidR="00F90E05">
        <w:t>,</w:t>
      </w:r>
      <w:r>
        <w:t xml:space="preserve"> </w:t>
      </w:r>
      <w:r w:rsidR="00721135" w:rsidRPr="00721135">
        <w:t xml:space="preserve">accessed </w:t>
      </w:r>
      <w:r w:rsidR="00721135">
        <w:t>31</w:t>
      </w:r>
      <w:r w:rsidR="00721135" w:rsidRPr="00721135">
        <w:t xml:space="preserve"> </w:t>
      </w:r>
      <w:r w:rsidR="00721135">
        <w:t>May</w:t>
      </w:r>
      <w:r w:rsidR="00721135" w:rsidRPr="00721135">
        <w:t xml:space="preserve"> 202</w:t>
      </w:r>
      <w:r w:rsidR="00721135">
        <w:t>2</w:t>
      </w:r>
      <w:r w:rsidR="00721135" w:rsidRPr="00721135">
        <w:t>.</w:t>
      </w:r>
    </w:p>
    <w:p w14:paraId="13DD1C31" w14:textId="288AF4E5" w:rsidR="000B769D" w:rsidRPr="001503E1" w:rsidRDefault="000B769D" w:rsidP="00D93256">
      <w:pPr>
        <w:pStyle w:val="STPR2BodyText"/>
      </w:pPr>
      <w:r w:rsidRPr="001503E1">
        <w:t>SNH (2020)</w:t>
      </w:r>
      <w:r w:rsidR="00EB5D3A" w:rsidRPr="001503E1">
        <w:t xml:space="preserve"> Strategic Transport Projects Review 2 - Environmental Assessment (Scotland) Act 2005 – 01511 Scoping. </w:t>
      </w:r>
      <w:r w:rsidR="008E5379" w:rsidRPr="001503E1">
        <w:t>SNH</w:t>
      </w:r>
      <w:r w:rsidR="00EB5D3A" w:rsidRPr="001503E1">
        <w:t xml:space="preserve"> response sent to Transport Scotland and SEA Gateway, </w:t>
      </w:r>
      <w:r w:rsidR="008E5379" w:rsidRPr="001503E1">
        <w:t>7</w:t>
      </w:r>
      <w:r w:rsidR="00EB5D3A" w:rsidRPr="001503E1">
        <w:t xml:space="preserve"> February 2020.</w:t>
      </w:r>
    </w:p>
    <w:p w14:paraId="43E85617" w14:textId="1DEAB53E" w:rsidR="00C23DD6" w:rsidRPr="001503E1" w:rsidRDefault="00C23DD6" w:rsidP="00D93256">
      <w:pPr>
        <w:pStyle w:val="STPR2BodyText"/>
      </w:pPr>
      <w:r w:rsidRPr="001503E1">
        <w:t>Transport Scotland (2018) S</w:t>
      </w:r>
      <w:r w:rsidR="007F574F" w:rsidRPr="001503E1">
        <w:t>TAG</w:t>
      </w:r>
      <w:r w:rsidRPr="001503E1">
        <w:t xml:space="preserve"> Technical Database. Available from: </w:t>
      </w:r>
      <w:hyperlink r:id="rId96" w:history="1">
        <w:r w:rsidRPr="001503E1">
          <w:rPr>
            <w:rStyle w:val="Hyperlink"/>
          </w:rPr>
          <w:t>https://www.transport.gov.scot/publication/stag-technical-database/</w:t>
        </w:r>
      </w:hyperlink>
      <w:r w:rsidRPr="001503E1">
        <w:t>, accessed 10 December 2021.</w:t>
      </w:r>
    </w:p>
    <w:p w14:paraId="5EE3A9D1" w14:textId="51D77ABF" w:rsidR="00437DF6" w:rsidRPr="001503E1" w:rsidRDefault="00437DF6" w:rsidP="00D93256">
      <w:pPr>
        <w:pStyle w:val="STPR2BodyText"/>
      </w:pPr>
      <w:r w:rsidRPr="001503E1">
        <w:t>Transport Scotland (2020</w:t>
      </w:r>
      <w:r w:rsidR="00FA6B86" w:rsidRPr="001503E1">
        <w:t>a</w:t>
      </w:r>
      <w:r w:rsidRPr="001503E1">
        <w:t xml:space="preserve">) National Transport Strategy (NTS2) – </w:t>
      </w:r>
      <w:r w:rsidR="0021795D">
        <w:t xml:space="preserve">Second </w:t>
      </w:r>
      <w:r w:rsidRPr="001503E1">
        <w:t xml:space="preserve">Delivery Plan – 2020 to 2022. Available from: </w:t>
      </w:r>
      <w:hyperlink r:id="rId97" w:history="1">
        <w:r w:rsidR="0021795D" w:rsidRPr="0021795D">
          <w:rPr>
            <w:rStyle w:val="Hyperlink"/>
          </w:rPr>
          <w:t>https://www.transport.gov.scot/publication/national-transport-strategy-nts2-second-delivery-plan-2022-2023</w:t>
        </w:r>
        <w:r w:rsidRPr="001503E1">
          <w:rPr>
            <w:rStyle w:val="Hyperlink"/>
          </w:rPr>
          <w:t>/</w:t>
        </w:r>
      </w:hyperlink>
      <w:r w:rsidRPr="001503E1">
        <w:t>, accessed 1</w:t>
      </w:r>
      <w:r w:rsidR="0021795D">
        <w:t>7</w:t>
      </w:r>
      <w:r w:rsidRPr="001503E1">
        <w:t xml:space="preserve"> </w:t>
      </w:r>
      <w:r w:rsidR="0021795D">
        <w:t>Nov</w:t>
      </w:r>
      <w:r w:rsidRPr="001503E1">
        <w:t>ember 202</w:t>
      </w:r>
      <w:r w:rsidR="0021795D">
        <w:t>2</w:t>
      </w:r>
      <w:r w:rsidRPr="001503E1">
        <w:t>.</w:t>
      </w:r>
    </w:p>
    <w:p w14:paraId="13A4F142" w14:textId="6421AB5B" w:rsidR="007B73E3" w:rsidRPr="001503E1" w:rsidRDefault="007B73E3" w:rsidP="00D93256">
      <w:pPr>
        <w:pStyle w:val="STPR2BodyText"/>
      </w:pPr>
      <w:r w:rsidRPr="001503E1">
        <w:t xml:space="preserve">Transport Scotland (2020b) Transport and Travel in Scotland – All editions. Available from: </w:t>
      </w:r>
      <w:hyperlink r:id="rId98" w:anchor="42764" w:history="1">
        <w:r w:rsidRPr="001503E1">
          <w:rPr>
            <w:rStyle w:val="Hyperlink"/>
          </w:rPr>
          <w:t>https://www.transport.gov.scot/our-approach/statistics/#42764</w:t>
        </w:r>
      </w:hyperlink>
      <w:r w:rsidRPr="001503E1">
        <w:t>, accessed 16 December</w:t>
      </w:r>
      <w:r w:rsidR="005A4249" w:rsidRPr="001503E1">
        <w:t> </w:t>
      </w:r>
      <w:r w:rsidRPr="001503E1">
        <w:t>2021.</w:t>
      </w:r>
    </w:p>
    <w:p w14:paraId="3AF6DE10" w14:textId="455B7459" w:rsidR="00EA4035" w:rsidRDefault="00EA4035" w:rsidP="00D93256">
      <w:pPr>
        <w:pStyle w:val="STPR2BodyText"/>
      </w:pPr>
      <w:r w:rsidRPr="00EA4035">
        <w:t>Transport Scotland</w:t>
      </w:r>
      <w:r>
        <w:t xml:space="preserve"> (</w:t>
      </w:r>
      <w:r w:rsidRPr="00EA4035">
        <w:t>2020</w:t>
      </w:r>
      <w:r>
        <w:t>c)</w:t>
      </w:r>
      <w:r w:rsidRPr="00EA4035">
        <w:t xml:space="preserve"> Active Travel Framework</w:t>
      </w:r>
      <w:r>
        <w:t xml:space="preserve">. </w:t>
      </w:r>
      <w:r w:rsidRPr="00EA4035">
        <w:t xml:space="preserve"> Available from: </w:t>
      </w:r>
      <w:hyperlink r:id="rId99" w:history="1">
        <w:r w:rsidRPr="00572203">
          <w:rPr>
            <w:rStyle w:val="Hyperlink"/>
          </w:rPr>
          <w:t>https://www.transport.gov.scot/publication/active-travel-framework-1/</w:t>
        </w:r>
      </w:hyperlink>
      <w:r>
        <w:t xml:space="preserve"> </w:t>
      </w:r>
      <w:r w:rsidRPr="00EA4035">
        <w:t xml:space="preserve">accessed </w:t>
      </w:r>
      <w:r>
        <w:t>30</w:t>
      </w:r>
      <w:r w:rsidRPr="00EA4035">
        <w:t xml:space="preserve"> </w:t>
      </w:r>
      <w:r>
        <w:t>Nov</w:t>
      </w:r>
      <w:r w:rsidRPr="00EA4035">
        <w:t>ember 202</w:t>
      </w:r>
      <w:r>
        <w:t>2</w:t>
      </w:r>
      <w:r w:rsidRPr="00EA4035">
        <w:t>.</w:t>
      </w:r>
    </w:p>
    <w:p w14:paraId="35FF6B26" w14:textId="216F03F0" w:rsidR="00493A6C" w:rsidRPr="001503E1" w:rsidRDefault="008B221F" w:rsidP="00D93256">
      <w:pPr>
        <w:pStyle w:val="STPR2BodyText"/>
      </w:pPr>
      <w:r w:rsidRPr="001503E1">
        <w:t>Transport Scotland (2021</w:t>
      </w:r>
      <w:r w:rsidR="00FA6B86" w:rsidRPr="001503E1">
        <w:t>a</w:t>
      </w:r>
      <w:r w:rsidRPr="001503E1">
        <w:t xml:space="preserve">) Initial Appraisal: Case for Change – </w:t>
      </w:r>
      <w:r w:rsidR="00B2514A">
        <w:t>(</w:t>
      </w:r>
      <w:r w:rsidRPr="001503E1">
        <w:t>National</w:t>
      </w:r>
      <w:r w:rsidR="00B2514A">
        <w:t xml:space="preserve"> and Regional)</w:t>
      </w:r>
      <w:r w:rsidRPr="001503E1">
        <w:t xml:space="preserve"> – STPR2</w:t>
      </w:r>
      <w:r w:rsidR="00493A6C" w:rsidRPr="001503E1">
        <w:t xml:space="preserve">. Available from: </w:t>
      </w:r>
      <w:hyperlink r:id="rId100" w:history="1">
        <w:r w:rsidR="00204BE1" w:rsidRPr="00CF78FB">
          <w:rPr>
            <w:rStyle w:val="Hyperlink"/>
          </w:rPr>
          <w:t>https://www.transport.gov.scot/our-approach/strategy/strategic-transport-projects-review-2/</w:t>
        </w:r>
      </w:hyperlink>
      <w:r w:rsidR="005573E4" w:rsidRPr="001503E1">
        <w:t>, a</w:t>
      </w:r>
      <w:r w:rsidR="00493A6C" w:rsidRPr="001503E1">
        <w:t>ccessed</w:t>
      </w:r>
      <w:r w:rsidR="005573E4" w:rsidRPr="001503E1">
        <w:t xml:space="preserve"> 1</w:t>
      </w:r>
      <w:r w:rsidR="00204BE1">
        <w:t>4</w:t>
      </w:r>
      <w:r w:rsidR="00C74F4E" w:rsidRPr="001503E1">
        <w:t xml:space="preserve"> </w:t>
      </w:r>
      <w:r w:rsidR="00204BE1">
        <w:t>January</w:t>
      </w:r>
      <w:r w:rsidR="00C74F4E" w:rsidRPr="001503E1">
        <w:t xml:space="preserve"> 202</w:t>
      </w:r>
      <w:r w:rsidR="00204BE1">
        <w:t>2</w:t>
      </w:r>
      <w:r w:rsidR="00C74F4E" w:rsidRPr="001503E1">
        <w:t>.</w:t>
      </w:r>
    </w:p>
    <w:p w14:paraId="43C8171A" w14:textId="67D0FE63" w:rsidR="00F8699C" w:rsidRPr="001503E1" w:rsidRDefault="00F8699C" w:rsidP="00D93256">
      <w:pPr>
        <w:pStyle w:val="STPR2BodyText"/>
      </w:pPr>
      <w:r w:rsidRPr="001503E1">
        <w:t xml:space="preserve">Transport Scotland (2021b) Reported Road Casualties Scotland 2020. Available from: </w:t>
      </w:r>
      <w:hyperlink r:id="rId101" w:anchor="42762" w:history="1">
        <w:r w:rsidRPr="001503E1">
          <w:rPr>
            <w:rStyle w:val="Hyperlink"/>
          </w:rPr>
          <w:t>https://www.transport.gov.scot/our-approach/statistics/#42762</w:t>
        </w:r>
      </w:hyperlink>
      <w:r w:rsidRPr="001503E1">
        <w:t>, accessed 16 December</w:t>
      </w:r>
      <w:r w:rsidR="005A4249" w:rsidRPr="001503E1">
        <w:t> </w:t>
      </w:r>
      <w:r w:rsidRPr="001503E1">
        <w:t>2021.</w:t>
      </w:r>
    </w:p>
    <w:p w14:paraId="2FE927EC" w14:textId="744314C0" w:rsidR="00FA6B86" w:rsidRPr="001503E1" w:rsidRDefault="00FA6B86" w:rsidP="00D93256">
      <w:pPr>
        <w:pStyle w:val="STPR2BodyText"/>
      </w:pPr>
      <w:r w:rsidRPr="001503E1">
        <w:t>Transport Scotland (2021</w:t>
      </w:r>
      <w:r w:rsidR="00F8699C" w:rsidRPr="001503E1">
        <w:t>c</w:t>
      </w:r>
      <w:r w:rsidRPr="001503E1">
        <w:t>)</w:t>
      </w:r>
      <w:r w:rsidR="00732CCC" w:rsidRPr="001503E1">
        <w:t xml:space="preserve"> Scottish Transport Statistics</w:t>
      </w:r>
      <w:r w:rsidR="009E3E94" w:rsidRPr="001503E1">
        <w:t xml:space="preserve"> No 39 2020</w:t>
      </w:r>
      <w:r w:rsidR="00732CCC" w:rsidRPr="001503E1">
        <w:t xml:space="preserve">. Available from: </w:t>
      </w:r>
      <w:hyperlink r:id="rId102" w:anchor="42763" w:history="1">
        <w:r w:rsidR="00732CCC" w:rsidRPr="001503E1">
          <w:rPr>
            <w:rStyle w:val="Hyperlink"/>
          </w:rPr>
          <w:t>https://www.transport.gov.scot/our-approach/statistics/#42763</w:t>
        </w:r>
      </w:hyperlink>
      <w:r w:rsidR="00732CCC" w:rsidRPr="001503E1">
        <w:t>, accessed 16 December</w:t>
      </w:r>
      <w:r w:rsidR="005A4249" w:rsidRPr="001503E1">
        <w:t> </w:t>
      </w:r>
      <w:r w:rsidR="00732CCC" w:rsidRPr="001503E1">
        <w:t>2021.</w:t>
      </w:r>
    </w:p>
    <w:p w14:paraId="1FF67143" w14:textId="5487DECB" w:rsidR="002D7882" w:rsidRDefault="002D7882" w:rsidP="00D93256">
      <w:pPr>
        <w:pStyle w:val="STPR2BodyText"/>
      </w:pPr>
      <w:r w:rsidRPr="002D7882">
        <w:t xml:space="preserve">Transport Scotland (2022) </w:t>
      </w:r>
      <w:r w:rsidR="00C76E32" w:rsidRPr="00C76E32">
        <w:t>National Transport Strategy (NTS2) - Second Delivery Plan - 2022-2023</w:t>
      </w:r>
      <w:r w:rsidR="00C76E32">
        <w:t xml:space="preserve">. </w:t>
      </w:r>
      <w:r w:rsidR="00C76E32" w:rsidRPr="00C76E32">
        <w:t xml:space="preserve">Available from: </w:t>
      </w:r>
      <w:hyperlink r:id="rId103" w:history="1">
        <w:r w:rsidR="00C76E32" w:rsidRPr="006247D9">
          <w:rPr>
            <w:rStyle w:val="Hyperlink"/>
          </w:rPr>
          <w:t>https://www.transport.gov.scot/publication/national-transport-strategy-nts2-second-delivery-plan-2022-2023/</w:t>
        </w:r>
      </w:hyperlink>
      <w:r>
        <w:t xml:space="preserve"> </w:t>
      </w:r>
      <w:r w:rsidR="00C76E32" w:rsidRPr="00C76E32">
        <w:t xml:space="preserve">accessed </w:t>
      </w:r>
      <w:r w:rsidR="00C76E32">
        <w:t>17</w:t>
      </w:r>
      <w:r w:rsidR="00C76E32" w:rsidRPr="00C76E32">
        <w:t xml:space="preserve"> </w:t>
      </w:r>
      <w:r w:rsidR="00C76E32">
        <w:t>November</w:t>
      </w:r>
      <w:r w:rsidR="00C76E32" w:rsidRPr="00C76E32">
        <w:t xml:space="preserve"> 2022.</w:t>
      </w:r>
    </w:p>
    <w:p w14:paraId="22BE6866" w14:textId="5F4B7085" w:rsidR="00A4334D" w:rsidRDefault="00A4334D" w:rsidP="00D93256">
      <w:pPr>
        <w:pStyle w:val="STPR2BodyText"/>
      </w:pPr>
      <w:r w:rsidRPr="001503E1">
        <w:t xml:space="preserve">Transport Scotland (n.d.) The Trunk Road Network. Available </w:t>
      </w:r>
      <w:r w:rsidR="00E75A9E" w:rsidRPr="001503E1">
        <w:t>from</w:t>
      </w:r>
      <w:r w:rsidRPr="001503E1">
        <w:t xml:space="preserve">: </w:t>
      </w:r>
      <w:hyperlink r:id="rId104" w:history="1">
        <w:r w:rsidRPr="001503E1">
          <w:rPr>
            <w:rStyle w:val="Hyperlink"/>
          </w:rPr>
          <w:t>https://www.transport.gov.scoat/transport-network/roads/the-trunk-road-network/</w:t>
        </w:r>
      </w:hyperlink>
      <w:r w:rsidRPr="001503E1">
        <w:t>, accessed 10 December 2021.</w:t>
      </w:r>
    </w:p>
    <w:p w14:paraId="13663E32" w14:textId="1ED81624" w:rsidR="008D32E8" w:rsidRPr="001503E1" w:rsidRDefault="008D32E8" w:rsidP="00D93256">
      <w:pPr>
        <w:pStyle w:val="STPR2BodyText"/>
      </w:pPr>
      <w:r>
        <w:t xml:space="preserve">UK Centre for Ecology &amp; Hydrology (UKCEH) (2022). </w:t>
      </w:r>
      <w:r w:rsidR="00927B80">
        <w:t xml:space="preserve">Air Pollution Information System (APIS). Available from: </w:t>
      </w:r>
      <w:hyperlink r:id="rId105" w:history="1">
        <w:r w:rsidR="00927B80" w:rsidRPr="00500F8C">
          <w:rPr>
            <w:rStyle w:val="Hyperlink"/>
          </w:rPr>
          <w:t>http://www.apis.ac.uk/app</w:t>
        </w:r>
      </w:hyperlink>
      <w:r w:rsidR="00927B80">
        <w:t xml:space="preserve">, accessed 25 April 2022. </w:t>
      </w:r>
    </w:p>
    <w:p w14:paraId="10457D59" w14:textId="2B1E5156" w:rsidR="009F4731" w:rsidRPr="00F96FB7" w:rsidRDefault="00286153" w:rsidP="00D93256">
      <w:pPr>
        <w:pStyle w:val="STPR2BodyText"/>
      </w:pPr>
      <w:r w:rsidRPr="00F96FB7">
        <w:t>Under 2° Secretariat Climate Group (2021). Further, Faster, Together: Under2 Leaders Actions at C</w:t>
      </w:r>
      <w:r w:rsidR="00E75A9E" w:rsidRPr="00F96FB7">
        <w:t xml:space="preserve">OP26. Available from: </w:t>
      </w:r>
      <w:hyperlink r:id="rId106" w:history="1">
        <w:r w:rsidR="009F4731" w:rsidRPr="00F96FB7">
          <w:rPr>
            <w:rStyle w:val="Hyperlink"/>
          </w:rPr>
          <w:t>https://www.theclimategroup.org/further-faster-together-under2-leaders-actions-cop26</w:t>
        </w:r>
      </w:hyperlink>
      <w:r w:rsidR="009F4731" w:rsidRPr="00F96FB7">
        <w:rPr>
          <w:rStyle w:val="Hyperlink"/>
        </w:rPr>
        <w:t>,</w:t>
      </w:r>
      <w:r w:rsidR="009F4731" w:rsidRPr="00F96FB7">
        <w:t xml:space="preserve"> accessed 20 December 2021.</w:t>
      </w:r>
    </w:p>
    <w:p w14:paraId="3995176F" w14:textId="08070488" w:rsidR="00286153" w:rsidRPr="005A4249" w:rsidRDefault="00E75A9E" w:rsidP="00F22048">
      <w:pPr>
        <w:rPr>
          <w:rFonts w:ascii="Jacobs Chronos" w:hAnsi="Jacobs Chronos" w:cs="Jacobs Chronos"/>
          <w:color w:val="000000"/>
          <w:sz w:val="24"/>
          <w:szCs w:val="20"/>
        </w:rPr>
        <w:sectPr w:rsidR="00286153" w:rsidRPr="005A4249" w:rsidSect="003F75CB">
          <w:headerReference w:type="default" r:id="rId107"/>
          <w:pgSz w:w="11906" w:h="16838" w:code="9"/>
          <w:pgMar w:top="1701" w:right="1134" w:bottom="1134" w:left="1134" w:header="454" w:footer="567" w:gutter="0"/>
          <w:cols w:space="720"/>
          <w:noEndnote/>
          <w:docGrid w:linePitch="299"/>
        </w:sectPr>
      </w:pPr>
      <w:r>
        <w:t xml:space="preserve"> </w:t>
      </w:r>
    </w:p>
    <w:p w14:paraId="27B0D1FF" w14:textId="77777777" w:rsidR="00307E47" w:rsidRPr="00E645D5" w:rsidRDefault="00307E47" w:rsidP="00D93256">
      <w:pPr>
        <w:pStyle w:val="STPR2BodyText"/>
      </w:pPr>
    </w:p>
    <w:bookmarkEnd w:id="0"/>
    <w:p w14:paraId="4574E0DA" w14:textId="77777777" w:rsidR="003E6F26" w:rsidRPr="00E645D5" w:rsidRDefault="003E6F26" w:rsidP="00D93256">
      <w:pPr>
        <w:pStyle w:val="STPR2BodyText"/>
      </w:pPr>
    </w:p>
    <w:sectPr w:rsidR="003E6F26" w:rsidRPr="00E645D5" w:rsidSect="004D2780">
      <w:headerReference w:type="default" r:id="rId108"/>
      <w:footerReference w:type="default" r:id="rId109"/>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5BD41" w14:textId="77777777" w:rsidR="00CD44C3" w:rsidRDefault="00CD44C3" w:rsidP="006F1601">
      <w:pPr>
        <w:spacing w:after="0" w:line="240" w:lineRule="auto"/>
      </w:pPr>
      <w:r>
        <w:separator/>
      </w:r>
    </w:p>
  </w:endnote>
  <w:endnote w:type="continuationSeparator" w:id="0">
    <w:p w14:paraId="45C5EE1F" w14:textId="77777777" w:rsidR="00CD44C3" w:rsidRDefault="00CD44C3" w:rsidP="006F1601">
      <w:pPr>
        <w:spacing w:after="0" w:line="240" w:lineRule="auto"/>
      </w:pPr>
      <w:r>
        <w:continuationSeparator/>
      </w:r>
    </w:p>
  </w:endnote>
  <w:endnote w:type="continuationNotice" w:id="1">
    <w:p w14:paraId="05E4E6CB" w14:textId="77777777" w:rsidR="00CD44C3" w:rsidRDefault="00CD44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C822" w14:textId="77777777" w:rsidR="00BE7943" w:rsidRDefault="00BE794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91F2" w14:textId="77777777" w:rsidR="00BE7943" w:rsidRDefault="00BE7943">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BE7943" w14:paraId="3247A623" w14:textId="77777777" w:rsidTr="000C6958">
      <w:tc>
        <w:tcPr>
          <w:tcW w:w="4111" w:type="dxa"/>
        </w:tcPr>
        <w:p w14:paraId="492D9D79" w14:textId="7D12A067" w:rsidR="00BE7943" w:rsidRPr="00984B20" w:rsidRDefault="00BE7943" w:rsidP="00984B20">
          <w:pPr>
            <w:pStyle w:val="Footer"/>
          </w:pPr>
          <w:r w:rsidRPr="00984B20">
            <w:t>Strategic Transport Projects Review (STPR2) Consultancy Support Services Contract</w:t>
          </w:r>
        </w:p>
      </w:tc>
      <w:tc>
        <w:tcPr>
          <w:tcW w:w="1276" w:type="dxa"/>
          <w:vAlign w:val="center"/>
        </w:tcPr>
        <w:p w14:paraId="75FF0578" w14:textId="77777777" w:rsidR="00BE7943" w:rsidRDefault="00BE7943" w:rsidP="00AC7FD5">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p>
      </w:tc>
      <w:tc>
        <w:tcPr>
          <w:tcW w:w="4241" w:type="dxa"/>
          <w:vAlign w:val="center"/>
        </w:tcPr>
        <w:p w14:paraId="5381B69E" w14:textId="77777777" w:rsidR="00BE7943" w:rsidRDefault="00BE7943" w:rsidP="00AC7FD5">
          <w:pPr>
            <w:pStyle w:val="Footer"/>
            <w:jc w:val="right"/>
          </w:pPr>
          <w:r>
            <w:rPr>
              <w:noProof/>
            </w:rPr>
            <w:drawing>
              <wp:inline distT="0" distB="0" distL="0" distR="0" wp14:anchorId="733B8EA7" wp14:editId="56E27046">
                <wp:extent cx="1620003" cy="180000"/>
                <wp:effectExtent l="0" t="0" r="0" b="0"/>
                <wp:docPr id="21" name="Picture 21" descr="Jacobs A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933" name="Picture 893550933" descr="Jacobs AECOM"/>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1BD6549" w14:textId="77777777" w:rsidR="00BE7943" w:rsidRPr="00AC7FD5" w:rsidRDefault="00BE7943" w:rsidP="00984B20">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BE7943" w14:paraId="4334793B" w14:textId="77777777" w:rsidTr="000C6958">
      <w:tc>
        <w:tcPr>
          <w:tcW w:w="4111" w:type="dxa"/>
        </w:tcPr>
        <w:p w14:paraId="7F85E039" w14:textId="4EA08DD3" w:rsidR="00BE7943" w:rsidRPr="00984B20" w:rsidRDefault="00BE7943" w:rsidP="00984B20">
          <w:pPr>
            <w:pStyle w:val="Footer"/>
          </w:pPr>
          <w:r w:rsidRPr="00984B20">
            <w:t>Strategic Transport Projects Review (STPR2) Consultancy Support Services Contract</w:t>
          </w:r>
        </w:p>
      </w:tc>
      <w:tc>
        <w:tcPr>
          <w:tcW w:w="1276" w:type="dxa"/>
          <w:vAlign w:val="center"/>
        </w:tcPr>
        <w:p w14:paraId="4DF7EFEE" w14:textId="77777777" w:rsidR="00BE7943" w:rsidRDefault="00BE7943" w:rsidP="00AC7FD5">
          <w:pPr>
            <w:pStyle w:val="Footer"/>
            <w:jc w:val="center"/>
          </w:pPr>
          <w:r>
            <w:fldChar w:fldCharType="begin"/>
          </w:r>
          <w:r>
            <w:instrText xml:space="preserve"> PAGE   \* MERGEFORMAT </w:instrText>
          </w:r>
          <w:r>
            <w:fldChar w:fldCharType="separate"/>
          </w:r>
          <w:r>
            <w:rPr>
              <w:noProof/>
            </w:rPr>
            <w:t>1</w:t>
          </w:r>
          <w:r>
            <w:rPr>
              <w:noProof/>
            </w:rPr>
            <w:fldChar w:fldCharType="end"/>
          </w:r>
        </w:p>
      </w:tc>
      <w:tc>
        <w:tcPr>
          <w:tcW w:w="4241" w:type="dxa"/>
          <w:vAlign w:val="center"/>
        </w:tcPr>
        <w:p w14:paraId="3BBC55CD" w14:textId="77777777" w:rsidR="00BE7943" w:rsidRDefault="00BE7943" w:rsidP="00AC7FD5">
          <w:pPr>
            <w:pStyle w:val="Footer"/>
            <w:jc w:val="right"/>
          </w:pPr>
          <w:r>
            <w:rPr>
              <w:noProof/>
            </w:rPr>
            <w:drawing>
              <wp:inline distT="0" distB="0" distL="0" distR="0" wp14:anchorId="7F1F187A" wp14:editId="5F6E42CC">
                <wp:extent cx="1620003" cy="180000"/>
                <wp:effectExtent l="0" t="0" r="0" b="0"/>
                <wp:docPr id="22" name="Picture 22" descr="Jacobs A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934" name="Picture 893550934" descr="Jacobs AECOM"/>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4F1BAB84" w14:textId="77777777" w:rsidR="00BE7943" w:rsidRPr="00AC7FD5" w:rsidRDefault="00BE7943" w:rsidP="00984B2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9"/>
      <w:gridCol w:w="1865"/>
      <w:gridCol w:w="6199"/>
    </w:tblGrid>
    <w:tr w:rsidR="00BE7943" w14:paraId="2916D226" w14:textId="77777777" w:rsidTr="000C6958">
      <w:trPr>
        <w:trHeight w:val="637"/>
      </w:trPr>
      <w:tc>
        <w:tcPr>
          <w:tcW w:w="6009" w:type="dxa"/>
        </w:tcPr>
        <w:p w14:paraId="6E3248D7" w14:textId="09B2524C" w:rsidR="00BE7943" w:rsidRPr="00984B20" w:rsidRDefault="00BE7943" w:rsidP="00984B20">
          <w:pPr>
            <w:pStyle w:val="Footer"/>
          </w:pPr>
          <w:r w:rsidRPr="00984B20">
            <w:t>Strategic Transport Projects Review (STPR2) Consultancy Support Services Contract</w:t>
          </w:r>
        </w:p>
      </w:tc>
      <w:tc>
        <w:tcPr>
          <w:tcW w:w="1865" w:type="dxa"/>
          <w:vAlign w:val="center"/>
        </w:tcPr>
        <w:p w14:paraId="1A215D50" w14:textId="77777777" w:rsidR="00BE7943" w:rsidRDefault="00BE7943" w:rsidP="00AC7FD5">
          <w:pPr>
            <w:pStyle w:val="Footer"/>
            <w:jc w:val="center"/>
          </w:pPr>
          <w:r>
            <w:fldChar w:fldCharType="begin"/>
          </w:r>
          <w:r>
            <w:instrText xml:space="preserve"> PAGE   \* MERGEFORMAT </w:instrText>
          </w:r>
          <w:r>
            <w:fldChar w:fldCharType="separate"/>
          </w:r>
          <w:r>
            <w:rPr>
              <w:noProof/>
            </w:rPr>
            <w:t>1</w:t>
          </w:r>
          <w:r>
            <w:rPr>
              <w:noProof/>
            </w:rPr>
            <w:fldChar w:fldCharType="end"/>
          </w:r>
        </w:p>
      </w:tc>
      <w:tc>
        <w:tcPr>
          <w:tcW w:w="6199" w:type="dxa"/>
          <w:vAlign w:val="center"/>
        </w:tcPr>
        <w:p w14:paraId="0D058D9F" w14:textId="77777777" w:rsidR="00BE7943" w:rsidRDefault="00BE7943" w:rsidP="00AC7FD5">
          <w:pPr>
            <w:pStyle w:val="Footer"/>
            <w:jc w:val="right"/>
          </w:pPr>
          <w:r>
            <w:rPr>
              <w:noProof/>
            </w:rPr>
            <w:drawing>
              <wp:inline distT="0" distB="0" distL="0" distR="0" wp14:anchorId="15F4500E" wp14:editId="25C75362">
                <wp:extent cx="1620003" cy="180000"/>
                <wp:effectExtent l="0" t="0" r="0" b="0"/>
                <wp:docPr id="25" name="Picture 25" descr="Jacobs A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945" name="Picture 893550945" descr="Jacobs AECOM"/>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6B88B6EC" w14:textId="77777777" w:rsidR="00BE7943" w:rsidRPr="00AC7FD5" w:rsidRDefault="00BE7943" w:rsidP="00984B2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1278"/>
      <w:gridCol w:w="4245"/>
    </w:tblGrid>
    <w:tr w:rsidR="00BE7943" w14:paraId="3C0E61F2" w14:textId="77777777" w:rsidTr="00331453">
      <w:trPr>
        <w:trHeight w:val="637"/>
      </w:trPr>
      <w:tc>
        <w:tcPr>
          <w:tcW w:w="2135" w:type="pct"/>
        </w:tcPr>
        <w:p w14:paraId="1B8A3D9F" w14:textId="76B2F294" w:rsidR="00BE7943" w:rsidRPr="00984B20" w:rsidRDefault="00BE7943" w:rsidP="00984B20">
          <w:pPr>
            <w:pStyle w:val="Footer"/>
          </w:pPr>
          <w:r w:rsidRPr="00984B20">
            <w:t>Strategic Transport Projects Review (STPR2) Consultancy Support Services Contract</w:t>
          </w:r>
        </w:p>
      </w:tc>
      <w:tc>
        <w:tcPr>
          <w:tcW w:w="663" w:type="pct"/>
          <w:vAlign w:val="center"/>
        </w:tcPr>
        <w:p w14:paraId="216ABC74" w14:textId="77777777" w:rsidR="00BE7943" w:rsidRDefault="00BE7943" w:rsidP="00AC7FD5">
          <w:pPr>
            <w:pStyle w:val="Footer"/>
            <w:jc w:val="center"/>
          </w:pPr>
          <w:r>
            <w:fldChar w:fldCharType="begin"/>
          </w:r>
          <w:r>
            <w:instrText xml:space="preserve"> PAGE   \* MERGEFORMAT </w:instrText>
          </w:r>
          <w:r>
            <w:fldChar w:fldCharType="separate"/>
          </w:r>
          <w:r>
            <w:rPr>
              <w:noProof/>
            </w:rPr>
            <w:t>1</w:t>
          </w:r>
          <w:r>
            <w:rPr>
              <w:noProof/>
            </w:rPr>
            <w:fldChar w:fldCharType="end"/>
          </w:r>
        </w:p>
      </w:tc>
      <w:tc>
        <w:tcPr>
          <w:tcW w:w="2202" w:type="pct"/>
          <w:vAlign w:val="center"/>
        </w:tcPr>
        <w:p w14:paraId="16CC70C1" w14:textId="77777777" w:rsidR="00BE7943" w:rsidRDefault="00BE7943" w:rsidP="00AC7FD5">
          <w:pPr>
            <w:pStyle w:val="Footer"/>
            <w:jc w:val="right"/>
          </w:pPr>
          <w:r>
            <w:rPr>
              <w:noProof/>
            </w:rPr>
            <w:drawing>
              <wp:inline distT="0" distB="0" distL="0" distR="0" wp14:anchorId="6BDFDCA4" wp14:editId="2921A71A">
                <wp:extent cx="1620003" cy="180000"/>
                <wp:effectExtent l="0" t="0" r="0" b="0"/>
                <wp:docPr id="27" name="Picture 27" descr="Jacobs A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947" name="Picture 893550947" descr="Jacobs AECOM"/>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ED065D9" w14:textId="77777777" w:rsidR="00BE7943" w:rsidRPr="00AC7FD5" w:rsidRDefault="00BE7943" w:rsidP="00984B20">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BE7943" w:rsidRPr="00307E47" w:rsidRDefault="00BE7943"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2ACE" w14:textId="77777777" w:rsidR="00CD44C3" w:rsidRDefault="00CD44C3" w:rsidP="006F1601">
      <w:pPr>
        <w:spacing w:after="0" w:line="240" w:lineRule="auto"/>
      </w:pPr>
      <w:r>
        <w:separator/>
      </w:r>
    </w:p>
  </w:footnote>
  <w:footnote w:type="continuationSeparator" w:id="0">
    <w:p w14:paraId="460F12FE" w14:textId="77777777" w:rsidR="00CD44C3" w:rsidRDefault="00CD44C3" w:rsidP="006F1601">
      <w:pPr>
        <w:spacing w:after="0" w:line="240" w:lineRule="auto"/>
      </w:pPr>
      <w:r>
        <w:continuationSeparator/>
      </w:r>
    </w:p>
  </w:footnote>
  <w:footnote w:type="continuationNotice" w:id="1">
    <w:p w14:paraId="1C9640C2" w14:textId="77777777" w:rsidR="00CD44C3" w:rsidRDefault="00CD44C3">
      <w:pPr>
        <w:spacing w:after="0" w:line="240" w:lineRule="auto"/>
      </w:pPr>
    </w:p>
  </w:footnote>
  <w:footnote w:id="2">
    <w:p w14:paraId="1B8A8852" w14:textId="78B2DB6A" w:rsidR="0096297B" w:rsidRPr="00265B65" w:rsidRDefault="0096297B">
      <w:pPr>
        <w:pStyle w:val="FootnoteText"/>
        <w:rPr>
          <w:sz w:val="15"/>
          <w:szCs w:val="15"/>
        </w:rPr>
      </w:pPr>
      <w:r w:rsidRPr="00265B65">
        <w:rPr>
          <w:rStyle w:val="FootnoteReference"/>
          <w:sz w:val="16"/>
          <w:szCs w:val="16"/>
        </w:rPr>
        <w:footnoteRef/>
      </w:r>
      <w:r w:rsidRPr="00265B65">
        <w:rPr>
          <w:sz w:val="16"/>
          <w:szCs w:val="16"/>
        </w:rPr>
        <w:t xml:space="preserve"> </w:t>
      </w:r>
      <w:r w:rsidR="00265B65" w:rsidRPr="00265B65">
        <w:rPr>
          <w:sz w:val="16"/>
          <w:szCs w:val="16"/>
        </w:rPr>
        <w:t>It should be noted that the Air Quality in Scotland monitoring network does not monitor ammonia emissions.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EAE8" w14:textId="77777777" w:rsidR="00BE7943" w:rsidRDefault="00BE794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E9B4" w14:textId="77777777" w:rsidR="00BE7943" w:rsidRDefault="00BE7943">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1C5D4E" w14:paraId="33060961" w14:textId="77777777" w:rsidTr="000C6958">
      <w:tc>
        <w:tcPr>
          <w:tcW w:w="6418" w:type="dxa"/>
          <w:vAlign w:val="center"/>
        </w:tcPr>
        <w:p w14:paraId="2336A3A8" w14:textId="77777777" w:rsidR="001C5D4E" w:rsidRPr="0045477F" w:rsidRDefault="001C5D4E" w:rsidP="0045477F">
          <w:pPr>
            <w:pStyle w:val="Header"/>
          </w:pPr>
          <w:r w:rsidRPr="0045477F">
            <w:t xml:space="preserve">STPR2 SEA </w:t>
          </w:r>
          <w:r>
            <w:t xml:space="preserve">Final </w:t>
          </w:r>
          <w:r w:rsidRPr="0045477F">
            <w:t>Environmental Report</w:t>
          </w:r>
        </w:p>
      </w:tc>
      <w:tc>
        <w:tcPr>
          <w:tcW w:w="3210" w:type="dxa"/>
        </w:tcPr>
        <w:p w14:paraId="02312932" w14:textId="77777777" w:rsidR="001C5D4E" w:rsidRDefault="001C5D4E" w:rsidP="0045477F">
          <w:pPr>
            <w:pStyle w:val="Header"/>
          </w:pPr>
          <w:r>
            <w:rPr>
              <w:noProof/>
            </w:rPr>
            <w:drawing>
              <wp:anchor distT="0" distB="0" distL="114300" distR="114300" simplePos="0" relativeHeight="251660292" behindDoc="0" locked="0" layoutInCell="1" allowOverlap="1" wp14:anchorId="3E0047FF" wp14:editId="2BD6D136">
                <wp:simplePos x="4797631" y="285008"/>
                <wp:positionH relativeFrom="margin">
                  <wp:align>right</wp:align>
                </wp:positionH>
                <wp:positionV relativeFrom="margin">
                  <wp:align>top</wp:align>
                </wp:positionV>
                <wp:extent cx="1481513" cy="648203"/>
                <wp:effectExtent l="0" t="0" r="4445" b="0"/>
                <wp:wrapSquare wrapText="bothSides"/>
                <wp:docPr id="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481513" cy="648203"/>
                        </a:xfrm>
                        <a:prstGeom prst="rect">
                          <a:avLst/>
                        </a:prstGeom>
                        <a:ln>
                          <a:noFill/>
                        </a:ln>
                        <a:extLst>
                          <a:ext uri="{53640926-AAD7-44D8-BBD7-CCE9431645EC}">
                            <a14:shadowObscured xmlns:a14="http://schemas.microsoft.com/office/drawing/2010/main"/>
                          </a:ext>
                        </a:extLst>
                      </pic:spPr>
                    </pic:pic>
                  </a:graphicData>
                </a:graphic>
              </wp:anchor>
            </w:drawing>
          </w:r>
        </w:p>
      </w:tc>
    </w:tr>
  </w:tbl>
  <w:p w14:paraId="09A29A26" w14:textId="77777777" w:rsidR="001C5D4E" w:rsidRPr="00AC7FD5" w:rsidRDefault="001C5D4E" w:rsidP="004547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1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5043"/>
    </w:tblGrid>
    <w:tr w:rsidR="00BE7943" w14:paraId="731F95FA" w14:textId="77777777" w:rsidTr="00D715ED">
      <w:tc>
        <w:tcPr>
          <w:tcW w:w="2336" w:type="pct"/>
          <w:vAlign w:val="center"/>
        </w:tcPr>
        <w:p w14:paraId="6BB7F0FC" w14:textId="1E77A2C7" w:rsidR="00BE7943" w:rsidRPr="0045477F" w:rsidRDefault="00BE7943" w:rsidP="00B42BC5">
          <w:pPr>
            <w:pStyle w:val="Header"/>
          </w:pPr>
          <w:r w:rsidRPr="0045477F">
            <w:t xml:space="preserve">STPR2 SEA </w:t>
          </w:r>
          <w:r w:rsidR="000572A3">
            <w:t xml:space="preserve">Final </w:t>
          </w:r>
          <w:r w:rsidRPr="0045477F">
            <w:t>Environmental Report</w:t>
          </w:r>
        </w:p>
      </w:tc>
      <w:tc>
        <w:tcPr>
          <w:tcW w:w="2664" w:type="pct"/>
        </w:tcPr>
        <w:p w14:paraId="0AA4E631" w14:textId="77777777" w:rsidR="00BE7943" w:rsidRDefault="00BE7943" w:rsidP="00B42BC5">
          <w:pPr>
            <w:pStyle w:val="Header"/>
          </w:pPr>
          <w:r>
            <w:rPr>
              <w:noProof/>
            </w:rPr>
            <w:drawing>
              <wp:anchor distT="0" distB="0" distL="114300" distR="114300" simplePos="0" relativeHeight="251658242" behindDoc="0" locked="0" layoutInCell="1" allowOverlap="1" wp14:anchorId="58AC1D94" wp14:editId="5DF7A8CE">
                <wp:simplePos x="4797631" y="285008"/>
                <wp:positionH relativeFrom="margin">
                  <wp:align>right</wp:align>
                </wp:positionH>
                <wp:positionV relativeFrom="margin">
                  <wp:align>top</wp:align>
                </wp:positionV>
                <wp:extent cx="1481513" cy="648203"/>
                <wp:effectExtent l="0" t="0" r="4445" b="0"/>
                <wp:wrapSquare wrapText="bothSides"/>
                <wp:docPr id="2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481513" cy="648203"/>
                        </a:xfrm>
                        <a:prstGeom prst="rect">
                          <a:avLst/>
                        </a:prstGeom>
                        <a:ln>
                          <a:noFill/>
                        </a:ln>
                        <a:extLst>
                          <a:ext uri="{53640926-AAD7-44D8-BBD7-CCE9431645EC}">
                            <a14:shadowObscured xmlns:a14="http://schemas.microsoft.com/office/drawing/2010/main"/>
                          </a:ext>
                        </a:extLst>
                      </pic:spPr>
                    </pic:pic>
                  </a:graphicData>
                </a:graphic>
              </wp:anchor>
            </w:drawing>
          </w:r>
        </w:p>
      </w:tc>
    </w:tr>
  </w:tbl>
  <w:p w14:paraId="10B7E969" w14:textId="2D533228" w:rsidR="00BE7943" w:rsidRPr="00B42BC5" w:rsidRDefault="00BE7943" w:rsidP="00B42B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BE7943" w14:paraId="32065820" w14:textId="77777777" w:rsidTr="00E94DE0">
      <w:tc>
        <w:tcPr>
          <w:tcW w:w="6418" w:type="dxa"/>
          <w:vAlign w:val="center"/>
        </w:tcPr>
        <w:p w14:paraId="0113D236" w14:textId="61C1EA9D" w:rsidR="00BE7943" w:rsidRPr="0045477F" w:rsidRDefault="00BE7943" w:rsidP="00B42BC5">
          <w:pPr>
            <w:pStyle w:val="Header"/>
          </w:pPr>
          <w:r w:rsidRPr="0045477F">
            <w:t xml:space="preserve">STPR2 SEA </w:t>
          </w:r>
          <w:r w:rsidR="00444C2D">
            <w:t xml:space="preserve">Final </w:t>
          </w:r>
          <w:r w:rsidRPr="0045477F">
            <w:t>Environmental Report</w:t>
          </w:r>
        </w:p>
      </w:tc>
      <w:tc>
        <w:tcPr>
          <w:tcW w:w="3210" w:type="dxa"/>
        </w:tcPr>
        <w:p w14:paraId="70742041" w14:textId="77777777" w:rsidR="00BE7943" w:rsidRDefault="00BE7943" w:rsidP="00B42BC5">
          <w:pPr>
            <w:pStyle w:val="Header"/>
          </w:pPr>
          <w:r>
            <w:rPr>
              <w:noProof/>
            </w:rPr>
            <w:drawing>
              <wp:anchor distT="0" distB="0" distL="114300" distR="114300" simplePos="0" relativeHeight="251658244" behindDoc="0" locked="0" layoutInCell="1" allowOverlap="1" wp14:anchorId="28DC9F3D" wp14:editId="32D5A653">
                <wp:simplePos x="4797631" y="285008"/>
                <wp:positionH relativeFrom="margin">
                  <wp:align>right</wp:align>
                </wp:positionH>
                <wp:positionV relativeFrom="margin">
                  <wp:align>top</wp:align>
                </wp:positionV>
                <wp:extent cx="1481513" cy="648203"/>
                <wp:effectExtent l="0" t="0" r="4445" b="0"/>
                <wp:wrapSquare wrapText="bothSides"/>
                <wp:docPr id="2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481513" cy="648203"/>
                        </a:xfrm>
                        <a:prstGeom prst="rect">
                          <a:avLst/>
                        </a:prstGeom>
                        <a:ln>
                          <a:noFill/>
                        </a:ln>
                        <a:extLst>
                          <a:ext uri="{53640926-AAD7-44D8-BBD7-CCE9431645EC}">
                            <a14:shadowObscured xmlns:a14="http://schemas.microsoft.com/office/drawing/2010/main"/>
                          </a:ext>
                        </a:extLst>
                      </pic:spPr>
                    </pic:pic>
                  </a:graphicData>
                </a:graphic>
              </wp:anchor>
            </w:drawing>
          </w:r>
        </w:p>
      </w:tc>
    </w:tr>
  </w:tbl>
  <w:p w14:paraId="386F820B" w14:textId="77777777" w:rsidR="00BE7943" w:rsidRPr="00AC7FD5" w:rsidRDefault="00BE7943" w:rsidP="00B42B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354"/>
    </w:tblGrid>
    <w:tr w:rsidR="00D715ED" w14:paraId="4D876A36" w14:textId="77777777" w:rsidTr="00D715ED">
      <w:tc>
        <w:tcPr>
          <w:tcW w:w="6418" w:type="dxa"/>
          <w:vAlign w:val="center"/>
        </w:tcPr>
        <w:p w14:paraId="4D7C208A" w14:textId="77777777" w:rsidR="00D715ED" w:rsidRPr="0045477F" w:rsidRDefault="00D715ED" w:rsidP="00B42BC5">
          <w:pPr>
            <w:pStyle w:val="Header"/>
          </w:pPr>
          <w:r w:rsidRPr="0045477F">
            <w:t xml:space="preserve">STPR2 SEA </w:t>
          </w:r>
          <w:r>
            <w:t xml:space="preserve">Final </w:t>
          </w:r>
          <w:r w:rsidRPr="0045477F">
            <w:t>Environmental Report</w:t>
          </w:r>
        </w:p>
      </w:tc>
      <w:tc>
        <w:tcPr>
          <w:tcW w:w="7474" w:type="dxa"/>
        </w:tcPr>
        <w:p w14:paraId="2DF93C34" w14:textId="77777777" w:rsidR="00D715ED" w:rsidRDefault="00D715ED" w:rsidP="00B42BC5">
          <w:pPr>
            <w:pStyle w:val="Header"/>
          </w:pPr>
          <w:r>
            <w:rPr>
              <w:noProof/>
            </w:rPr>
            <w:drawing>
              <wp:anchor distT="0" distB="0" distL="114300" distR="114300" simplePos="0" relativeHeight="251662340" behindDoc="0" locked="0" layoutInCell="1" allowOverlap="1" wp14:anchorId="7BFD2235" wp14:editId="3916459D">
                <wp:simplePos x="4797631" y="285008"/>
                <wp:positionH relativeFrom="margin">
                  <wp:align>right</wp:align>
                </wp:positionH>
                <wp:positionV relativeFrom="margin">
                  <wp:align>top</wp:align>
                </wp:positionV>
                <wp:extent cx="1481513" cy="648203"/>
                <wp:effectExtent l="0" t="0" r="4445" b="0"/>
                <wp:wrapSquare wrapText="bothSides"/>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481513" cy="648203"/>
                        </a:xfrm>
                        <a:prstGeom prst="rect">
                          <a:avLst/>
                        </a:prstGeom>
                        <a:ln>
                          <a:noFill/>
                        </a:ln>
                        <a:extLst>
                          <a:ext uri="{53640926-AAD7-44D8-BBD7-CCE9431645EC}">
                            <a14:shadowObscured xmlns:a14="http://schemas.microsoft.com/office/drawing/2010/main"/>
                          </a:ext>
                        </a:extLst>
                      </pic:spPr>
                    </pic:pic>
                  </a:graphicData>
                </a:graphic>
              </wp:anchor>
            </w:drawing>
          </w:r>
        </w:p>
      </w:tc>
    </w:tr>
  </w:tbl>
  <w:p w14:paraId="5F0272DB" w14:textId="77777777" w:rsidR="00D715ED" w:rsidRPr="00AC7FD5" w:rsidRDefault="00D715ED" w:rsidP="00B42B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D715ED" w14:paraId="23E380B6" w14:textId="77777777" w:rsidTr="00E94DE0">
      <w:tc>
        <w:tcPr>
          <w:tcW w:w="6418" w:type="dxa"/>
          <w:vAlign w:val="center"/>
        </w:tcPr>
        <w:p w14:paraId="70C23A1A" w14:textId="77777777" w:rsidR="00D715ED" w:rsidRPr="0045477F" w:rsidRDefault="00D715ED" w:rsidP="00B42BC5">
          <w:pPr>
            <w:pStyle w:val="Header"/>
          </w:pPr>
          <w:r w:rsidRPr="0045477F">
            <w:t xml:space="preserve">STPR2 SEA </w:t>
          </w:r>
          <w:r>
            <w:t xml:space="preserve">Final </w:t>
          </w:r>
          <w:r w:rsidRPr="0045477F">
            <w:t>Environmental Report</w:t>
          </w:r>
        </w:p>
      </w:tc>
      <w:tc>
        <w:tcPr>
          <w:tcW w:w="3210" w:type="dxa"/>
        </w:tcPr>
        <w:p w14:paraId="663BEC42" w14:textId="77777777" w:rsidR="00D715ED" w:rsidRDefault="00D715ED" w:rsidP="00B42BC5">
          <w:pPr>
            <w:pStyle w:val="Header"/>
          </w:pPr>
          <w:r>
            <w:rPr>
              <w:noProof/>
            </w:rPr>
            <w:drawing>
              <wp:anchor distT="0" distB="0" distL="114300" distR="114300" simplePos="0" relativeHeight="251664388" behindDoc="0" locked="0" layoutInCell="1" allowOverlap="1" wp14:anchorId="0D9B8CEA" wp14:editId="2379B757">
                <wp:simplePos x="4797631" y="285008"/>
                <wp:positionH relativeFrom="margin">
                  <wp:align>right</wp:align>
                </wp:positionH>
                <wp:positionV relativeFrom="margin">
                  <wp:align>top</wp:align>
                </wp:positionV>
                <wp:extent cx="1481513" cy="648203"/>
                <wp:effectExtent l="0" t="0" r="4445" b="0"/>
                <wp:wrapSquare wrapText="bothSides"/>
                <wp:docPr id="1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481513" cy="648203"/>
                        </a:xfrm>
                        <a:prstGeom prst="rect">
                          <a:avLst/>
                        </a:prstGeom>
                        <a:ln>
                          <a:noFill/>
                        </a:ln>
                        <a:extLst>
                          <a:ext uri="{53640926-AAD7-44D8-BBD7-CCE9431645EC}">
                            <a14:shadowObscured xmlns:a14="http://schemas.microsoft.com/office/drawing/2010/main"/>
                          </a:ext>
                        </a:extLst>
                      </pic:spPr>
                    </pic:pic>
                  </a:graphicData>
                </a:graphic>
              </wp:anchor>
            </w:drawing>
          </w:r>
        </w:p>
      </w:tc>
    </w:tr>
  </w:tbl>
  <w:p w14:paraId="69CD8CB3" w14:textId="77777777" w:rsidR="00D715ED" w:rsidRPr="00AC7FD5" w:rsidRDefault="00D715ED" w:rsidP="00B42B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BE7943" w14:paraId="5002786A" w14:textId="77777777" w:rsidTr="00E94DE0">
      <w:tc>
        <w:tcPr>
          <w:tcW w:w="6418" w:type="dxa"/>
          <w:vAlign w:val="center"/>
        </w:tcPr>
        <w:p w14:paraId="495A9CB6" w14:textId="503A78BA" w:rsidR="00BE7943" w:rsidRPr="0045477F" w:rsidRDefault="00BE7943" w:rsidP="00B42BC5">
          <w:pPr>
            <w:pStyle w:val="Header"/>
          </w:pPr>
          <w:r w:rsidRPr="0045477F">
            <w:t xml:space="preserve">STPR2 SEA </w:t>
          </w:r>
          <w:r w:rsidR="009E1EEB">
            <w:t xml:space="preserve">Final </w:t>
          </w:r>
          <w:r w:rsidRPr="0045477F">
            <w:t>Environmental Report</w:t>
          </w:r>
        </w:p>
      </w:tc>
      <w:tc>
        <w:tcPr>
          <w:tcW w:w="3210" w:type="dxa"/>
        </w:tcPr>
        <w:p w14:paraId="343AD4CC" w14:textId="77777777" w:rsidR="00BE7943" w:rsidRDefault="00BE7943" w:rsidP="00B42BC5">
          <w:pPr>
            <w:pStyle w:val="Header"/>
          </w:pPr>
          <w:r>
            <w:rPr>
              <w:noProof/>
            </w:rPr>
            <w:drawing>
              <wp:anchor distT="0" distB="0" distL="114300" distR="114300" simplePos="0" relativeHeight="251658243" behindDoc="0" locked="0" layoutInCell="1" allowOverlap="1" wp14:anchorId="66C6974F" wp14:editId="6BA7AA42">
                <wp:simplePos x="4797631" y="285008"/>
                <wp:positionH relativeFrom="margin">
                  <wp:align>right</wp:align>
                </wp:positionH>
                <wp:positionV relativeFrom="margin">
                  <wp:align>top</wp:align>
                </wp:positionV>
                <wp:extent cx="1481513" cy="648203"/>
                <wp:effectExtent l="0" t="0" r="4445" b="0"/>
                <wp:wrapSquare wrapText="bothSides"/>
                <wp:docPr id="2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481513" cy="648203"/>
                        </a:xfrm>
                        <a:prstGeom prst="rect">
                          <a:avLst/>
                        </a:prstGeom>
                        <a:ln>
                          <a:noFill/>
                        </a:ln>
                        <a:extLst>
                          <a:ext uri="{53640926-AAD7-44D8-BBD7-CCE9431645EC}">
                            <a14:shadowObscured xmlns:a14="http://schemas.microsoft.com/office/drawing/2010/main"/>
                          </a:ext>
                        </a:extLst>
                      </pic:spPr>
                    </pic:pic>
                  </a:graphicData>
                </a:graphic>
              </wp:anchor>
            </w:drawing>
          </w:r>
        </w:p>
      </w:tc>
    </w:tr>
  </w:tbl>
  <w:p w14:paraId="09D26057" w14:textId="77777777" w:rsidR="00BE7943" w:rsidRPr="00AC7FD5" w:rsidRDefault="00BE7943" w:rsidP="00B42BC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BE7943" w:rsidRPr="00307E47" w:rsidRDefault="00BE7943" w:rsidP="0045477F">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hybridMultilevel"/>
    <w:tmpl w:val="14789294"/>
    <w:lvl w:ilvl="0" w:tplc="BCA2200C">
      <w:start w:val="1"/>
      <w:numFmt w:val="bullet"/>
      <w:lvlText w:val=""/>
      <w:lvlJc w:val="left"/>
      <w:pPr>
        <w:tabs>
          <w:tab w:val="num" w:pos="360"/>
        </w:tabs>
        <w:ind w:left="360" w:hanging="360"/>
      </w:pPr>
      <w:rPr>
        <w:rFonts w:ascii="Times New Roman" w:hAnsi="Times New Roman" w:hint="default"/>
      </w:rPr>
    </w:lvl>
    <w:lvl w:ilvl="1" w:tplc="DA5811A8">
      <w:numFmt w:val="decimal"/>
      <w:lvlText w:val=""/>
      <w:lvlJc w:val="left"/>
    </w:lvl>
    <w:lvl w:ilvl="2" w:tplc="BCDE2BBC">
      <w:numFmt w:val="decimal"/>
      <w:lvlText w:val=""/>
      <w:lvlJc w:val="left"/>
    </w:lvl>
    <w:lvl w:ilvl="3" w:tplc="3E26C690">
      <w:numFmt w:val="decimal"/>
      <w:lvlText w:val=""/>
      <w:lvlJc w:val="left"/>
    </w:lvl>
    <w:lvl w:ilvl="4" w:tplc="2DB49C04">
      <w:numFmt w:val="decimal"/>
      <w:lvlText w:val=""/>
      <w:lvlJc w:val="left"/>
    </w:lvl>
    <w:lvl w:ilvl="5" w:tplc="B960478E">
      <w:numFmt w:val="decimal"/>
      <w:lvlText w:val=""/>
      <w:lvlJc w:val="left"/>
    </w:lvl>
    <w:lvl w:ilvl="6" w:tplc="8820996A">
      <w:numFmt w:val="decimal"/>
      <w:lvlText w:val=""/>
      <w:lvlJc w:val="left"/>
    </w:lvl>
    <w:lvl w:ilvl="7" w:tplc="F71A51FE">
      <w:numFmt w:val="decimal"/>
      <w:lvlText w:val=""/>
      <w:lvlJc w:val="left"/>
    </w:lvl>
    <w:lvl w:ilvl="8" w:tplc="E514ACC4">
      <w:numFmt w:val="decimal"/>
      <w:lvlText w:val=""/>
      <w:lvlJc w:val="left"/>
    </w:lvl>
  </w:abstractNum>
  <w:abstractNum w:abstractNumId="1"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93DB0"/>
    <w:multiLevelType w:val="multilevel"/>
    <w:tmpl w:val="88384676"/>
    <w:lvl w:ilvl="0">
      <w:start w:val="1"/>
      <w:numFmt w:val="decimal"/>
      <w:pStyle w:val="STPR2Heading1"/>
      <w:lvlText w:val="%1."/>
      <w:lvlJc w:val="left"/>
      <w:pPr>
        <w:ind w:left="360" w:hanging="360"/>
      </w:pPr>
    </w:lvl>
    <w:lvl w:ilvl="1">
      <w:start w:val="1"/>
      <w:numFmt w:val="decimal"/>
      <w:pStyle w:val="STPR2Heading2"/>
      <w:lvlText w:val="%1.%2."/>
      <w:lvlJc w:val="left"/>
      <w:pPr>
        <w:ind w:left="792" w:hanging="432"/>
      </w:pPr>
      <w:rPr>
        <w:color w:val="626266"/>
        <w:sz w:val="28"/>
        <w:szCs w:val="28"/>
      </w:rPr>
    </w:lvl>
    <w:lvl w:ilvl="2">
      <w:start w:val="1"/>
      <w:numFmt w:val="decimal"/>
      <w:pStyle w:val="STPR2Heading3"/>
      <w:lvlText w:val="%1.%2.%3."/>
      <w:lvlJc w:val="left"/>
      <w:pPr>
        <w:ind w:left="1224" w:hanging="504"/>
      </w:pPr>
      <w:rPr>
        <w:color w:val="626266"/>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4E4FCC"/>
    <w:multiLevelType w:val="hybridMultilevel"/>
    <w:tmpl w:val="8F5C3E8E"/>
    <w:styleLink w:val="JacobsBulletList1"/>
    <w:lvl w:ilvl="0" w:tplc="FC920EC0">
      <w:start w:val="1"/>
      <w:numFmt w:val="bullet"/>
      <w:pStyle w:val="Para0bullet"/>
      <w:lvlText w:val=""/>
      <w:lvlJc w:val="left"/>
      <w:pPr>
        <w:ind w:left="425" w:hanging="425"/>
      </w:pPr>
      <w:rPr>
        <w:rFonts w:ascii="Symbol" w:hAnsi="Symbol" w:hint="default"/>
        <w:color w:val="auto"/>
        <w:sz w:val="18"/>
      </w:rPr>
    </w:lvl>
    <w:lvl w:ilvl="1" w:tplc="5352CF9C">
      <w:start w:val="1"/>
      <w:numFmt w:val="bullet"/>
      <w:pStyle w:val="Para1narrowarrow"/>
      <w:lvlText w:val="-"/>
      <w:lvlJc w:val="left"/>
      <w:pPr>
        <w:ind w:left="851" w:hanging="426"/>
      </w:pPr>
      <w:rPr>
        <w:rFonts w:ascii="Arial" w:hAnsi="Arial" w:hint="default"/>
        <w:color w:val="000000" w:themeColor="text1"/>
        <w:sz w:val="18"/>
      </w:rPr>
    </w:lvl>
    <w:lvl w:ilvl="2" w:tplc="44FCC6DA">
      <w:start w:val="1"/>
      <w:numFmt w:val="none"/>
      <w:lvlRestart w:val="0"/>
      <w:lvlText w:val=""/>
      <w:lvlJc w:val="left"/>
      <w:pPr>
        <w:ind w:left="851" w:hanging="426"/>
      </w:pPr>
      <w:rPr>
        <w:rFonts w:hint="default"/>
      </w:rPr>
    </w:lvl>
    <w:lvl w:ilvl="3" w:tplc="12546396">
      <w:start w:val="1"/>
      <w:numFmt w:val="none"/>
      <w:lvlRestart w:val="0"/>
      <w:lvlText w:val=""/>
      <w:lvlJc w:val="left"/>
      <w:pPr>
        <w:ind w:left="851" w:hanging="426"/>
      </w:pPr>
      <w:rPr>
        <w:rFonts w:hint="default"/>
      </w:rPr>
    </w:lvl>
    <w:lvl w:ilvl="4" w:tplc="D05862EA">
      <w:start w:val="1"/>
      <w:numFmt w:val="none"/>
      <w:lvlRestart w:val="0"/>
      <w:lvlText w:val=""/>
      <w:lvlJc w:val="left"/>
      <w:pPr>
        <w:ind w:left="851" w:hanging="426"/>
      </w:pPr>
      <w:rPr>
        <w:rFonts w:hint="default"/>
      </w:rPr>
    </w:lvl>
    <w:lvl w:ilvl="5" w:tplc="4A6C5E82">
      <w:start w:val="1"/>
      <w:numFmt w:val="none"/>
      <w:lvlRestart w:val="0"/>
      <w:lvlText w:val=""/>
      <w:lvlJc w:val="left"/>
      <w:pPr>
        <w:ind w:left="851" w:hanging="426"/>
      </w:pPr>
      <w:rPr>
        <w:rFonts w:hint="default"/>
      </w:rPr>
    </w:lvl>
    <w:lvl w:ilvl="6" w:tplc="F7E6FE7A">
      <w:start w:val="1"/>
      <w:numFmt w:val="none"/>
      <w:lvlRestart w:val="0"/>
      <w:lvlText w:val=""/>
      <w:lvlJc w:val="left"/>
      <w:pPr>
        <w:ind w:left="851" w:hanging="426"/>
      </w:pPr>
      <w:rPr>
        <w:rFonts w:hint="default"/>
      </w:rPr>
    </w:lvl>
    <w:lvl w:ilvl="7" w:tplc="165C2294">
      <w:start w:val="1"/>
      <w:numFmt w:val="none"/>
      <w:lvlRestart w:val="0"/>
      <w:lvlText w:val=""/>
      <w:lvlJc w:val="left"/>
      <w:pPr>
        <w:ind w:left="851" w:hanging="426"/>
      </w:pPr>
      <w:rPr>
        <w:rFonts w:hint="default"/>
      </w:rPr>
    </w:lvl>
    <w:lvl w:ilvl="8" w:tplc="E7568D36">
      <w:start w:val="1"/>
      <w:numFmt w:val="none"/>
      <w:lvlRestart w:val="0"/>
      <w:lvlText w:val=""/>
      <w:lvlJc w:val="left"/>
      <w:pPr>
        <w:ind w:left="851" w:hanging="426"/>
      </w:pPr>
      <w:rPr>
        <w:rFonts w:hint="default"/>
      </w:rPr>
    </w:lvl>
  </w:abstractNum>
  <w:abstractNum w:abstractNumId="4" w15:restartNumberingAfterBreak="0">
    <w:nsid w:val="14756F3F"/>
    <w:multiLevelType w:val="hybridMultilevel"/>
    <w:tmpl w:val="004EF8C4"/>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946A14"/>
    <w:multiLevelType w:val="hybridMultilevel"/>
    <w:tmpl w:val="00E48E90"/>
    <w:lvl w:ilvl="0" w:tplc="B8BA5D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Arial" w:hAnsi="Arial" w:hint="default"/>
      </w:rPr>
    </w:lvl>
  </w:abstractNum>
  <w:abstractNum w:abstractNumId="6" w15:restartNumberingAfterBreak="0">
    <w:nsid w:val="28811B0F"/>
    <w:multiLevelType w:val="hybridMultilevel"/>
    <w:tmpl w:val="15F0F098"/>
    <w:lvl w:ilvl="0" w:tplc="E4E4AAD6">
      <w:start w:val="1"/>
      <w:numFmt w:val="bullet"/>
      <w:pStyle w:val="BulletLeve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Arial" w:hAnsi="Arial" w:hint="default"/>
      </w:rPr>
    </w:lvl>
  </w:abstractNum>
  <w:abstractNum w:abstractNumId="7" w15:restartNumberingAfterBreak="0">
    <w:nsid w:val="2B9249F9"/>
    <w:multiLevelType w:val="hybridMultilevel"/>
    <w:tmpl w:val="14F681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Arial" w:hAnsi="Arial" w:hint="default"/>
      </w:rPr>
    </w:lvl>
  </w:abstractNum>
  <w:abstractNum w:abstractNumId="8" w15:restartNumberingAfterBreak="0">
    <w:nsid w:val="3754570F"/>
    <w:multiLevelType w:val="multilevel"/>
    <w:tmpl w:val="06322676"/>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9" w15:restartNumberingAfterBreak="0">
    <w:nsid w:val="3A5F1748"/>
    <w:multiLevelType w:val="multilevel"/>
    <w:tmpl w:val="EED06878"/>
    <w:lvl w:ilvl="0">
      <w:start w:val="1"/>
      <w:numFmt w:val="decimal"/>
      <w:pStyle w:val="Table2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C42680A"/>
    <w:multiLevelType w:val="hybridMultilevel"/>
    <w:tmpl w:val="D846A3F6"/>
    <w:lvl w:ilvl="0" w:tplc="89923A2E">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2" w15:restartNumberingAfterBreak="0">
    <w:nsid w:val="47443188"/>
    <w:multiLevelType w:val="hybridMultilevel"/>
    <w:tmpl w:val="6270B8B6"/>
    <w:lvl w:ilvl="0" w:tplc="A596F742">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B961BB"/>
    <w:multiLevelType w:val="hybridMultilevel"/>
    <w:tmpl w:val="9280AB9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4FE83D05"/>
    <w:multiLevelType w:val="hybridMultilevel"/>
    <w:tmpl w:val="8EB2C5D6"/>
    <w:lvl w:ilvl="0" w:tplc="4EBE3FF4">
      <w:start w:val="1"/>
      <w:numFmt w:val="bullet"/>
      <w:pStyle w:val="Report-Bulleted1"/>
      <w:lvlText w:val=""/>
      <w:lvlJc w:val="left"/>
      <w:pPr>
        <w:ind w:left="1069" w:hanging="360"/>
      </w:pPr>
      <w:rPr>
        <w:rFonts w:ascii="Symbol" w:hAnsi="Symbol" w:hint="default"/>
      </w:rPr>
    </w:lvl>
    <w:lvl w:ilvl="1" w:tplc="08090003">
      <w:start w:val="1"/>
      <w:numFmt w:val="bullet"/>
      <w:lvlText w:val="o"/>
      <w:lvlJc w:val="left"/>
      <w:pPr>
        <w:ind w:left="1440" w:hanging="360"/>
      </w:pPr>
      <w:rPr>
        <w:rFonts w:ascii="Arial" w:hAnsi="Arial" w:cs="Arial" w:hint="default"/>
      </w:rPr>
    </w:lvl>
    <w:lvl w:ilvl="2" w:tplc="08090005">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Arial" w:hAnsi="Arial" w:cs="Arial" w:hint="default"/>
      </w:rPr>
    </w:lvl>
    <w:lvl w:ilvl="5" w:tplc="08090005" w:tentative="1">
      <w:start w:val="1"/>
      <w:numFmt w:val="bullet"/>
      <w:lvlText w:val=""/>
      <w:lvlJc w:val="left"/>
      <w:pPr>
        <w:ind w:left="4320" w:hanging="360"/>
      </w:pPr>
      <w:rPr>
        <w:rFonts w:ascii="Arial" w:hAnsi="Arial"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Arial" w:hAnsi="Arial" w:cs="Arial" w:hint="default"/>
      </w:rPr>
    </w:lvl>
    <w:lvl w:ilvl="8" w:tplc="08090005" w:tentative="1">
      <w:start w:val="1"/>
      <w:numFmt w:val="bullet"/>
      <w:lvlText w:val=""/>
      <w:lvlJc w:val="left"/>
      <w:pPr>
        <w:ind w:left="6480" w:hanging="360"/>
      </w:pPr>
      <w:rPr>
        <w:rFonts w:ascii="Arial" w:hAnsi="Arial" w:hint="default"/>
      </w:rPr>
    </w:lvl>
  </w:abstractNum>
  <w:abstractNum w:abstractNumId="15" w15:restartNumberingAfterBreak="0">
    <w:nsid w:val="558E7E8B"/>
    <w:multiLevelType w:val="hybridMultilevel"/>
    <w:tmpl w:val="53E61E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CE0FB8"/>
    <w:multiLevelType w:val="multilevel"/>
    <w:tmpl w:val="E73EB6EE"/>
    <w:lvl w:ilvl="0">
      <w:start w:val="1"/>
      <w:numFmt w:val="decimal"/>
      <w:pStyle w:val="Report-Heading1"/>
      <w:lvlText w:val="%1"/>
      <w:lvlJc w:val="left"/>
      <w:pPr>
        <w:ind w:left="851" w:hanging="851"/>
      </w:pPr>
      <w:rPr>
        <w:rFonts w:hint="default"/>
      </w:rPr>
    </w:lvl>
    <w:lvl w:ilvl="1">
      <w:start w:val="1"/>
      <w:numFmt w:val="decimal"/>
      <w:pStyle w:val="Report-Heading2"/>
      <w:lvlText w:val="%1.%2"/>
      <w:lvlJc w:val="left"/>
      <w:pPr>
        <w:ind w:left="851" w:hanging="851"/>
      </w:pPr>
      <w:rPr>
        <w:rFonts w:hint="default"/>
      </w:rPr>
    </w:lvl>
    <w:lvl w:ilvl="2">
      <w:start w:val="1"/>
      <w:numFmt w:val="decimal"/>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eport-FiguresDescription"/>
      <w:lvlText w:val="Figure %1.%4"/>
      <w:lvlJc w:val="left"/>
      <w:pPr>
        <w:ind w:left="851" w:hanging="851"/>
      </w:pPr>
      <w:rPr>
        <w:rFonts w:hint="default"/>
      </w:rPr>
    </w:lvl>
    <w:lvl w:ilvl="4">
      <w:start w:val="1"/>
      <w:numFmt w:val="decimal"/>
      <w:pStyle w:val="Report-TablesDescription"/>
      <w:lvlText w:val="Table %1.%5"/>
      <w:lvlJc w:val="left"/>
      <w:pPr>
        <w:ind w:left="851" w:hanging="851"/>
      </w:pPr>
      <w:rPr>
        <w:rFonts w:hint="default"/>
        <w:color w:val="auto"/>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7" w15:restartNumberingAfterBreak="0">
    <w:nsid w:val="63630787"/>
    <w:multiLevelType w:val="hybridMultilevel"/>
    <w:tmpl w:val="FC6C6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0A7289"/>
    <w:multiLevelType w:val="hybridMultilevel"/>
    <w:tmpl w:val="74A0B8FC"/>
    <w:lvl w:ilvl="0" w:tplc="B76AD4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EFE498B"/>
    <w:multiLevelType w:val="multilevel"/>
    <w:tmpl w:val="1536062C"/>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Arial" w:hAnsi="Arial" w:hint="default"/>
        <w:color w:val="auto"/>
      </w:rPr>
    </w:lvl>
    <w:lvl w:ilvl="2">
      <w:start w:val="1"/>
      <w:numFmt w:val="bullet"/>
      <w:pStyle w:val="ListBullet3"/>
      <w:lvlText w:val=""/>
      <w:lvlJc w:val="left"/>
      <w:pPr>
        <w:tabs>
          <w:tab w:val="num" w:pos="1276"/>
        </w:tabs>
        <w:ind w:left="1275" w:hanging="425"/>
      </w:pPr>
      <w:rPr>
        <w:rFonts w:ascii="Arial" w:hAnsi="Arial"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color w:val="auto"/>
      </w:rPr>
    </w:lvl>
    <w:lvl w:ilvl="5">
      <w:start w:val="1"/>
      <w:numFmt w:val="bullet"/>
      <w:lvlText w:val=""/>
      <w:lvlJc w:val="left"/>
      <w:pPr>
        <w:tabs>
          <w:tab w:val="num" w:pos="2346"/>
        </w:tabs>
        <w:ind w:left="2550" w:hanging="425"/>
      </w:pPr>
      <w:rPr>
        <w:rFonts w:ascii="Arial" w:hAnsi="Arial"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Arial" w:hAnsi="Arial" w:hint="default"/>
        <w:color w:val="auto"/>
      </w:rPr>
    </w:lvl>
    <w:lvl w:ilvl="8">
      <w:start w:val="1"/>
      <w:numFmt w:val="bullet"/>
      <w:lvlText w:val=""/>
      <w:lvlJc w:val="left"/>
      <w:pPr>
        <w:tabs>
          <w:tab w:val="num" w:pos="3198"/>
        </w:tabs>
        <w:ind w:left="3825" w:hanging="425"/>
      </w:pPr>
      <w:rPr>
        <w:rFonts w:ascii="Arial" w:hAnsi="Arial" w:hint="default"/>
      </w:rPr>
    </w:lvl>
  </w:abstractNum>
  <w:abstractNum w:abstractNumId="20" w15:restartNumberingAfterBreak="0">
    <w:nsid w:val="710C2213"/>
    <w:multiLevelType w:val="hybridMultilevel"/>
    <w:tmpl w:val="E154171C"/>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A14F1D"/>
    <w:multiLevelType w:val="hybridMultilevel"/>
    <w:tmpl w:val="3140BA90"/>
    <w:lvl w:ilvl="0" w:tplc="44FE2A70">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4"/>
  </w:num>
  <w:num w:numId="4">
    <w:abstractNumId w:val="9"/>
  </w:num>
  <w:num w:numId="5">
    <w:abstractNumId w:val="3"/>
  </w:num>
  <w:num w:numId="6">
    <w:abstractNumId w:val="19"/>
  </w:num>
  <w:num w:numId="7">
    <w:abstractNumId w:val="10"/>
  </w:num>
  <w:num w:numId="8">
    <w:abstractNumId w:val="5"/>
  </w:num>
  <w:num w:numId="9">
    <w:abstractNumId w:val="7"/>
  </w:num>
  <w:num w:numId="10">
    <w:abstractNumId w:val="8"/>
  </w:num>
  <w:num w:numId="11">
    <w:abstractNumId w:val="12"/>
  </w:num>
  <w:num w:numId="12">
    <w:abstractNumId w:val="13"/>
  </w:num>
  <w:num w:numId="13">
    <w:abstractNumId w:val="20"/>
  </w:num>
  <w:num w:numId="14">
    <w:abstractNumId w:val="4"/>
  </w:num>
  <w:num w:numId="15">
    <w:abstractNumId w:val="21"/>
  </w:num>
  <w:num w:numId="16">
    <w:abstractNumId w:val="1"/>
  </w:num>
  <w:num w:numId="17">
    <w:abstractNumId w:val="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2"/>
  </w:num>
  <w:num w:numId="25">
    <w:abstractNumId w:val="2"/>
  </w:num>
  <w:num w:numId="26">
    <w:abstractNumId w:val="12"/>
  </w:num>
  <w:num w:numId="27">
    <w:abstractNumId w:val="2"/>
  </w:num>
  <w:num w:numId="28">
    <w:abstractNumId w:val="2"/>
  </w:num>
  <w:num w:numId="29">
    <w:abstractNumId w:val="2"/>
  </w:num>
  <w:num w:numId="30">
    <w:abstractNumId w:val="2"/>
  </w:num>
  <w:num w:numId="31">
    <w:abstractNumId w:val="11"/>
  </w:num>
  <w:num w:numId="32">
    <w:abstractNumId w:val="12"/>
  </w:num>
  <w:num w:numId="33">
    <w:abstractNumId w:val="12"/>
  </w:num>
  <w:num w:numId="34">
    <w:abstractNumId w:val="12"/>
  </w:num>
  <w:num w:numId="35">
    <w:abstractNumId w:val="12"/>
  </w:num>
  <w:num w:numId="36">
    <w:abstractNumId w:val="2"/>
  </w:num>
  <w:num w:numId="37">
    <w:abstractNumId w:val="2"/>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12"/>
  </w:num>
  <w:num w:numId="41">
    <w:abstractNumId w:val="12"/>
  </w:num>
  <w:num w:numId="42">
    <w:abstractNumId w:val="12"/>
  </w:num>
  <w:num w:numId="43">
    <w:abstractNumId w:val="12"/>
  </w:num>
  <w:num w:numId="44">
    <w:abstractNumId w:val="12"/>
  </w:num>
  <w:num w:numId="45">
    <w:abstractNumId w:val="0"/>
  </w:num>
  <w:num w:numId="46">
    <w:abstractNumId w:val="15"/>
  </w:num>
  <w:num w:numId="47">
    <w:abstractNumId w:val="18"/>
  </w:num>
  <w:num w:numId="48">
    <w:abstractNumId w:val="17"/>
  </w:num>
  <w:num w:numId="49">
    <w:abstractNumId w:val="12"/>
  </w:num>
  <w:num w:numId="5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316"/>
    <w:rsid w:val="0000038D"/>
    <w:rsid w:val="0000045C"/>
    <w:rsid w:val="000004D9"/>
    <w:rsid w:val="0000075E"/>
    <w:rsid w:val="00000EE3"/>
    <w:rsid w:val="000012E0"/>
    <w:rsid w:val="0000164F"/>
    <w:rsid w:val="00001AD8"/>
    <w:rsid w:val="00001E2D"/>
    <w:rsid w:val="00001F2D"/>
    <w:rsid w:val="000027F8"/>
    <w:rsid w:val="0000289D"/>
    <w:rsid w:val="00003249"/>
    <w:rsid w:val="00003702"/>
    <w:rsid w:val="00003847"/>
    <w:rsid w:val="00003888"/>
    <w:rsid w:val="00003E74"/>
    <w:rsid w:val="00003EB1"/>
    <w:rsid w:val="00003F44"/>
    <w:rsid w:val="00004232"/>
    <w:rsid w:val="0000470B"/>
    <w:rsid w:val="0000487A"/>
    <w:rsid w:val="000048B1"/>
    <w:rsid w:val="00004992"/>
    <w:rsid w:val="00004BB6"/>
    <w:rsid w:val="00004C37"/>
    <w:rsid w:val="00004C74"/>
    <w:rsid w:val="00004FD9"/>
    <w:rsid w:val="00005056"/>
    <w:rsid w:val="000053F3"/>
    <w:rsid w:val="000055DB"/>
    <w:rsid w:val="00005961"/>
    <w:rsid w:val="00005BBF"/>
    <w:rsid w:val="00005FD6"/>
    <w:rsid w:val="00005FEF"/>
    <w:rsid w:val="000064CD"/>
    <w:rsid w:val="000068CC"/>
    <w:rsid w:val="00006A12"/>
    <w:rsid w:val="00006C02"/>
    <w:rsid w:val="00006C7F"/>
    <w:rsid w:val="00006FED"/>
    <w:rsid w:val="00007210"/>
    <w:rsid w:val="00007931"/>
    <w:rsid w:val="00007E66"/>
    <w:rsid w:val="00007FF0"/>
    <w:rsid w:val="000106EB"/>
    <w:rsid w:val="00010F5D"/>
    <w:rsid w:val="0001170F"/>
    <w:rsid w:val="0001186E"/>
    <w:rsid w:val="00011B7E"/>
    <w:rsid w:val="00011F11"/>
    <w:rsid w:val="00011FBD"/>
    <w:rsid w:val="000126CE"/>
    <w:rsid w:val="00013503"/>
    <w:rsid w:val="000136CC"/>
    <w:rsid w:val="000137CD"/>
    <w:rsid w:val="000138E5"/>
    <w:rsid w:val="00013A94"/>
    <w:rsid w:val="00013C0F"/>
    <w:rsid w:val="00013D3E"/>
    <w:rsid w:val="000144C4"/>
    <w:rsid w:val="00014C58"/>
    <w:rsid w:val="0001501C"/>
    <w:rsid w:val="00015973"/>
    <w:rsid w:val="00015E0B"/>
    <w:rsid w:val="00016094"/>
    <w:rsid w:val="000165AB"/>
    <w:rsid w:val="00016A17"/>
    <w:rsid w:val="00016C87"/>
    <w:rsid w:val="00016FF0"/>
    <w:rsid w:val="000175B5"/>
    <w:rsid w:val="000179E3"/>
    <w:rsid w:val="00017B77"/>
    <w:rsid w:val="00017FC5"/>
    <w:rsid w:val="00017FCA"/>
    <w:rsid w:val="00020084"/>
    <w:rsid w:val="000206C6"/>
    <w:rsid w:val="00020A4F"/>
    <w:rsid w:val="00020B35"/>
    <w:rsid w:val="00021769"/>
    <w:rsid w:val="000217E6"/>
    <w:rsid w:val="000222EF"/>
    <w:rsid w:val="00022310"/>
    <w:rsid w:val="00022437"/>
    <w:rsid w:val="00022450"/>
    <w:rsid w:val="000225BE"/>
    <w:rsid w:val="000226F5"/>
    <w:rsid w:val="00023587"/>
    <w:rsid w:val="0002377B"/>
    <w:rsid w:val="0002396D"/>
    <w:rsid w:val="00023BA7"/>
    <w:rsid w:val="00023FD3"/>
    <w:rsid w:val="00024227"/>
    <w:rsid w:val="00024427"/>
    <w:rsid w:val="00024448"/>
    <w:rsid w:val="000244C7"/>
    <w:rsid w:val="000247CC"/>
    <w:rsid w:val="00024C0D"/>
    <w:rsid w:val="00025250"/>
    <w:rsid w:val="000258F9"/>
    <w:rsid w:val="00025967"/>
    <w:rsid w:val="00025EA5"/>
    <w:rsid w:val="00026495"/>
    <w:rsid w:val="00026815"/>
    <w:rsid w:val="000269F6"/>
    <w:rsid w:val="00026BB5"/>
    <w:rsid w:val="00026C6A"/>
    <w:rsid w:val="00027A4F"/>
    <w:rsid w:val="00027EEF"/>
    <w:rsid w:val="00030A16"/>
    <w:rsid w:val="00030A9F"/>
    <w:rsid w:val="00030EFE"/>
    <w:rsid w:val="00031080"/>
    <w:rsid w:val="00031756"/>
    <w:rsid w:val="00031959"/>
    <w:rsid w:val="00031CB2"/>
    <w:rsid w:val="00031E2F"/>
    <w:rsid w:val="00031F70"/>
    <w:rsid w:val="00032045"/>
    <w:rsid w:val="00032129"/>
    <w:rsid w:val="00032486"/>
    <w:rsid w:val="000329D0"/>
    <w:rsid w:val="00032F26"/>
    <w:rsid w:val="0003327D"/>
    <w:rsid w:val="000336A1"/>
    <w:rsid w:val="00033E33"/>
    <w:rsid w:val="000340C1"/>
    <w:rsid w:val="00034539"/>
    <w:rsid w:val="00034BB5"/>
    <w:rsid w:val="00034EA5"/>
    <w:rsid w:val="00034F5B"/>
    <w:rsid w:val="0003531F"/>
    <w:rsid w:val="000359D7"/>
    <w:rsid w:val="00035E2E"/>
    <w:rsid w:val="00036189"/>
    <w:rsid w:val="0003623B"/>
    <w:rsid w:val="000363ED"/>
    <w:rsid w:val="000366F5"/>
    <w:rsid w:val="00036AD7"/>
    <w:rsid w:val="00036C90"/>
    <w:rsid w:val="00036CE1"/>
    <w:rsid w:val="00036F8A"/>
    <w:rsid w:val="0003762C"/>
    <w:rsid w:val="00037675"/>
    <w:rsid w:val="000379A1"/>
    <w:rsid w:val="000406FF"/>
    <w:rsid w:val="00040C9C"/>
    <w:rsid w:val="00040DDD"/>
    <w:rsid w:val="00041219"/>
    <w:rsid w:val="00041D80"/>
    <w:rsid w:val="00041E6D"/>
    <w:rsid w:val="00041F07"/>
    <w:rsid w:val="00041F86"/>
    <w:rsid w:val="00042200"/>
    <w:rsid w:val="00042619"/>
    <w:rsid w:val="00042890"/>
    <w:rsid w:val="00042D79"/>
    <w:rsid w:val="00042D96"/>
    <w:rsid w:val="00042DFF"/>
    <w:rsid w:val="00042F16"/>
    <w:rsid w:val="00043480"/>
    <w:rsid w:val="00043747"/>
    <w:rsid w:val="0004387F"/>
    <w:rsid w:val="00043BCB"/>
    <w:rsid w:val="00043F8D"/>
    <w:rsid w:val="0004407B"/>
    <w:rsid w:val="00044382"/>
    <w:rsid w:val="0004458E"/>
    <w:rsid w:val="0004471F"/>
    <w:rsid w:val="00044C3E"/>
    <w:rsid w:val="00044FCB"/>
    <w:rsid w:val="00045985"/>
    <w:rsid w:val="00045C70"/>
    <w:rsid w:val="00045D3E"/>
    <w:rsid w:val="00045E8C"/>
    <w:rsid w:val="00045F7B"/>
    <w:rsid w:val="00046017"/>
    <w:rsid w:val="00046612"/>
    <w:rsid w:val="000466CA"/>
    <w:rsid w:val="0004689B"/>
    <w:rsid w:val="00046963"/>
    <w:rsid w:val="00046DC5"/>
    <w:rsid w:val="000472D7"/>
    <w:rsid w:val="000473F2"/>
    <w:rsid w:val="00047418"/>
    <w:rsid w:val="000475FD"/>
    <w:rsid w:val="000478E1"/>
    <w:rsid w:val="00047C67"/>
    <w:rsid w:val="00047D73"/>
    <w:rsid w:val="00050351"/>
    <w:rsid w:val="000504FD"/>
    <w:rsid w:val="00050640"/>
    <w:rsid w:val="00050A15"/>
    <w:rsid w:val="00050A51"/>
    <w:rsid w:val="0005124E"/>
    <w:rsid w:val="000512E1"/>
    <w:rsid w:val="000514D1"/>
    <w:rsid w:val="000516E1"/>
    <w:rsid w:val="00051D4D"/>
    <w:rsid w:val="00052002"/>
    <w:rsid w:val="000520B8"/>
    <w:rsid w:val="000521EF"/>
    <w:rsid w:val="000529F3"/>
    <w:rsid w:val="00052DE9"/>
    <w:rsid w:val="000533D5"/>
    <w:rsid w:val="000534FD"/>
    <w:rsid w:val="000535BB"/>
    <w:rsid w:val="000538F7"/>
    <w:rsid w:val="00053928"/>
    <w:rsid w:val="00053A14"/>
    <w:rsid w:val="00053C94"/>
    <w:rsid w:val="000542E1"/>
    <w:rsid w:val="000544A8"/>
    <w:rsid w:val="00054C0D"/>
    <w:rsid w:val="00054C19"/>
    <w:rsid w:val="00054D8E"/>
    <w:rsid w:val="000551EB"/>
    <w:rsid w:val="000554A5"/>
    <w:rsid w:val="00055FA3"/>
    <w:rsid w:val="0005658D"/>
    <w:rsid w:val="000567A4"/>
    <w:rsid w:val="00056867"/>
    <w:rsid w:val="00056A09"/>
    <w:rsid w:val="00056C4A"/>
    <w:rsid w:val="00056DED"/>
    <w:rsid w:val="00056E82"/>
    <w:rsid w:val="0005727C"/>
    <w:rsid w:val="000572A3"/>
    <w:rsid w:val="00057452"/>
    <w:rsid w:val="000574B3"/>
    <w:rsid w:val="00057B0E"/>
    <w:rsid w:val="00057C51"/>
    <w:rsid w:val="00057D8D"/>
    <w:rsid w:val="00057E91"/>
    <w:rsid w:val="00057EB9"/>
    <w:rsid w:val="000600CF"/>
    <w:rsid w:val="000601CE"/>
    <w:rsid w:val="00060B66"/>
    <w:rsid w:val="00060DB2"/>
    <w:rsid w:val="00060F44"/>
    <w:rsid w:val="000612AE"/>
    <w:rsid w:val="00061507"/>
    <w:rsid w:val="000618CB"/>
    <w:rsid w:val="0006192D"/>
    <w:rsid w:val="00061A33"/>
    <w:rsid w:val="00062701"/>
    <w:rsid w:val="00062C1B"/>
    <w:rsid w:val="00062E75"/>
    <w:rsid w:val="0006335B"/>
    <w:rsid w:val="0006369A"/>
    <w:rsid w:val="00063908"/>
    <w:rsid w:val="0006480D"/>
    <w:rsid w:val="00064F5E"/>
    <w:rsid w:val="00065129"/>
    <w:rsid w:val="000654A1"/>
    <w:rsid w:val="00065780"/>
    <w:rsid w:val="000658F4"/>
    <w:rsid w:val="00066200"/>
    <w:rsid w:val="00066C64"/>
    <w:rsid w:val="00067AA9"/>
    <w:rsid w:val="00067BC6"/>
    <w:rsid w:val="00067CE9"/>
    <w:rsid w:val="00067D7A"/>
    <w:rsid w:val="000700AB"/>
    <w:rsid w:val="00070247"/>
    <w:rsid w:val="00070BFC"/>
    <w:rsid w:val="00070DA3"/>
    <w:rsid w:val="0007145D"/>
    <w:rsid w:val="0007159C"/>
    <w:rsid w:val="00071B6F"/>
    <w:rsid w:val="00071D9F"/>
    <w:rsid w:val="0007288D"/>
    <w:rsid w:val="0007297C"/>
    <w:rsid w:val="00072AEF"/>
    <w:rsid w:val="000737C8"/>
    <w:rsid w:val="00073D5F"/>
    <w:rsid w:val="00073EFC"/>
    <w:rsid w:val="000741A6"/>
    <w:rsid w:val="00074AE9"/>
    <w:rsid w:val="00074FDC"/>
    <w:rsid w:val="00075485"/>
    <w:rsid w:val="0007670D"/>
    <w:rsid w:val="000767CF"/>
    <w:rsid w:val="00076972"/>
    <w:rsid w:val="00076C0D"/>
    <w:rsid w:val="00077206"/>
    <w:rsid w:val="000775EA"/>
    <w:rsid w:val="00077916"/>
    <w:rsid w:val="000779F8"/>
    <w:rsid w:val="00077A00"/>
    <w:rsid w:val="000801C0"/>
    <w:rsid w:val="000803C5"/>
    <w:rsid w:val="000805D9"/>
    <w:rsid w:val="000808B3"/>
    <w:rsid w:val="00080DC8"/>
    <w:rsid w:val="00081167"/>
    <w:rsid w:val="00081462"/>
    <w:rsid w:val="0008158A"/>
    <w:rsid w:val="000817AB"/>
    <w:rsid w:val="00082208"/>
    <w:rsid w:val="0008238E"/>
    <w:rsid w:val="00082538"/>
    <w:rsid w:val="000826E2"/>
    <w:rsid w:val="00082844"/>
    <w:rsid w:val="000828D5"/>
    <w:rsid w:val="00082A76"/>
    <w:rsid w:val="00082D0C"/>
    <w:rsid w:val="0008333E"/>
    <w:rsid w:val="00083A8B"/>
    <w:rsid w:val="00083BD4"/>
    <w:rsid w:val="00084268"/>
    <w:rsid w:val="00084807"/>
    <w:rsid w:val="00085086"/>
    <w:rsid w:val="0008527F"/>
    <w:rsid w:val="000858F3"/>
    <w:rsid w:val="000859B3"/>
    <w:rsid w:val="0008662B"/>
    <w:rsid w:val="00086B96"/>
    <w:rsid w:val="000870D3"/>
    <w:rsid w:val="0008747D"/>
    <w:rsid w:val="000875F4"/>
    <w:rsid w:val="00090537"/>
    <w:rsid w:val="00090727"/>
    <w:rsid w:val="00090C9D"/>
    <w:rsid w:val="00090CF3"/>
    <w:rsid w:val="00091002"/>
    <w:rsid w:val="000911E1"/>
    <w:rsid w:val="00091546"/>
    <w:rsid w:val="00091AAD"/>
    <w:rsid w:val="00091E55"/>
    <w:rsid w:val="00092589"/>
    <w:rsid w:val="0009260F"/>
    <w:rsid w:val="000926A8"/>
    <w:rsid w:val="000928F2"/>
    <w:rsid w:val="00092BC7"/>
    <w:rsid w:val="00092C43"/>
    <w:rsid w:val="0009379E"/>
    <w:rsid w:val="000939BB"/>
    <w:rsid w:val="00093ADA"/>
    <w:rsid w:val="00093F42"/>
    <w:rsid w:val="000942BE"/>
    <w:rsid w:val="000943F7"/>
    <w:rsid w:val="00094A4B"/>
    <w:rsid w:val="00094BEA"/>
    <w:rsid w:val="00094D95"/>
    <w:rsid w:val="00094FD7"/>
    <w:rsid w:val="000951A5"/>
    <w:rsid w:val="000951B3"/>
    <w:rsid w:val="00095258"/>
    <w:rsid w:val="00095567"/>
    <w:rsid w:val="00095940"/>
    <w:rsid w:val="00096035"/>
    <w:rsid w:val="0009626C"/>
    <w:rsid w:val="00096A35"/>
    <w:rsid w:val="000970D7"/>
    <w:rsid w:val="0009741F"/>
    <w:rsid w:val="00097632"/>
    <w:rsid w:val="000979D8"/>
    <w:rsid w:val="00097C58"/>
    <w:rsid w:val="00097D0C"/>
    <w:rsid w:val="000A00C5"/>
    <w:rsid w:val="000A091D"/>
    <w:rsid w:val="000A0B7D"/>
    <w:rsid w:val="000A0EDF"/>
    <w:rsid w:val="000A0FD6"/>
    <w:rsid w:val="000A1304"/>
    <w:rsid w:val="000A15CB"/>
    <w:rsid w:val="000A1682"/>
    <w:rsid w:val="000A1727"/>
    <w:rsid w:val="000A1748"/>
    <w:rsid w:val="000A178F"/>
    <w:rsid w:val="000A1B5B"/>
    <w:rsid w:val="000A1BF0"/>
    <w:rsid w:val="000A2329"/>
    <w:rsid w:val="000A2560"/>
    <w:rsid w:val="000A2BE0"/>
    <w:rsid w:val="000A2F01"/>
    <w:rsid w:val="000A39DF"/>
    <w:rsid w:val="000A3A33"/>
    <w:rsid w:val="000A3BB9"/>
    <w:rsid w:val="000A3EB5"/>
    <w:rsid w:val="000A3FD9"/>
    <w:rsid w:val="000A42DF"/>
    <w:rsid w:val="000A43D5"/>
    <w:rsid w:val="000A460D"/>
    <w:rsid w:val="000A4A77"/>
    <w:rsid w:val="000A59BC"/>
    <w:rsid w:val="000A59E8"/>
    <w:rsid w:val="000A5A6A"/>
    <w:rsid w:val="000A5E90"/>
    <w:rsid w:val="000A6076"/>
    <w:rsid w:val="000A6720"/>
    <w:rsid w:val="000A6EDF"/>
    <w:rsid w:val="000A7B4C"/>
    <w:rsid w:val="000A7DDE"/>
    <w:rsid w:val="000A7EB2"/>
    <w:rsid w:val="000A7FD7"/>
    <w:rsid w:val="000B001C"/>
    <w:rsid w:val="000B0589"/>
    <w:rsid w:val="000B0BAB"/>
    <w:rsid w:val="000B0D48"/>
    <w:rsid w:val="000B137C"/>
    <w:rsid w:val="000B13F4"/>
    <w:rsid w:val="000B1425"/>
    <w:rsid w:val="000B1664"/>
    <w:rsid w:val="000B218D"/>
    <w:rsid w:val="000B233B"/>
    <w:rsid w:val="000B2478"/>
    <w:rsid w:val="000B2728"/>
    <w:rsid w:val="000B2771"/>
    <w:rsid w:val="000B2927"/>
    <w:rsid w:val="000B2E9F"/>
    <w:rsid w:val="000B2F3A"/>
    <w:rsid w:val="000B307B"/>
    <w:rsid w:val="000B30C2"/>
    <w:rsid w:val="000B3551"/>
    <w:rsid w:val="000B371E"/>
    <w:rsid w:val="000B3C08"/>
    <w:rsid w:val="000B3C35"/>
    <w:rsid w:val="000B3E03"/>
    <w:rsid w:val="000B40FB"/>
    <w:rsid w:val="000B4455"/>
    <w:rsid w:val="000B44B4"/>
    <w:rsid w:val="000B4CD1"/>
    <w:rsid w:val="000B544F"/>
    <w:rsid w:val="000B59C0"/>
    <w:rsid w:val="000B5AF9"/>
    <w:rsid w:val="000B5B92"/>
    <w:rsid w:val="000B5DC9"/>
    <w:rsid w:val="000B5FE2"/>
    <w:rsid w:val="000B61B3"/>
    <w:rsid w:val="000B6A02"/>
    <w:rsid w:val="000B7054"/>
    <w:rsid w:val="000B7154"/>
    <w:rsid w:val="000B758C"/>
    <w:rsid w:val="000B769D"/>
    <w:rsid w:val="000B7782"/>
    <w:rsid w:val="000B7C13"/>
    <w:rsid w:val="000B7C81"/>
    <w:rsid w:val="000B7D4B"/>
    <w:rsid w:val="000B7DB9"/>
    <w:rsid w:val="000C0788"/>
    <w:rsid w:val="000C0ACD"/>
    <w:rsid w:val="000C0B44"/>
    <w:rsid w:val="000C0C6E"/>
    <w:rsid w:val="000C10DE"/>
    <w:rsid w:val="000C1234"/>
    <w:rsid w:val="000C17D5"/>
    <w:rsid w:val="000C1901"/>
    <w:rsid w:val="000C1A81"/>
    <w:rsid w:val="000C1D6C"/>
    <w:rsid w:val="000C278D"/>
    <w:rsid w:val="000C2E10"/>
    <w:rsid w:val="000C33CC"/>
    <w:rsid w:val="000C4100"/>
    <w:rsid w:val="000C4282"/>
    <w:rsid w:val="000C4824"/>
    <w:rsid w:val="000C48C2"/>
    <w:rsid w:val="000C4AAE"/>
    <w:rsid w:val="000C4B47"/>
    <w:rsid w:val="000C4B82"/>
    <w:rsid w:val="000C4CE1"/>
    <w:rsid w:val="000C4D3A"/>
    <w:rsid w:val="000C4ED3"/>
    <w:rsid w:val="000C51AA"/>
    <w:rsid w:val="000C51C2"/>
    <w:rsid w:val="000C535D"/>
    <w:rsid w:val="000C5695"/>
    <w:rsid w:val="000C5698"/>
    <w:rsid w:val="000C57EC"/>
    <w:rsid w:val="000C5C26"/>
    <w:rsid w:val="000C5CA1"/>
    <w:rsid w:val="000C5E73"/>
    <w:rsid w:val="000C6139"/>
    <w:rsid w:val="000C6958"/>
    <w:rsid w:val="000C6EB6"/>
    <w:rsid w:val="000C7366"/>
    <w:rsid w:val="000C7C0D"/>
    <w:rsid w:val="000C7EF6"/>
    <w:rsid w:val="000D04C7"/>
    <w:rsid w:val="000D094F"/>
    <w:rsid w:val="000D0AC8"/>
    <w:rsid w:val="000D0E29"/>
    <w:rsid w:val="000D1037"/>
    <w:rsid w:val="000D1307"/>
    <w:rsid w:val="000D14E6"/>
    <w:rsid w:val="000D17AD"/>
    <w:rsid w:val="000D181A"/>
    <w:rsid w:val="000D18EA"/>
    <w:rsid w:val="000D1FBA"/>
    <w:rsid w:val="000D243B"/>
    <w:rsid w:val="000D243F"/>
    <w:rsid w:val="000D25A1"/>
    <w:rsid w:val="000D2807"/>
    <w:rsid w:val="000D2EE5"/>
    <w:rsid w:val="000D3554"/>
    <w:rsid w:val="000D374E"/>
    <w:rsid w:val="000D3ACA"/>
    <w:rsid w:val="000D3B29"/>
    <w:rsid w:val="000D3B9F"/>
    <w:rsid w:val="000D449A"/>
    <w:rsid w:val="000D4A29"/>
    <w:rsid w:val="000D4C88"/>
    <w:rsid w:val="000D4DA6"/>
    <w:rsid w:val="000D4F64"/>
    <w:rsid w:val="000D5950"/>
    <w:rsid w:val="000D5A71"/>
    <w:rsid w:val="000D5C22"/>
    <w:rsid w:val="000D5E66"/>
    <w:rsid w:val="000D5EA1"/>
    <w:rsid w:val="000D6324"/>
    <w:rsid w:val="000D63D7"/>
    <w:rsid w:val="000D65F6"/>
    <w:rsid w:val="000D6787"/>
    <w:rsid w:val="000D6BA1"/>
    <w:rsid w:val="000D6C87"/>
    <w:rsid w:val="000D73E5"/>
    <w:rsid w:val="000D74DF"/>
    <w:rsid w:val="000E03B4"/>
    <w:rsid w:val="000E0A8C"/>
    <w:rsid w:val="000E0ACE"/>
    <w:rsid w:val="000E0DEB"/>
    <w:rsid w:val="000E0E96"/>
    <w:rsid w:val="000E10D4"/>
    <w:rsid w:val="000E180C"/>
    <w:rsid w:val="000E18D4"/>
    <w:rsid w:val="000E1C3B"/>
    <w:rsid w:val="000E2041"/>
    <w:rsid w:val="000E20B9"/>
    <w:rsid w:val="000E24C9"/>
    <w:rsid w:val="000E2F3E"/>
    <w:rsid w:val="000E2FE0"/>
    <w:rsid w:val="000E30F5"/>
    <w:rsid w:val="000E362C"/>
    <w:rsid w:val="000E36F4"/>
    <w:rsid w:val="000E3751"/>
    <w:rsid w:val="000E3960"/>
    <w:rsid w:val="000E3DE1"/>
    <w:rsid w:val="000E49C1"/>
    <w:rsid w:val="000E5676"/>
    <w:rsid w:val="000E598C"/>
    <w:rsid w:val="000E5C31"/>
    <w:rsid w:val="000E60E1"/>
    <w:rsid w:val="000E6225"/>
    <w:rsid w:val="000E633A"/>
    <w:rsid w:val="000E67AC"/>
    <w:rsid w:val="000E67CC"/>
    <w:rsid w:val="000E6CC6"/>
    <w:rsid w:val="000E6DD6"/>
    <w:rsid w:val="000E6E6C"/>
    <w:rsid w:val="000E6F0C"/>
    <w:rsid w:val="000E71E5"/>
    <w:rsid w:val="000E7486"/>
    <w:rsid w:val="000E75FE"/>
    <w:rsid w:val="000E7B5D"/>
    <w:rsid w:val="000F0797"/>
    <w:rsid w:val="000F0F9F"/>
    <w:rsid w:val="000F1304"/>
    <w:rsid w:val="000F135E"/>
    <w:rsid w:val="000F15B0"/>
    <w:rsid w:val="000F169B"/>
    <w:rsid w:val="000F1852"/>
    <w:rsid w:val="000F1D10"/>
    <w:rsid w:val="000F23E4"/>
    <w:rsid w:val="000F25A4"/>
    <w:rsid w:val="000F288B"/>
    <w:rsid w:val="000F2D3F"/>
    <w:rsid w:val="000F316E"/>
    <w:rsid w:val="000F34E4"/>
    <w:rsid w:val="000F3760"/>
    <w:rsid w:val="000F3B29"/>
    <w:rsid w:val="000F3C50"/>
    <w:rsid w:val="000F3D82"/>
    <w:rsid w:val="000F426C"/>
    <w:rsid w:val="000F475F"/>
    <w:rsid w:val="000F4923"/>
    <w:rsid w:val="000F4D11"/>
    <w:rsid w:val="000F5216"/>
    <w:rsid w:val="000F5593"/>
    <w:rsid w:val="000F5D46"/>
    <w:rsid w:val="000F5DCD"/>
    <w:rsid w:val="000F5EC9"/>
    <w:rsid w:val="000F61F0"/>
    <w:rsid w:val="000F62BD"/>
    <w:rsid w:val="000F6667"/>
    <w:rsid w:val="000F6D3E"/>
    <w:rsid w:val="000F6D46"/>
    <w:rsid w:val="000F6E1E"/>
    <w:rsid w:val="000F6E5F"/>
    <w:rsid w:val="000F6E95"/>
    <w:rsid w:val="000F6EF1"/>
    <w:rsid w:val="000F70C3"/>
    <w:rsid w:val="000F759F"/>
    <w:rsid w:val="000F7A2B"/>
    <w:rsid w:val="000F7B1B"/>
    <w:rsid w:val="000F7BF2"/>
    <w:rsid w:val="0010038E"/>
    <w:rsid w:val="00100806"/>
    <w:rsid w:val="0010099B"/>
    <w:rsid w:val="00101142"/>
    <w:rsid w:val="0010160B"/>
    <w:rsid w:val="00101E7E"/>
    <w:rsid w:val="0010240F"/>
    <w:rsid w:val="00102555"/>
    <w:rsid w:val="00102830"/>
    <w:rsid w:val="00102A59"/>
    <w:rsid w:val="00102B5B"/>
    <w:rsid w:val="00102DDE"/>
    <w:rsid w:val="001036DE"/>
    <w:rsid w:val="00103900"/>
    <w:rsid w:val="00103EC0"/>
    <w:rsid w:val="00104829"/>
    <w:rsid w:val="00104F93"/>
    <w:rsid w:val="001056B3"/>
    <w:rsid w:val="00105A89"/>
    <w:rsid w:val="00105E40"/>
    <w:rsid w:val="00106377"/>
    <w:rsid w:val="00106CD0"/>
    <w:rsid w:val="00106E38"/>
    <w:rsid w:val="00106F8B"/>
    <w:rsid w:val="001072E0"/>
    <w:rsid w:val="00107C26"/>
    <w:rsid w:val="00107E3E"/>
    <w:rsid w:val="001100B9"/>
    <w:rsid w:val="00110CB4"/>
    <w:rsid w:val="00110E87"/>
    <w:rsid w:val="001117F3"/>
    <w:rsid w:val="001119C6"/>
    <w:rsid w:val="00111FFE"/>
    <w:rsid w:val="00112DA5"/>
    <w:rsid w:val="00112E40"/>
    <w:rsid w:val="00112F06"/>
    <w:rsid w:val="00113342"/>
    <w:rsid w:val="00113538"/>
    <w:rsid w:val="0011413C"/>
    <w:rsid w:val="00114224"/>
    <w:rsid w:val="00114350"/>
    <w:rsid w:val="00114403"/>
    <w:rsid w:val="001147FC"/>
    <w:rsid w:val="0011494E"/>
    <w:rsid w:val="00114D02"/>
    <w:rsid w:val="00115B03"/>
    <w:rsid w:val="00115D4B"/>
    <w:rsid w:val="00115E65"/>
    <w:rsid w:val="00116223"/>
    <w:rsid w:val="0011695B"/>
    <w:rsid w:val="00116D51"/>
    <w:rsid w:val="00117120"/>
    <w:rsid w:val="00117934"/>
    <w:rsid w:val="00117A44"/>
    <w:rsid w:val="00117CFC"/>
    <w:rsid w:val="00117DB2"/>
    <w:rsid w:val="00117E04"/>
    <w:rsid w:val="00117E18"/>
    <w:rsid w:val="00117F07"/>
    <w:rsid w:val="00120093"/>
    <w:rsid w:val="0012025E"/>
    <w:rsid w:val="00120489"/>
    <w:rsid w:val="001204A5"/>
    <w:rsid w:val="00120AC8"/>
    <w:rsid w:val="00120ACF"/>
    <w:rsid w:val="00120C68"/>
    <w:rsid w:val="00120E70"/>
    <w:rsid w:val="0012157B"/>
    <w:rsid w:val="00121BBA"/>
    <w:rsid w:val="00121DB6"/>
    <w:rsid w:val="001221EE"/>
    <w:rsid w:val="00122227"/>
    <w:rsid w:val="0012292C"/>
    <w:rsid w:val="00122A38"/>
    <w:rsid w:val="00122C9C"/>
    <w:rsid w:val="00122F2E"/>
    <w:rsid w:val="0012356A"/>
    <w:rsid w:val="00123607"/>
    <w:rsid w:val="00123866"/>
    <w:rsid w:val="00123CFE"/>
    <w:rsid w:val="00123D84"/>
    <w:rsid w:val="00123F81"/>
    <w:rsid w:val="0012412A"/>
    <w:rsid w:val="001243D6"/>
    <w:rsid w:val="00124A07"/>
    <w:rsid w:val="00124ABB"/>
    <w:rsid w:val="0012504D"/>
    <w:rsid w:val="00125183"/>
    <w:rsid w:val="00125398"/>
    <w:rsid w:val="001255C3"/>
    <w:rsid w:val="00125E33"/>
    <w:rsid w:val="00125F36"/>
    <w:rsid w:val="00126283"/>
    <w:rsid w:val="0012640C"/>
    <w:rsid w:val="00126A2A"/>
    <w:rsid w:val="00126D58"/>
    <w:rsid w:val="00126DC0"/>
    <w:rsid w:val="00126DD7"/>
    <w:rsid w:val="00126F6C"/>
    <w:rsid w:val="0012711C"/>
    <w:rsid w:val="001271E0"/>
    <w:rsid w:val="00127240"/>
    <w:rsid w:val="00127581"/>
    <w:rsid w:val="0013003B"/>
    <w:rsid w:val="001302FA"/>
    <w:rsid w:val="001303D1"/>
    <w:rsid w:val="00130A69"/>
    <w:rsid w:val="00130B56"/>
    <w:rsid w:val="0013117D"/>
    <w:rsid w:val="0013143B"/>
    <w:rsid w:val="00131663"/>
    <w:rsid w:val="00131680"/>
    <w:rsid w:val="0013189E"/>
    <w:rsid w:val="00131B84"/>
    <w:rsid w:val="00131FFA"/>
    <w:rsid w:val="00132130"/>
    <w:rsid w:val="00132147"/>
    <w:rsid w:val="00132173"/>
    <w:rsid w:val="001325B2"/>
    <w:rsid w:val="00132612"/>
    <w:rsid w:val="00132726"/>
    <w:rsid w:val="00132C8A"/>
    <w:rsid w:val="00133B7C"/>
    <w:rsid w:val="00134B14"/>
    <w:rsid w:val="00134C9F"/>
    <w:rsid w:val="00134F7C"/>
    <w:rsid w:val="00134FD4"/>
    <w:rsid w:val="00135149"/>
    <w:rsid w:val="001355FA"/>
    <w:rsid w:val="001358B6"/>
    <w:rsid w:val="00135A67"/>
    <w:rsid w:val="00135BD6"/>
    <w:rsid w:val="00135DC9"/>
    <w:rsid w:val="00135F85"/>
    <w:rsid w:val="001363BC"/>
    <w:rsid w:val="00136786"/>
    <w:rsid w:val="0013685B"/>
    <w:rsid w:val="0013689B"/>
    <w:rsid w:val="001372CA"/>
    <w:rsid w:val="00137485"/>
    <w:rsid w:val="001374EE"/>
    <w:rsid w:val="001376E7"/>
    <w:rsid w:val="00137768"/>
    <w:rsid w:val="0013787A"/>
    <w:rsid w:val="00137CE7"/>
    <w:rsid w:val="0014004B"/>
    <w:rsid w:val="0014017A"/>
    <w:rsid w:val="00140415"/>
    <w:rsid w:val="00140A31"/>
    <w:rsid w:val="00140A84"/>
    <w:rsid w:val="00140DA6"/>
    <w:rsid w:val="00140EF0"/>
    <w:rsid w:val="00141113"/>
    <w:rsid w:val="001412C0"/>
    <w:rsid w:val="001413AE"/>
    <w:rsid w:val="001413CE"/>
    <w:rsid w:val="00141611"/>
    <w:rsid w:val="00141688"/>
    <w:rsid w:val="001417C2"/>
    <w:rsid w:val="00141875"/>
    <w:rsid w:val="00141B1A"/>
    <w:rsid w:val="00141CDC"/>
    <w:rsid w:val="00141FCE"/>
    <w:rsid w:val="00142106"/>
    <w:rsid w:val="0014245A"/>
    <w:rsid w:val="0014276B"/>
    <w:rsid w:val="00142F7A"/>
    <w:rsid w:val="00143018"/>
    <w:rsid w:val="0014321E"/>
    <w:rsid w:val="00143228"/>
    <w:rsid w:val="00143332"/>
    <w:rsid w:val="00143506"/>
    <w:rsid w:val="00143AD5"/>
    <w:rsid w:val="00143B61"/>
    <w:rsid w:val="0014419D"/>
    <w:rsid w:val="00144739"/>
    <w:rsid w:val="00144A37"/>
    <w:rsid w:val="00144AD6"/>
    <w:rsid w:val="00144B3B"/>
    <w:rsid w:val="00144FF7"/>
    <w:rsid w:val="00144FF9"/>
    <w:rsid w:val="00145220"/>
    <w:rsid w:val="001456E4"/>
    <w:rsid w:val="00145A25"/>
    <w:rsid w:val="00145F8D"/>
    <w:rsid w:val="00146020"/>
    <w:rsid w:val="00146436"/>
    <w:rsid w:val="00146ABF"/>
    <w:rsid w:val="001471A0"/>
    <w:rsid w:val="00147317"/>
    <w:rsid w:val="001476D3"/>
    <w:rsid w:val="001479DE"/>
    <w:rsid w:val="00147B41"/>
    <w:rsid w:val="00147B75"/>
    <w:rsid w:val="00147D07"/>
    <w:rsid w:val="00147FBF"/>
    <w:rsid w:val="0015010A"/>
    <w:rsid w:val="001503E1"/>
    <w:rsid w:val="00150534"/>
    <w:rsid w:val="0015054A"/>
    <w:rsid w:val="00150B4D"/>
    <w:rsid w:val="001512EF"/>
    <w:rsid w:val="0015170E"/>
    <w:rsid w:val="00151DB2"/>
    <w:rsid w:val="00151F86"/>
    <w:rsid w:val="001523F1"/>
    <w:rsid w:val="00152729"/>
    <w:rsid w:val="00152A5E"/>
    <w:rsid w:val="00152F72"/>
    <w:rsid w:val="0015393E"/>
    <w:rsid w:val="00153AB0"/>
    <w:rsid w:val="00153DDE"/>
    <w:rsid w:val="001540F7"/>
    <w:rsid w:val="00154145"/>
    <w:rsid w:val="001541E1"/>
    <w:rsid w:val="00154765"/>
    <w:rsid w:val="00154DC8"/>
    <w:rsid w:val="00154DE2"/>
    <w:rsid w:val="00155011"/>
    <w:rsid w:val="0015525F"/>
    <w:rsid w:val="00155339"/>
    <w:rsid w:val="001553AC"/>
    <w:rsid w:val="001554DE"/>
    <w:rsid w:val="00155620"/>
    <w:rsid w:val="001556C3"/>
    <w:rsid w:val="00155B4B"/>
    <w:rsid w:val="0015611B"/>
    <w:rsid w:val="001561BA"/>
    <w:rsid w:val="001563FB"/>
    <w:rsid w:val="00156597"/>
    <w:rsid w:val="00156610"/>
    <w:rsid w:val="001567DE"/>
    <w:rsid w:val="00156EC2"/>
    <w:rsid w:val="00156F44"/>
    <w:rsid w:val="0015729B"/>
    <w:rsid w:val="0015783F"/>
    <w:rsid w:val="00157850"/>
    <w:rsid w:val="00157F22"/>
    <w:rsid w:val="00160237"/>
    <w:rsid w:val="00160BB3"/>
    <w:rsid w:val="0016142F"/>
    <w:rsid w:val="00161609"/>
    <w:rsid w:val="0016209E"/>
    <w:rsid w:val="001626B4"/>
    <w:rsid w:val="00163120"/>
    <w:rsid w:val="001635EE"/>
    <w:rsid w:val="00163C18"/>
    <w:rsid w:val="00163C25"/>
    <w:rsid w:val="001647AF"/>
    <w:rsid w:val="001647BF"/>
    <w:rsid w:val="00164F69"/>
    <w:rsid w:val="00164FF0"/>
    <w:rsid w:val="001651C2"/>
    <w:rsid w:val="00165265"/>
    <w:rsid w:val="00165333"/>
    <w:rsid w:val="001655F1"/>
    <w:rsid w:val="001656CD"/>
    <w:rsid w:val="00165D31"/>
    <w:rsid w:val="00165EEF"/>
    <w:rsid w:val="001662D8"/>
    <w:rsid w:val="0016664C"/>
    <w:rsid w:val="00166A93"/>
    <w:rsid w:val="00167789"/>
    <w:rsid w:val="00167A7C"/>
    <w:rsid w:val="00167C43"/>
    <w:rsid w:val="0017024C"/>
    <w:rsid w:val="00170F7C"/>
    <w:rsid w:val="00171220"/>
    <w:rsid w:val="00171335"/>
    <w:rsid w:val="00171D5B"/>
    <w:rsid w:val="001721EA"/>
    <w:rsid w:val="001726AD"/>
    <w:rsid w:val="001726CF"/>
    <w:rsid w:val="001727C8"/>
    <w:rsid w:val="00172C63"/>
    <w:rsid w:val="00173042"/>
    <w:rsid w:val="001731D7"/>
    <w:rsid w:val="001733E0"/>
    <w:rsid w:val="001736CE"/>
    <w:rsid w:val="00173938"/>
    <w:rsid w:val="0017399A"/>
    <w:rsid w:val="00173A05"/>
    <w:rsid w:val="00173A40"/>
    <w:rsid w:val="00173F22"/>
    <w:rsid w:val="00174445"/>
    <w:rsid w:val="00174A2A"/>
    <w:rsid w:val="0017502C"/>
    <w:rsid w:val="0017524A"/>
    <w:rsid w:val="001753B1"/>
    <w:rsid w:val="00175941"/>
    <w:rsid w:val="0017596E"/>
    <w:rsid w:val="001759E6"/>
    <w:rsid w:val="00175DDA"/>
    <w:rsid w:val="00176FE4"/>
    <w:rsid w:val="001770C5"/>
    <w:rsid w:val="0017736B"/>
    <w:rsid w:val="0017785E"/>
    <w:rsid w:val="001779E0"/>
    <w:rsid w:val="001800C7"/>
    <w:rsid w:val="001808CE"/>
    <w:rsid w:val="00180CC2"/>
    <w:rsid w:val="0018109A"/>
    <w:rsid w:val="001810F4"/>
    <w:rsid w:val="001812C8"/>
    <w:rsid w:val="001818F1"/>
    <w:rsid w:val="0018198A"/>
    <w:rsid w:val="00181DAC"/>
    <w:rsid w:val="0018265B"/>
    <w:rsid w:val="001830DC"/>
    <w:rsid w:val="00183467"/>
    <w:rsid w:val="00183AD2"/>
    <w:rsid w:val="00183B42"/>
    <w:rsid w:val="00183C29"/>
    <w:rsid w:val="0018503E"/>
    <w:rsid w:val="00185304"/>
    <w:rsid w:val="00185A5F"/>
    <w:rsid w:val="00185AA8"/>
    <w:rsid w:val="001863C9"/>
    <w:rsid w:val="00186514"/>
    <w:rsid w:val="001865B7"/>
    <w:rsid w:val="00186B79"/>
    <w:rsid w:val="00187740"/>
    <w:rsid w:val="0018782D"/>
    <w:rsid w:val="00187A9C"/>
    <w:rsid w:val="00187FE7"/>
    <w:rsid w:val="00190484"/>
    <w:rsid w:val="00190D95"/>
    <w:rsid w:val="00190DCB"/>
    <w:rsid w:val="00190F8D"/>
    <w:rsid w:val="00191252"/>
    <w:rsid w:val="001913FF"/>
    <w:rsid w:val="00191DA3"/>
    <w:rsid w:val="00191E3D"/>
    <w:rsid w:val="00192331"/>
    <w:rsid w:val="00192F93"/>
    <w:rsid w:val="0019321C"/>
    <w:rsid w:val="001932ED"/>
    <w:rsid w:val="00193347"/>
    <w:rsid w:val="001933A0"/>
    <w:rsid w:val="00193758"/>
    <w:rsid w:val="0019392F"/>
    <w:rsid w:val="00193AE3"/>
    <w:rsid w:val="00193CB5"/>
    <w:rsid w:val="00193FFF"/>
    <w:rsid w:val="00194699"/>
    <w:rsid w:val="0019568B"/>
    <w:rsid w:val="0019587F"/>
    <w:rsid w:val="001958B9"/>
    <w:rsid w:val="00195AB0"/>
    <w:rsid w:val="001960F8"/>
    <w:rsid w:val="001961B1"/>
    <w:rsid w:val="001962AE"/>
    <w:rsid w:val="0019638B"/>
    <w:rsid w:val="0019677E"/>
    <w:rsid w:val="00196969"/>
    <w:rsid w:val="00196ABE"/>
    <w:rsid w:val="00197037"/>
    <w:rsid w:val="001972F6"/>
    <w:rsid w:val="0019750E"/>
    <w:rsid w:val="001A08C9"/>
    <w:rsid w:val="001A0C94"/>
    <w:rsid w:val="001A0CCD"/>
    <w:rsid w:val="001A183D"/>
    <w:rsid w:val="001A1BF7"/>
    <w:rsid w:val="001A1C90"/>
    <w:rsid w:val="001A3246"/>
    <w:rsid w:val="001A3261"/>
    <w:rsid w:val="001A3BDC"/>
    <w:rsid w:val="001A4067"/>
    <w:rsid w:val="001A41CA"/>
    <w:rsid w:val="001A43DA"/>
    <w:rsid w:val="001A4B8D"/>
    <w:rsid w:val="001A4B8E"/>
    <w:rsid w:val="001A4DB3"/>
    <w:rsid w:val="001A517A"/>
    <w:rsid w:val="001A55D1"/>
    <w:rsid w:val="001A5660"/>
    <w:rsid w:val="001A5A17"/>
    <w:rsid w:val="001A5DAB"/>
    <w:rsid w:val="001A5F7B"/>
    <w:rsid w:val="001A612F"/>
    <w:rsid w:val="001A640D"/>
    <w:rsid w:val="001A64C2"/>
    <w:rsid w:val="001A7180"/>
    <w:rsid w:val="001A795B"/>
    <w:rsid w:val="001B023D"/>
    <w:rsid w:val="001B0727"/>
    <w:rsid w:val="001B1174"/>
    <w:rsid w:val="001B1283"/>
    <w:rsid w:val="001B133A"/>
    <w:rsid w:val="001B1471"/>
    <w:rsid w:val="001B1B45"/>
    <w:rsid w:val="001B1CB1"/>
    <w:rsid w:val="001B1DF8"/>
    <w:rsid w:val="001B2AF5"/>
    <w:rsid w:val="001B2CCE"/>
    <w:rsid w:val="001B3071"/>
    <w:rsid w:val="001B32D6"/>
    <w:rsid w:val="001B336D"/>
    <w:rsid w:val="001B33DE"/>
    <w:rsid w:val="001B3B70"/>
    <w:rsid w:val="001B3C90"/>
    <w:rsid w:val="001B5012"/>
    <w:rsid w:val="001B55B9"/>
    <w:rsid w:val="001B6A42"/>
    <w:rsid w:val="001B6DD9"/>
    <w:rsid w:val="001B6E58"/>
    <w:rsid w:val="001B7102"/>
    <w:rsid w:val="001B726B"/>
    <w:rsid w:val="001B791E"/>
    <w:rsid w:val="001C0254"/>
    <w:rsid w:val="001C09F9"/>
    <w:rsid w:val="001C1823"/>
    <w:rsid w:val="001C1EA3"/>
    <w:rsid w:val="001C2797"/>
    <w:rsid w:val="001C290D"/>
    <w:rsid w:val="001C2CA2"/>
    <w:rsid w:val="001C2DB4"/>
    <w:rsid w:val="001C2E3E"/>
    <w:rsid w:val="001C2F7C"/>
    <w:rsid w:val="001C360D"/>
    <w:rsid w:val="001C3C00"/>
    <w:rsid w:val="001C3F6E"/>
    <w:rsid w:val="001C43C6"/>
    <w:rsid w:val="001C4B2A"/>
    <w:rsid w:val="001C4D37"/>
    <w:rsid w:val="001C548A"/>
    <w:rsid w:val="001C5C80"/>
    <w:rsid w:val="001C5D4E"/>
    <w:rsid w:val="001C5F93"/>
    <w:rsid w:val="001C6305"/>
    <w:rsid w:val="001C66B6"/>
    <w:rsid w:val="001C6701"/>
    <w:rsid w:val="001C6856"/>
    <w:rsid w:val="001C7BA4"/>
    <w:rsid w:val="001C7BF4"/>
    <w:rsid w:val="001D0284"/>
    <w:rsid w:val="001D0534"/>
    <w:rsid w:val="001D07BC"/>
    <w:rsid w:val="001D0BD8"/>
    <w:rsid w:val="001D1310"/>
    <w:rsid w:val="001D1449"/>
    <w:rsid w:val="001D1464"/>
    <w:rsid w:val="001D14DA"/>
    <w:rsid w:val="001D15DF"/>
    <w:rsid w:val="001D1B31"/>
    <w:rsid w:val="001D1D09"/>
    <w:rsid w:val="001D2286"/>
    <w:rsid w:val="001D24C2"/>
    <w:rsid w:val="001D2B71"/>
    <w:rsid w:val="001D2CDA"/>
    <w:rsid w:val="001D309B"/>
    <w:rsid w:val="001D3352"/>
    <w:rsid w:val="001D33CD"/>
    <w:rsid w:val="001D3990"/>
    <w:rsid w:val="001D3A3F"/>
    <w:rsid w:val="001D415B"/>
    <w:rsid w:val="001D45C0"/>
    <w:rsid w:val="001D47FD"/>
    <w:rsid w:val="001D510D"/>
    <w:rsid w:val="001D60DE"/>
    <w:rsid w:val="001D627B"/>
    <w:rsid w:val="001D6435"/>
    <w:rsid w:val="001D6669"/>
    <w:rsid w:val="001D6BCC"/>
    <w:rsid w:val="001D7C40"/>
    <w:rsid w:val="001D7E01"/>
    <w:rsid w:val="001D7F6A"/>
    <w:rsid w:val="001E0127"/>
    <w:rsid w:val="001E02B7"/>
    <w:rsid w:val="001E0394"/>
    <w:rsid w:val="001E0476"/>
    <w:rsid w:val="001E14B4"/>
    <w:rsid w:val="001E1681"/>
    <w:rsid w:val="001E222A"/>
    <w:rsid w:val="001E2566"/>
    <w:rsid w:val="001E2686"/>
    <w:rsid w:val="001E3335"/>
    <w:rsid w:val="001E369B"/>
    <w:rsid w:val="001E389D"/>
    <w:rsid w:val="001E392E"/>
    <w:rsid w:val="001E3DB4"/>
    <w:rsid w:val="001E3E7B"/>
    <w:rsid w:val="001E40BF"/>
    <w:rsid w:val="001E4107"/>
    <w:rsid w:val="001E43A9"/>
    <w:rsid w:val="001E46B0"/>
    <w:rsid w:val="001E478B"/>
    <w:rsid w:val="001E5019"/>
    <w:rsid w:val="001E51E8"/>
    <w:rsid w:val="001E5219"/>
    <w:rsid w:val="001E5CF7"/>
    <w:rsid w:val="001E6087"/>
    <w:rsid w:val="001E629F"/>
    <w:rsid w:val="001E644A"/>
    <w:rsid w:val="001E6515"/>
    <w:rsid w:val="001E68A8"/>
    <w:rsid w:val="001E68D0"/>
    <w:rsid w:val="001E734D"/>
    <w:rsid w:val="001E74AC"/>
    <w:rsid w:val="001E7B07"/>
    <w:rsid w:val="001F0304"/>
    <w:rsid w:val="001F034F"/>
    <w:rsid w:val="001F084F"/>
    <w:rsid w:val="001F0E0B"/>
    <w:rsid w:val="001F1046"/>
    <w:rsid w:val="001F1A42"/>
    <w:rsid w:val="001F1AA5"/>
    <w:rsid w:val="001F1E0F"/>
    <w:rsid w:val="001F1F91"/>
    <w:rsid w:val="001F210E"/>
    <w:rsid w:val="001F25CB"/>
    <w:rsid w:val="001F2A98"/>
    <w:rsid w:val="001F3707"/>
    <w:rsid w:val="001F3D28"/>
    <w:rsid w:val="001F3EE7"/>
    <w:rsid w:val="001F3FB4"/>
    <w:rsid w:val="001F3FDF"/>
    <w:rsid w:val="001F400A"/>
    <w:rsid w:val="001F407A"/>
    <w:rsid w:val="001F4412"/>
    <w:rsid w:val="001F478F"/>
    <w:rsid w:val="001F4C58"/>
    <w:rsid w:val="001F535D"/>
    <w:rsid w:val="001F5572"/>
    <w:rsid w:val="001F567B"/>
    <w:rsid w:val="001F57CD"/>
    <w:rsid w:val="001F5A77"/>
    <w:rsid w:val="001F5D58"/>
    <w:rsid w:val="001F6286"/>
    <w:rsid w:val="001F633E"/>
    <w:rsid w:val="001F6502"/>
    <w:rsid w:val="001F65F2"/>
    <w:rsid w:val="001F6927"/>
    <w:rsid w:val="001F6936"/>
    <w:rsid w:val="001F6977"/>
    <w:rsid w:val="001F6DB1"/>
    <w:rsid w:val="001F6E8C"/>
    <w:rsid w:val="001F7215"/>
    <w:rsid w:val="001F751C"/>
    <w:rsid w:val="001F7578"/>
    <w:rsid w:val="001F7820"/>
    <w:rsid w:val="001F794D"/>
    <w:rsid w:val="001F7F16"/>
    <w:rsid w:val="002000A2"/>
    <w:rsid w:val="00200F29"/>
    <w:rsid w:val="00201015"/>
    <w:rsid w:val="00201520"/>
    <w:rsid w:val="0020175D"/>
    <w:rsid w:val="00201768"/>
    <w:rsid w:val="002017D7"/>
    <w:rsid w:val="00201BE1"/>
    <w:rsid w:val="00201BEA"/>
    <w:rsid w:val="00201C0E"/>
    <w:rsid w:val="00201C4B"/>
    <w:rsid w:val="00201FCC"/>
    <w:rsid w:val="00202824"/>
    <w:rsid w:val="0020285E"/>
    <w:rsid w:val="00202B20"/>
    <w:rsid w:val="00202B40"/>
    <w:rsid w:val="0020328B"/>
    <w:rsid w:val="00203292"/>
    <w:rsid w:val="0020337D"/>
    <w:rsid w:val="002035E8"/>
    <w:rsid w:val="002038D2"/>
    <w:rsid w:val="00203BFB"/>
    <w:rsid w:val="00203FD7"/>
    <w:rsid w:val="00204230"/>
    <w:rsid w:val="002043E1"/>
    <w:rsid w:val="00204BE1"/>
    <w:rsid w:val="00204D0E"/>
    <w:rsid w:val="00205089"/>
    <w:rsid w:val="0020566B"/>
    <w:rsid w:val="00205F7D"/>
    <w:rsid w:val="00206149"/>
    <w:rsid w:val="0020639A"/>
    <w:rsid w:val="00206738"/>
    <w:rsid w:val="00206AED"/>
    <w:rsid w:val="00207314"/>
    <w:rsid w:val="00207419"/>
    <w:rsid w:val="002078BA"/>
    <w:rsid w:val="00207AEE"/>
    <w:rsid w:val="0021034E"/>
    <w:rsid w:val="00211030"/>
    <w:rsid w:val="002111FC"/>
    <w:rsid w:val="00211235"/>
    <w:rsid w:val="00211446"/>
    <w:rsid w:val="00211724"/>
    <w:rsid w:val="00211824"/>
    <w:rsid w:val="00211C09"/>
    <w:rsid w:val="00211CE2"/>
    <w:rsid w:val="00212247"/>
    <w:rsid w:val="00212E75"/>
    <w:rsid w:val="00212F00"/>
    <w:rsid w:val="00213EF1"/>
    <w:rsid w:val="00214440"/>
    <w:rsid w:val="0021496B"/>
    <w:rsid w:val="00214C2A"/>
    <w:rsid w:val="00215257"/>
    <w:rsid w:val="002152E7"/>
    <w:rsid w:val="00215348"/>
    <w:rsid w:val="0021575D"/>
    <w:rsid w:val="002157C4"/>
    <w:rsid w:val="00216EDD"/>
    <w:rsid w:val="00217013"/>
    <w:rsid w:val="002173ED"/>
    <w:rsid w:val="0021795D"/>
    <w:rsid w:val="00220501"/>
    <w:rsid w:val="00220514"/>
    <w:rsid w:val="002206AD"/>
    <w:rsid w:val="00220818"/>
    <w:rsid w:val="00220990"/>
    <w:rsid w:val="002210BD"/>
    <w:rsid w:val="002214B6"/>
    <w:rsid w:val="00221A32"/>
    <w:rsid w:val="00221D5D"/>
    <w:rsid w:val="0022227E"/>
    <w:rsid w:val="00222696"/>
    <w:rsid w:val="00222925"/>
    <w:rsid w:val="0022294B"/>
    <w:rsid w:val="00222A21"/>
    <w:rsid w:val="00222A68"/>
    <w:rsid w:val="00222CAA"/>
    <w:rsid w:val="0022322C"/>
    <w:rsid w:val="0022328C"/>
    <w:rsid w:val="002233E7"/>
    <w:rsid w:val="00223828"/>
    <w:rsid w:val="00223B66"/>
    <w:rsid w:val="0022427B"/>
    <w:rsid w:val="0022495D"/>
    <w:rsid w:val="00224B0A"/>
    <w:rsid w:val="00224BAF"/>
    <w:rsid w:val="00224CAD"/>
    <w:rsid w:val="00224DF4"/>
    <w:rsid w:val="00224ED6"/>
    <w:rsid w:val="0022557F"/>
    <w:rsid w:val="00225EE4"/>
    <w:rsid w:val="00226095"/>
    <w:rsid w:val="00226431"/>
    <w:rsid w:val="00226491"/>
    <w:rsid w:val="0022655C"/>
    <w:rsid w:val="00226935"/>
    <w:rsid w:val="00226B7F"/>
    <w:rsid w:val="0022701A"/>
    <w:rsid w:val="0022718E"/>
    <w:rsid w:val="002278A6"/>
    <w:rsid w:val="00230237"/>
    <w:rsid w:val="002303D6"/>
    <w:rsid w:val="00230418"/>
    <w:rsid w:val="0023041E"/>
    <w:rsid w:val="002305D7"/>
    <w:rsid w:val="00230DC0"/>
    <w:rsid w:val="00231650"/>
    <w:rsid w:val="0023167D"/>
    <w:rsid w:val="00231A68"/>
    <w:rsid w:val="002323A5"/>
    <w:rsid w:val="002323E7"/>
    <w:rsid w:val="00232785"/>
    <w:rsid w:val="00232B31"/>
    <w:rsid w:val="00232B69"/>
    <w:rsid w:val="002330EA"/>
    <w:rsid w:val="00233119"/>
    <w:rsid w:val="0023349C"/>
    <w:rsid w:val="00233CD6"/>
    <w:rsid w:val="002342B5"/>
    <w:rsid w:val="0023440C"/>
    <w:rsid w:val="00234411"/>
    <w:rsid w:val="0023456C"/>
    <w:rsid w:val="00234678"/>
    <w:rsid w:val="00234759"/>
    <w:rsid w:val="00234AF6"/>
    <w:rsid w:val="00234EA9"/>
    <w:rsid w:val="002351E5"/>
    <w:rsid w:val="002354C0"/>
    <w:rsid w:val="00235803"/>
    <w:rsid w:val="00235BB2"/>
    <w:rsid w:val="00235C0B"/>
    <w:rsid w:val="00235D27"/>
    <w:rsid w:val="00235FB5"/>
    <w:rsid w:val="0023602C"/>
    <w:rsid w:val="002360F8"/>
    <w:rsid w:val="002361ED"/>
    <w:rsid w:val="0023644B"/>
    <w:rsid w:val="00236833"/>
    <w:rsid w:val="00236947"/>
    <w:rsid w:val="002369EA"/>
    <w:rsid w:val="00236AB2"/>
    <w:rsid w:val="002371A8"/>
    <w:rsid w:val="00237276"/>
    <w:rsid w:val="002372E4"/>
    <w:rsid w:val="00237A84"/>
    <w:rsid w:val="00237CE4"/>
    <w:rsid w:val="00237FF4"/>
    <w:rsid w:val="002400BA"/>
    <w:rsid w:val="002401F8"/>
    <w:rsid w:val="002402AA"/>
    <w:rsid w:val="00240585"/>
    <w:rsid w:val="00240880"/>
    <w:rsid w:val="00240A5F"/>
    <w:rsid w:val="002411BB"/>
    <w:rsid w:val="002413ED"/>
    <w:rsid w:val="002414AA"/>
    <w:rsid w:val="00241650"/>
    <w:rsid w:val="002419B1"/>
    <w:rsid w:val="00241F87"/>
    <w:rsid w:val="002423E3"/>
    <w:rsid w:val="00242CA3"/>
    <w:rsid w:val="00242D70"/>
    <w:rsid w:val="00242F6A"/>
    <w:rsid w:val="00243523"/>
    <w:rsid w:val="002435A6"/>
    <w:rsid w:val="00243B6C"/>
    <w:rsid w:val="00243CD7"/>
    <w:rsid w:val="00243EB5"/>
    <w:rsid w:val="00243F36"/>
    <w:rsid w:val="00243FB0"/>
    <w:rsid w:val="002440AA"/>
    <w:rsid w:val="00244462"/>
    <w:rsid w:val="002445B1"/>
    <w:rsid w:val="002447CB"/>
    <w:rsid w:val="00244C71"/>
    <w:rsid w:val="00244DB1"/>
    <w:rsid w:val="00244F3C"/>
    <w:rsid w:val="00245DE8"/>
    <w:rsid w:val="0024646F"/>
    <w:rsid w:val="00246E9D"/>
    <w:rsid w:val="00247085"/>
    <w:rsid w:val="00247464"/>
    <w:rsid w:val="002474CB"/>
    <w:rsid w:val="0024776B"/>
    <w:rsid w:val="00247799"/>
    <w:rsid w:val="00247F6E"/>
    <w:rsid w:val="00247F7E"/>
    <w:rsid w:val="00250936"/>
    <w:rsid w:val="002517B7"/>
    <w:rsid w:val="002517E2"/>
    <w:rsid w:val="00251B8F"/>
    <w:rsid w:val="00251CE6"/>
    <w:rsid w:val="0025209D"/>
    <w:rsid w:val="00252D3B"/>
    <w:rsid w:val="002532F3"/>
    <w:rsid w:val="002533DD"/>
    <w:rsid w:val="00253D9A"/>
    <w:rsid w:val="00253E78"/>
    <w:rsid w:val="002540A5"/>
    <w:rsid w:val="002544E6"/>
    <w:rsid w:val="002545E7"/>
    <w:rsid w:val="002546BC"/>
    <w:rsid w:val="00254766"/>
    <w:rsid w:val="00254945"/>
    <w:rsid w:val="00254A0A"/>
    <w:rsid w:val="00254E02"/>
    <w:rsid w:val="002551C5"/>
    <w:rsid w:val="002557FF"/>
    <w:rsid w:val="00256F98"/>
    <w:rsid w:val="0025736C"/>
    <w:rsid w:val="00257454"/>
    <w:rsid w:val="00257474"/>
    <w:rsid w:val="00257BF5"/>
    <w:rsid w:val="002604A0"/>
    <w:rsid w:val="0026057B"/>
    <w:rsid w:val="00260832"/>
    <w:rsid w:val="00260D73"/>
    <w:rsid w:val="0026163E"/>
    <w:rsid w:val="00261F45"/>
    <w:rsid w:val="0026254A"/>
    <w:rsid w:val="0026285D"/>
    <w:rsid w:val="00262B27"/>
    <w:rsid w:val="00263251"/>
    <w:rsid w:val="0026376B"/>
    <w:rsid w:val="00263E9A"/>
    <w:rsid w:val="002640A5"/>
    <w:rsid w:val="00264533"/>
    <w:rsid w:val="00264772"/>
    <w:rsid w:val="002647A9"/>
    <w:rsid w:val="00264CFB"/>
    <w:rsid w:val="00265039"/>
    <w:rsid w:val="00265327"/>
    <w:rsid w:val="00265579"/>
    <w:rsid w:val="00265B65"/>
    <w:rsid w:val="00265EEA"/>
    <w:rsid w:val="00266134"/>
    <w:rsid w:val="0026684B"/>
    <w:rsid w:val="0026687B"/>
    <w:rsid w:val="002668E3"/>
    <w:rsid w:val="002669A2"/>
    <w:rsid w:val="00266C6C"/>
    <w:rsid w:val="00266CD9"/>
    <w:rsid w:val="00266F01"/>
    <w:rsid w:val="00267174"/>
    <w:rsid w:val="00267624"/>
    <w:rsid w:val="0026769B"/>
    <w:rsid w:val="00267A5F"/>
    <w:rsid w:val="00267D4D"/>
    <w:rsid w:val="00267EB4"/>
    <w:rsid w:val="00267FA5"/>
    <w:rsid w:val="00267FB8"/>
    <w:rsid w:val="002702E5"/>
    <w:rsid w:val="002702FE"/>
    <w:rsid w:val="002703FF"/>
    <w:rsid w:val="002704E6"/>
    <w:rsid w:val="00270839"/>
    <w:rsid w:val="00270A79"/>
    <w:rsid w:val="00270F74"/>
    <w:rsid w:val="0027103A"/>
    <w:rsid w:val="002717E3"/>
    <w:rsid w:val="002719A8"/>
    <w:rsid w:val="00271B51"/>
    <w:rsid w:val="00271B96"/>
    <w:rsid w:val="0027202F"/>
    <w:rsid w:val="0027216C"/>
    <w:rsid w:val="002721D6"/>
    <w:rsid w:val="0027272E"/>
    <w:rsid w:val="00272E1C"/>
    <w:rsid w:val="00273222"/>
    <w:rsid w:val="002735EF"/>
    <w:rsid w:val="00273A84"/>
    <w:rsid w:val="0027418D"/>
    <w:rsid w:val="002741EB"/>
    <w:rsid w:val="0027437F"/>
    <w:rsid w:val="00274A37"/>
    <w:rsid w:val="00274F51"/>
    <w:rsid w:val="00275195"/>
    <w:rsid w:val="00275379"/>
    <w:rsid w:val="00275A7C"/>
    <w:rsid w:val="00275BF3"/>
    <w:rsid w:val="00276B8D"/>
    <w:rsid w:val="00276EBC"/>
    <w:rsid w:val="00276F3F"/>
    <w:rsid w:val="00276FC1"/>
    <w:rsid w:val="00277621"/>
    <w:rsid w:val="00277AB0"/>
    <w:rsid w:val="00277F8B"/>
    <w:rsid w:val="00277FF9"/>
    <w:rsid w:val="002800BF"/>
    <w:rsid w:val="002808D2"/>
    <w:rsid w:val="002813A3"/>
    <w:rsid w:val="0028177F"/>
    <w:rsid w:val="002817F6"/>
    <w:rsid w:val="00281851"/>
    <w:rsid w:val="00281D19"/>
    <w:rsid w:val="00281FE1"/>
    <w:rsid w:val="00282E45"/>
    <w:rsid w:val="002830DB"/>
    <w:rsid w:val="00283720"/>
    <w:rsid w:val="00283CEA"/>
    <w:rsid w:val="002840F3"/>
    <w:rsid w:val="002843E8"/>
    <w:rsid w:val="00284844"/>
    <w:rsid w:val="0028486B"/>
    <w:rsid w:val="00284F64"/>
    <w:rsid w:val="002851D3"/>
    <w:rsid w:val="0028531E"/>
    <w:rsid w:val="002856F6"/>
    <w:rsid w:val="00285703"/>
    <w:rsid w:val="00285CDB"/>
    <w:rsid w:val="00286153"/>
    <w:rsid w:val="00286D61"/>
    <w:rsid w:val="00286EFC"/>
    <w:rsid w:val="00287152"/>
    <w:rsid w:val="0028723B"/>
    <w:rsid w:val="00287327"/>
    <w:rsid w:val="0028760A"/>
    <w:rsid w:val="00287CEA"/>
    <w:rsid w:val="00287D09"/>
    <w:rsid w:val="00287D24"/>
    <w:rsid w:val="00290697"/>
    <w:rsid w:val="00290AEA"/>
    <w:rsid w:val="0029132D"/>
    <w:rsid w:val="0029174D"/>
    <w:rsid w:val="0029190E"/>
    <w:rsid w:val="00291E1C"/>
    <w:rsid w:val="0029219F"/>
    <w:rsid w:val="00292252"/>
    <w:rsid w:val="0029238C"/>
    <w:rsid w:val="002924A2"/>
    <w:rsid w:val="00293378"/>
    <w:rsid w:val="00293471"/>
    <w:rsid w:val="0029358D"/>
    <w:rsid w:val="002936C1"/>
    <w:rsid w:val="00293DFC"/>
    <w:rsid w:val="00294078"/>
    <w:rsid w:val="002940D7"/>
    <w:rsid w:val="00294449"/>
    <w:rsid w:val="0029448C"/>
    <w:rsid w:val="00294613"/>
    <w:rsid w:val="00294644"/>
    <w:rsid w:val="00294704"/>
    <w:rsid w:val="002947A0"/>
    <w:rsid w:val="00294BE1"/>
    <w:rsid w:val="002951B4"/>
    <w:rsid w:val="002951DE"/>
    <w:rsid w:val="00295839"/>
    <w:rsid w:val="00296547"/>
    <w:rsid w:val="0029686F"/>
    <w:rsid w:val="00296E3E"/>
    <w:rsid w:val="002976AC"/>
    <w:rsid w:val="002977EA"/>
    <w:rsid w:val="00297EBA"/>
    <w:rsid w:val="00297FA6"/>
    <w:rsid w:val="002A0236"/>
    <w:rsid w:val="002A04B6"/>
    <w:rsid w:val="002A0807"/>
    <w:rsid w:val="002A0C0C"/>
    <w:rsid w:val="002A0C2D"/>
    <w:rsid w:val="002A0E77"/>
    <w:rsid w:val="002A1442"/>
    <w:rsid w:val="002A14BE"/>
    <w:rsid w:val="002A15A1"/>
    <w:rsid w:val="002A1DFE"/>
    <w:rsid w:val="002A21BA"/>
    <w:rsid w:val="002A24D1"/>
    <w:rsid w:val="002A25B0"/>
    <w:rsid w:val="002A26D2"/>
    <w:rsid w:val="002A2759"/>
    <w:rsid w:val="002A2DAB"/>
    <w:rsid w:val="002A30CA"/>
    <w:rsid w:val="002A332E"/>
    <w:rsid w:val="002A358E"/>
    <w:rsid w:val="002A36FC"/>
    <w:rsid w:val="002A3844"/>
    <w:rsid w:val="002A3D83"/>
    <w:rsid w:val="002A3E25"/>
    <w:rsid w:val="002A43B9"/>
    <w:rsid w:val="002A4AF6"/>
    <w:rsid w:val="002A4B16"/>
    <w:rsid w:val="002A4ED4"/>
    <w:rsid w:val="002A4F79"/>
    <w:rsid w:val="002A5352"/>
    <w:rsid w:val="002A57C3"/>
    <w:rsid w:val="002A5AC4"/>
    <w:rsid w:val="002A61B8"/>
    <w:rsid w:val="002A65A3"/>
    <w:rsid w:val="002A6BCA"/>
    <w:rsid w:val="002A71D6"/>
    <w:rsid w:val="002A728F"/>
    <w:rsid w:val="002A7298"/>
    <w:rsid w:val="002A760A"/>
    <w:rsid w:val="002A7929"/>
    <w:rsid w:val="002A7A7F"/>
    <w:rsid w:val="002A7BC6"/>
    <w:rsid w:val="002A7DED"/>
    <w:rsid w:val="002B0436"/>
    <w:rsid w:val="002B0860"/>
    <w:rsid w:val="002B0BD3"/>
    <w:rsid w:val="002B118E"/>
    <w:rsid w:val="002B120D"/>
    <w:rsid w:val="002B1341"/>
    <w:rsid w:val="002B1371"/>
    <w:rsid w:val="002B1FC1"/>
    <w:rsid w:val="002B204C"/>
    <w:rsid w:val="002B2325"/>
    <w:rsid w:val="002B26A3"/>
    <w:rsid w:val="002B26EF"/>
    <w:rsid w:val="002B2707"/>
    <w:rsid w:val="002B284D"/>
    <w:rsid w:val="002B2F69"/>
    <w:rsid w:val="002B3718"/>
    <w:rsid w:val="002B397A"/>
    <w:rsid w:val="002B3AC5"/>
    <w:rsid w:val="002B3AD4"/>
    <w:rsid w:val="002B3D85"/>
    <w:rsid w:val="002B4030"/>
    <w:rsid w:val="002B4439"/>
    <w:rsid w:val="002B4B22"/>
    <w:rsid w:val="002B4B5B"/>
    <w:rsid w:val="002B4C23"/>
    <w:rsid w:val="002B4F1D"/>
    <w:rsid w:val="002B5815"/>
    <w:rsid w:val="002B589E"/>
    <w:rsid w:val="002B5B0E"/>
    <w:rsid w:val="002B5F31"/>
    <w:rsid w:val="002B66DB"/>
    <w:rsid w:val="002B6C38"/>
    <w:rsid w:val="002B6C92"/>
    <w:rsid w:val="002B6F7B"/>
    <w:rsid w:val="002B71B7"/>
    <w:rsid w:val="002B729F"/>
    <w:rsid w:val="002B7561"/>
    <w:rsid w:val="002B7613"/>
    <w:rsid w:val="002B7783"/>
    <w:rsid w:val="002B79F7"/>
    <w:rsid w:val="002B79FC"/>
    <w:rsid w:val="002B7A42"/>
    <w:rsid w:val="002B7AC8"/>
    <w:rsid w:val="002B7B05"/>
    <w:rsid w:val="002B7E15"/>
    <w:rsid w:val="002C0480"/>
    <w:rsid w:val="002C04E8"/>
    <w:rsid w:val="002C0831"/>
    <w:rsid w:val="002C0B14"/>
    <w:rsid w:val="002C0CA3"/>
    <w:rsid w:val="002C127D"/>
    <w:rsid w:val="002C215E"/>
    <w:rsid w:val="002C21C3"/>
    <w:rsid w:val="002C2367"/>
    <w:rsid w:val="002C2716"/>
    <w:rsid w:val="002C289E"/>
    <w:rsid w:val="002C2965"/>
    <w:rsid w:val="002C2BB8"/>
    <w:rsid w:val="002C2D09"/>
    <w:rsid w:val="002C3A75"/>
    <w:rsid w:val="002C3D8F"/>
    <w:rsid w:val="002C408D"/>
    <w:rsid w:val="002C43CB"/>
    <w:rsid w:val="002C48E6"/>
    <w:rsid w:val="002C5027"/>
    <w:rsid w:val="002C523F"/>
    <w:rsid w:val="002C5CE7"/>
    <w:rsid w:val="002C6274"/>
    <w:rsid w:val="002C62D0"/>
    <w:rsid w:val="002C642B"/>
    <w:rsid w:val="002C646B"/>
    <w:rsid w:val="002C7194"/>
    <w:rsid w:val="002C71A1"/>
    <w:rsid w:val="002C7380"/>
    <w:rsid w:val="002C7582"/>
    <w:rsid w:val="002D03F8"/>
    <w:rsid w:val="002D05F2"/>
    <w:rsid w:val="002D0680"/>
    <w:rsid w:val="002D073E"/>
    <w:rsid w:val="002D0A61"/>
    <w:rsid w:val="002D0D3C"/>
    <w:rsid w:val="002D0DCE"/>
    <w:rsid w:val="002D14EC"/>
    <w:rsid w:val="002D158E"/>
    <w:rsid w:val="002D208C"/>
    <w:rsid w:val="002D20C7"/>
    <w:rsid w:val="002D230F"/>
    <w:rsid w:val="002D2453"/>
    <w:rsid w:val="002D268F"/>
    <w:rsid w:val="002D2B56"/>
    <w:rsid w:val="002D2B81"/>
    <w:rsid w:val="002D2F3D"/>
    <w:rsid w:val="002D31A5"/>
    <w:rsid w:val="002D397B"/>
    <w:rsid w:val="002D4042"/>
    <w:rsid w:val="002D44E3"/>
    <w:rsid w:val="002D4BC5"/>
    <w:rsid w:val="002D51CA"/>
    <w:rsid w:val="002D52E6"/>
    <w:rsid w:val="002D53B8"/>
    <w:rsid w:val="002D581D"/>
    <w:rsid w:val="002D5A03"/>
    <w:rsid w:val="002D5F3E"/>
    <w:rsid w:val="002D604A"/>
    <w:rsid w:val="002D640D"/>
    <w:rsid w:val="002D7882"/>
    <w:rsid w:val="002D7911"/>
    <w:rsid w:val="002D7E8F"/>
    <w:rsid w:val="002E0399"/>
    <w:rsid w:val="002E0951"/>
    <w:rsid w:val="002E0EDE"/>
    <w:rsid w:val="002E12DD"/>
    <w:rsid w:val="002E186E"/>
    <w:rsid w:val="002E199E"/>
    <w:rsid w:val="002E1C7A"/>
    <w:rsid w:val="002E1D34"/>
    <w:rsid w:val="002E2055"/>
    <w:rsid w:val="002E250B"/>
    <w:rsid w:val="002E2A6D"/>
    <w:rsid w:val="002E2B43"/>
    <w:rsid w:val="002E2EB2"/>
    <w:rsid w:val="002E3744"/>
    <w:rsid w:val="002E3AC2"/>
    <w:rsid w:val="002E3B82"/>
    <w:rsid w:val="002E3CAA"/>
    <w:rsid w:val="002E4A6F"/>
    <w:rsid w:val="002E4AC0"/>
    <w:rsid w:val="002E4C47"/>
    <w:rsid w:val="002E5825"/>
    <w:rsid w:val="002E5E9D"/>
    <w:rsid w:val="002E6142"/>
    <w:rsid w:val="002E633B"/>
    <w:rsid w:val="002E6595"/>
    <w:rsid w:val="002E6D64"/>
    <w:rsid w:val="002E70C3"/>
    <w:rsid w:val="002F0720"/>
    <w:rsid w:val="002F0752"/>
    <w:rsid w:val="002F094E"/>
    <w:rsid w:val="002F0BF9"/>
    <w:rsid w:val="002F125C"/>
    <w:rsid w:val="002F1F49"/>
    <w:rsid w:val="002F27BA"/>
    <w:rsid w:val="002F2D60"/>
    <w:rsid w:val="002F2FB1"/>
    <w:rsid w:val="002F322F"/>
    <w:rsid w:val="002F37CC"/>
    <w:rsid w:val="002F3B6E"/>
    <w:rsid w:val="002F3CE2"/>
    <w:rsid w:val="002F3CEC"/>
    <w:rsid w:val="002F4501"/>
    <w:rsid w:val="002F450D"/>
    <w:rsid w:val="002F46BA"/>
    <w:rsid w:val="002F5266"/>
    <w:rsid w:val="002F588C"/>
    <w:rsid w:val="002F5C07"/>
    <w:rsid w:val="002F5FCA"/>
    <w:rsid w:val="002F79D9"/>
    <w:rsid w:val="002F7EB0"/>
    <w:rsid w:val="002F7F4D"/>
    <w:rsid w:val="0030015E"/>
    <w:rsid w:val="00300240"/>
    <w:rsid w:val="00300928"/>
    <w:rsid w:val="00300CD5"/>
    <w:rsid w:val="00300D5E"/>
    <w:rsid w:val="00301127"/>
    <w:rsid w:val="00301131"/>
    <w:rsid w:val="003016DA"/>
    <w:rsid w:val="0030189B"/>
    <w:rsid w:val="00301ACE"/>
    <w:rsid w:val="00301D45"/>
    <w:rsid w:val="003023CE"/>
    <w:rsid w:val="00302937"/>
    <w:rsid w:val="00302DA4"/>
    <w:rsid w:val="00303233"/>
    <w:rsid w:val="003032E1"/>
    <w:rsid w:val="00303B73"/>
    <w:rsid w:val="00303BFB"/>
    <w:rsid w:val="00303CF7"/>
    <w:rsid w:val="00303EB7"/>
    <w:rsid w:val="003051FD"/>
    <w:rsid w:val="003057DB"/>
    <w:rsid w:val="00305C19"/>
    <w:rsid w:val="00305E4C"/>
    <w:rsid w:val="003060AB"/>
    <w:rsid w:val="0030649A"/>
    <w:rsid w:val="00306621"/>
    <w:rsid w:val="003069BB"/>
    <w:rsid w:val="003072C1"/>
    <w:rsid w:val="003073CF"/>
    <w:rsid w:val="00307862"/>
    <w:rsid w:val="00307B95"/>
    <w:rsid w:val="00307E47"/>
    <w:rsid w:val="00310C4E"/>
    <w:rsid w:val="00310DAD"/>
    <w:rsid w:val="0031143B"/>
    <w:rsid w:val="00311453"/>
    <w:rsid w:val="00311A16"/>
    <w:rsid w:val="00311AF9"/>
    <w:rsid w:val="00311C57"/>
    <w:rsid w:val="00311F46"/>
    <w:rsid w:val="00312223"/>
    <w:rsid w:val="00313221"/>
    <w:rsid w:val="00313766"/>
    <w:rsid w:val="00313B64"/>
    <w:rsid w:val="00313D25"/>
    <w:rsid w:val="00313D46"/>
    <w:rsid w:val="0031407B"/>
    <w:rsid w:val="003141DC"/>
    <w:rsid w:val="003143E8"/>
    <w:rsid w:val="0031492F"/>
    <w:rsid w:val="003154B4"/>
    <w:rsid w:val="003157B0"/>
    <w:rsid w:val="003159A3"/>
    <w:rsid w:val="00315A56"/>
    <w:rsid w:val="00315AF9"/>
    <w:rsid w:val="00315C4D"/>
    <w:rsid w:val="00316384"/>
    <w:rsid w:val="003164D0"/>
    <w:rsid w:val="003164E6"/>
    <w:rsid w:val="00316859"/>
    <w:rsid w:val="00316875"/>
    <w:rsid w:val="00317102"/>
    <w:rsid w:val="00317261"/>
    <w:rsid w:val="00317448"/>
    <w:rsid w:val="00317822"/>
    <w:rsid w:val="003178A3"/>
    <w:rsid w:val="003178C8"/>
    <w:rsid w:val="003206BF"/>
    <w:rsid w:val="003208F2"/>
    <w:rsid w:val="00320CCB"/>
    <w:rsid w:val="003210F4"/>
    <w:rsid w:val="00321229"/>
    <w:rsid w:val="0032147B"/>
    <w:rsid w:val="003215F0"/>
    <w:rsid w:val="00321773"/>
    <w:rsid w:val="00321993"/>
    <w:rsid w:val="003219ED"/>
    <w:rsid w:val="00321B7A"/>
    <w:rsid w:val="00321D8F"/>
    <w:rsid w:val="0032218D"/>
    <w:rsid w:val="003222C8"/>
    <w:rsid w:val="0032259F"/>
    <w:rsid w:val="00322EF6"/>
    <w:rsid w:val="003234A1"/>
    <w:rsid w:val="003236CB"/>
    <w:rsid w:val="00323966"/>
    <w:rsid w:val="0032396F"/>
    <w:rsid w:val="00323CDE"/>
    <w:rsid w:val="003246D6"/>
    <w:rsid w:val="00324B3D"/>
    <w:rsid w:val="00324D7C"/>
    <w:rsid w:val="003251EF"/>
    <w:rsid w:val="00325509"/>
    <w:rsid w:val="003255F1"/>
    <w:rsid w:val="003259AA"/>
    <w:rsid w:val="00326308"/>
    <w:rsid w:val="00326493"/>
    <w:rsid w:val="003266E9"/>
    <w:rsid w:val="00326A36"/>
    <w:rsid w:val="00326EC7"/>
    <w:rsid w:val="00327197"/>
    <w:rsid w:val="003272CA"/>
    <w:rsid w:val="0032777B"/>
    <w:rsid w:val="00330299"/>
    <w:rsid w:val="00330849"/>
    <w:rsid w:val="003308E8"/>
    <w:rsid w:val="00330AC7"/>
    <w:rsid w:val="00331312"/>
    <w:rsid w:val="00331453"/>
    <w:rsid w:val="00331C82"/>
    <w:rsid w:val="00331DE8"/>
    <w:rsid w:val="003324FA"/>
    <w:rsid w:val="00332874"/>
    <w:rsid w:val="00332D71"/>
    <w:rsid w:val="00333068"/>
    <w:rsid w:val="00333126"/>
    <w:rsid w:val="00333544"/>
    <w:rsid w:val="00333BDB"/>
    <w:rsid w:val="00333C75"/>
    <w:rsid w:val="00333D77"/>
    <w:rsid w:val="00334082"/>
    <w:rsid w:val="003340D1"/>
    <w:rsid w:val="00334366"/>
    <w:rsid w:val="00334A01"/>
    <w:rsid w:val="00334C63"/>
    <w:rsid w:val="00334C9E"/>
    <w:rsid w:val="0033560A"/>
    <w:rsid w:val="00335DCE"/>
    <w:rsid w:val="00336387"/>
    <w:rsid w:val="003364E1"/>
    <w:rsid w:val="00336C62"/>
    <w:rsid w:val="00336D6A"/>
    <w:rsid w:val="00337073"/>
    <w:rsid w:val="00337927"/>
    <w:rsid w:val="00337ADC"/>
    <w:rsid w:val="00337EAA"/>
    <w:rsid w:val="003404D6"/>
    <w:rsid w:val="003404FA"/>
    <w:rsid w:val="00340542"/>
    <w:rsid w:val="00340BE2"/>
    <w:rsid w:val="00340D74"/>
    <w:rsid w:val="00341D6D"/>
    <w:rsid w:val="00341E4C"/>
    <w:rsid w:val="00341EEB"/>
    <w:rsid w:val="00342238"/>
    <w:rsid w:val="003424E5"/>
    <w:rsid w:val="00343589"/>
    <w:rsid w:val="00343851"/>
    <w:rsid w:val="00343EF4"/>
    <w:rsid w:val="00344559"/>
    <w:rsid w:val="003449E1"/>
    <w:rsid w:val="00344D31"/>
    <w:rsid w:val="00344F06"/>
    <w:rsid w:val="00345C7C"/>
    <w:rsid w:val="0034686E"/>
    <w:rsid w:val="00346A8B"/>
    <w:rsid w:val="00346BE3"/>
    <w:rsid w:val="0034738D"/>
    <w:rsid w:val="0034768B"/>
    <w:rsid w:val="003476B7"/>
    <w:rsid w:val="00347E0A"/>
    <w:rsid w:val="00350539"/>
    <w:rsid w:val="00350670"/>
    <w:rsid w:val="00350A68"/>
    <w:rsid w:val="0035151C"/>
    <w:rsid w:val="003517A7"/>
    <w:rsid w:val="00351821"/>
    <w:rsid w:val="00351BCF"/>
    <w:rsid w:val="00351E13"/>
    <w:rsid w:val="00351FDF"/>
    <w:rsid w:val="003521A9"/>
    <w:rsid w:val="00352313"/>
    <w:rsid w:val="00352725"/>
    <w:rsid w:val="00352A8D"/>
    <w:rsid w:val="00352CB0"/>
    <w:rsid w:val="003531E3"/>
    <w:rsid w:val="0035328D"/>
    <w:rsid w:val="00353689"/>
    <w:rsid w:val="00353DF0"/>
    <w:rsid w:val="003540B7"/>
    <w:rsid w:val="0035420E"/>
    <w:rsid w:val="0035426B"/>
    <w:rsid w:val="003544EB"/>
    <w:rsid w:val="003546C8"/>
    <w:rsid w:val="00354B7C"/>
    <w:rsid w:val="00355001"/>
    <w:rsid w:val="00355081"/>
    <w:rsid w:val="00355174"/>
    <w:rsid w:val="003553BE"/>
    <w:rsid w:val="00355898"/>
    <w:rsid w:val="00355BB3"/>
    <w:rsid w:val="00355CBD"/>
    <w:rsid w:val="00355DF5"/>
    <w:rsid w:val="00356189"/>
    <w:rsid w:val="00356805"/>
    <w:rsid w:val="00356DCE"/>
    <w:rsid w:val="003570EE"/>
    <w:rsid w:val="0035765D"/>
    <w:rsid w:val="00357811"/>
    <w:rsid w:val="0035799F"/>
    <w:rsid w:val="00360123"/>
    <w:rsid w:val="0036144A"/>
    <w:rsid w:val="003614AE"/>
    <w:rsid w:val="0036165E"/>
    <w:rsid w:val="003616F1"/>
    <w:rsid w:val="00361B87"/>
    <w:rsid w:val="00361E09"/>
    <w:rsid w:val="003620DF"/>
    <w:rsid w:val="00362252"/>
    <w:rsid w:val="003623D5"/>
    <w:rsid w:val="003627F8"/>
    <w:rsid w:val="00362907"/>
    <w:rsid w:val="00362E1A"/>
    <w:rsid w:val="00363435"/>
    <w:rsid w:val="00363620"/>
    <w:rsid w:val="00363D07"/>
    <w:rsid w:val="00363D2A"/>
    <w:rsid w:val="00363D78"/>
    <w:rsid w:val="003640F4"/>
    <w:rsid w:val="00364438"/>
    <w:rsid w:val="00364708"/>
    <w:rsid w:val="003647FA"/>
    <w:rsid w:val="00364A5F"/>
    <w:rsid w:val="00364B72"/>
    <w:rsid w:val="00364BD1"/>
    <w:rsid w:val="00364DBD"/>
    <w:rsid w:val="003650ED"/>
    <w:rsid w:val="003653A4"/>
    <w:rsid w:val="00365953"/>
    <w:rsid w:val="00366831"/>
    <w:rsid w:val="00367273"/>
    <w:rsid w:val="00367687"/>
    <w:rsid w:val="00367C9B"/>
    <w:rsid w:val="00367F7F"/>
    <w:rsid w:val="0037014D"/>
    <w:rsid w:val="0037033A"/>
    <w:rsid w:val="00370C33"/>
    <w:rsid w:val="00370DD9"/>
    <w:rsid w:val="00371329"/>
    <w:rsid w:val="003713B0"/>
    <w:rsid w:val="00371D33"/>
    <w:rsid w:val="00371FCC"/>
    <w:rsid w:val="0037226D"/>
    <w:rsid w:val="00372A3B"/>
    <w:rsid w:val="00372A6C"/>
    <w:rsid w:val="00372B12"/>
    <w:rsid w:val="00373243"/>
    <w:rsid w:val="00373BF5"/>
    <w:rsid w:val="00373CFD"/>
    <w:rsid w:val="00373E13"/>
    <w:rsid w:val="00373F64"/>
    <w:rsid w:val="00374CA3"/>
    <w:rsid w:val="00374D72"/>
    <w:rsid w:val="00374ED2"/>
    <w:rsid w:val="003752AE"/>
    <w:rsid w:val="003754C5"/>
    <w:rsid w:val="003755E9"/>
    <w:rsid w:val="00375D0A"/>
    <w:rsid w:val="00375F9E"/>
    <w:rsid w:val="00376668"/>
    <w:rsid w:val="00376745"/>
    <w:rsid w:val="00376788"/>
    <w:rsid w:val="00376908"/>
    <w:rsid w:val="00376B61"/>
    <w:rsid w:val="00376D4F"/>
    <w:rsid w:val="00376F4D"/>
    <w:rsid w:val="00376F98"/>
    <w:rsid w:val="00377022"/>
    <w:rsid w:val="00377184"/>
    <w:rsid w:val="0037725B"/>
    <w:rsid w:val="003772FC"/>
    <w:rsid w:val="00377350"/>
    <w:rsid w:val="0037780F"/>
    <w:rsid w:val="00377A4C"/>
    <w:rsid w:val="00377EC1"/>
    <w:rsid w:val="00377F42"/>
    <w:rsid w:val="0038025A"/>
    <w:rsid w:val="00380859"/>
    <w:rsid w:val="003808B8"/>
    <w:rsid w:val="00380B04"/>
    <w:rsid w:val="00380B9D"/>
    <w:rsid w:val="00380F57"/>
    <w:rsid w:val="003817FC"/>
    <w:rsid w:val="00381BDC"/>
    <w:rsid w:val="00382278"/>
    <w:rsid w:val="003824AD"/>
    <w:rsid w:val="003827BC"/>
    <w:rsid w:val="0038286B"/>
    <w:rsid w:val="00382D90"/>
    <w:rsid w:val="00383A0C"/>
    <w:rsid w:val="00383A9C"/>
    <w:rsid w:val="003844EF"/>
    <w:rsid w:val="003846C5"/>
    <w:rsid w:val="003849A8"/>
    <w:rsid w:val="00384E8A"/>
    <w:rsid w:val="00385075"/>
    <w:rsid w:val="00385249"/>
    <w:rsid w:val="00385479"/>
    <w:rsid w:val="00385600"/>
    <w:rsid w:val="00385F2B"/>
    <w:rsid w:val="00385F9E"/>
    <w:rsid w:val="00386263"/>
    <w:rsid w:val="003871E5"/>
    <w:rsid w:val="00387B8D"/>
    <w:rsid w:val="00387F68"/>
    <w:rsid w:val="0039074D"/>
    <w:rsid w:val="003908E5"/>
    <w:rsid w:val="00390D1E"/>
    <w:rsid w:val="0039154E"/>
    <w:rsid w:val="00391576"/>
    <w:rsid w:val="003916F2"/>
    <w:rsid w:val="00391BA7"/>
    <w:rsid w:val="00391F5B"/>
    <w:rsid w:val="00391F7F"/>
    <w:rsid w:val="00391F85"/>
    <w:rsid w:val="00392252"/>
    <w:rsid w:val="00392707"/>
    <w:rsid w:val="0039291E"/>
    <w:rsid w:val="00392B16"/>
    <w:rsid w:val="003930E3"/>
    <w:rsid w:val="0039320C"/>
    <w:rsid w:val="003933E4"/>
    <w:rsid w:val="00393B20"/>
    <w:rsid w:val="00393BA9"/>
    <w:rsid w:val="003943E6"/>
    <w:rsid w:val="0039443A"/>
    <w:rsid w:val="003949AF"/>
    <w:rsid w:val="00395072"/>
    <w:rsid w:val="00395D26"/>
    <w:rsid w:val="00395E47"/>
    <w:rsid w:val="00395F24"/>
    <w:rsid w:val="0039622D"/>
    <w:rsid w:val="00396668"/>
    <w:rsid w:val="00396B5B"/>
    <w:rsid w:val="00396F5F"/>
    <w:rsid w:val="0039760F"/>
    <w:rsid w:val="00397974"/>
    <w:rsid w:val="00397D2F"/>
    <w:rsid w:val="00397F74"/>
    <w:rsid w:val="003A13C5"/>
    <w:rsid w:val="003A1923"/>
    <w:rsid w:val="003A19B1"/>
    <w:rsid w:val="003A1DF6"/>
    <w:rsid w:val="003A1EC5"/>
    <w:rsid w:val="003A20C7"/>
    <w:rsid w:val="003A3311"/>
    <w:rsid w:val="003A36BB"/>
    <w:rsid w:val="003A3706"/>
    <w:rsid w:val="003A3B84"/>
    <w:rsid w:val="003A3E7E"/>
    <w:rsid w:val="003A410B"/>
    <w:rsid w:val="003A4407"/>
    <w:rsid w:val="003A50BA"/>
    <w:rsid w:val="003A51B9"/>
    <w:rsid w:val="003A535F"/>
    <w:rsid w:val="003A570A"/>
    <w:rsid w:val="003A5C89"/>
    <w:rsid w:val="003A6CC0"/>
    <w:rsid w:val="003A6EA2"/>
    <w:rsid w:val="003A70FA"/>
    <w:rsid w:val="003A7237"/>
    <w:rsid w:val="003A75C3"/>
    <w:rsid w:val="003A7666"/>
    <w:rsid w:val="003A7716"/>
    <w:rsid w:val="003A7B88"/>
    <w:rsid w:val="003A7C88"/>
    <w:rsid w:val="003A7FB2"/>
    <w:rsid w:val="003B0798"/>
    <w:rsid w:val="003B0960"/>
    <w:rsid w:val="003B096A"/>
    <w:rsid w:val="003B196E"/>
    <w:rsid w:val="003B1C66"/>
    <w:rsid w:val="003B237A"/>
    <w:rsid w:val="003B2885"/>
    <w:rsid w:val="003B2A31"/>
    <w:rsid w:val="003B2BF1"/>
    <w:rsid w:val="003B2F28"/>
    <w:rsid w:val="003B34B9"/>
    <w:rsid w:val="003B41DB"/>
    <w:rsid w:val="003B438E"/>
    <w:rsid w:val="003B43D7"/>
    <w:rsid w:val="003B441E"/>
    <w:rsid w:val="003B4BC9"/>
    <w:rsid w:val="003B5047"/>
    <w:rsid w:val="003B5189"/>
    <w:rsid w:val="003B5A2B"/>
    <w:rsid w:val="003B5ADD"/>
    <w:rsid w:val="003B6359"/>
    <w:rsid w:val="003B6382"/>
    <w:rsid w:val="003B67FE"/>
    <w:rsid w:val="003B6DC1"/>
    <w:rsid w:val="003B6FF9"/>
    <w:rsid w:val="003B7460"/>
    <w:rsid w:val="003B7DD9"/>
    <w:rsid w:val="003C0546"/>
    <w:rsid w:val="003C06C1"/>
    <w:rsid w:val="003C0784"/>
    <w:rsid w:val="003C0FA0"/>
    <w:rsid w:val="003C1111"/>
    <w:rsid w:val="003C15A4"/>
    <w:rsid w:val="003C1BA3"/>
    <w:rsid w:val="003C22F6"/>
    <w:rsid w:val="003C2486"/>
    <w:rsid w:val="003C2860"/>
    <w:rsid w:val="003C2ADA"/>
    <w:rsid w:val="003C2BD0"/>
    <w:rsid w:val="003C377B"/>
    <w:rsid w:val="003C3B4D"/>
    <w:rsid w:val="003C3B77"/>
    <w:rsid w:val="003C3E51"/>
    <w:rsid w:val="003C3F78"/>
    <w:rsid w:val="003C3FB2"/>
    <w:rsid w:val="003C40B3"/>
    <w:rsid w:val="003C47EC"/>
    <w:rsid w:val="003C497D"/>
    <w:rsid w:val="003C51F6"/>
    <w:rsid w:val="003C53AC"/>
    <w:rsid w:val="003C61D7"/>
    <w:rsid w:val="003C6B26"/>
    <w:rsid w:val="003C6B6D"/>
    <w:rsid w:val="003C7643"/>
    <w:rsid w:val="003C7890"/>
    <w:rsid w:val="003C78D5"/>
    <w:rsid w:val="003C7D45"/>
    <w:rsid w:val="003D02E0"/>
    <w:rsid w:val="003D045F"/>
    <w:rsid w:val="003D06C0"/>
    <w:rsid w:val="003D0B54"/>
    <w:rsid w:val="003D1816"/>
    <w:rsid w:val="003D1E07"/>
    <w:rsid w:val="003D1E8A"/>
    <w:rsid w:val="003D2665"/>
    <w:rsid w:val="003D2743"/>
    <w:rsid w:val="003D32EA"/>
    <w:rsid w:val="003D3605"/>
    <w:rsid w:val="003D36BB"/>
    <w:rsid w:val="003D37FB"/>
    <w:rsid w:val="003D3B9C"/>
    <w:rsid w:val="003D4211"/>
    <w:rsid w:val="003D490F"/>
    <w:rsid w:val="003D52AC"/>
    <w:rsid w:val="003D5EB6"/>
    <w:rsid w:val="003D5F27"/>
    <w:rsid w:val="003D5F47"/>
    <w:rsid w:val="003D65E6"/>
    <w:rsid w:val="003D7135"/>
    <w:rsid w:val="003D74F9"/>
    <w:rsid w:val="003D7BF2"/>
    <w:rsid w:val="003E0498"/>
    <w:rsid w:val="003E0907"/>
    <w:rsid w:val="003E0E29"/>
    <w:rsid w:val="003E0E7D"/>
    <w:rsid w:val="003E113E"/>
    <w:rsid w:val="003E1698"/>
    <w:rsid w:val="003E17B0"/>
    <w:rsid w:val="003E2109"/>
    <w:rsid w:val="003E2422"/>
    <w:rsid w:val="003E31C6"/>
    <w:rsid w:val="003E32CD"/>
    <w:rsid w:val="003E35D0"/>
    <w:rsid w:val="003E35F3"/>
    <w:rsid w:val="003E3627"/>
    <w:rsid w:val="003E37A2"/>
    <w:rsid w:val="003E37FA"/>
    <w:rsid w:val="003E396A"/>
    <w:rsid w:val="003E3B4C"/>
    <w:rsid w:val="003E3BC6"/>
    <w:rsid w:val="003E3BF9"/>
    <w:rsid w:val="003E3DA7"/>
    <w:rsid w:val="003E3F81"/>
    <w:rsid w:val="003E3FC6"/>
    <w:rsid w:val="003E45B9"/>
    <w:rsid w:val="003E5364"/>
    <w:rsid w:val="003E53EA"/>
    <w:rsid w:val="003E5448"/>
    <w:rsid w:val="003E5A20"/>
    <w:rsid w:val="003E5A5F"/>
    <w:rsid w:val="003E5B00"/>
    <w:rsid w:val="003E64E0"/>
    <w:rsid w:val="003E683B"/>
    <w:rsid w:val="003E6860"/>
    <w:rsid w:val="003E6C48"/>
    <w:rsid w:val="003E6F26"/>
    <w:rsid w:val="003E70EB"/>
    <w:rsid w:val="003E7170"/>
    <w:rsid w:val="003E71EF"/>
    <w:rsid w:val="003E765A"/>
    <w:rsid w:val="003E7FD4"/>
    <w:rsid w:val="003F00A7"/>
    <w:rsid w:val="003F00E6"/>
    <w:rsid w:val="003F01FE"/>
    <w:rsid w:val="003F0742"/>
    <w:rsid w:val="003F0CFE"/>
    <w:rsid w:val="003F11E5"/>
    <w:rsid w:val="003F126B"/>
    <w:rsid w:val="003F15DD"/>
    <w:rsid w:val="003F1A39"/>
    <w:rsid w:val="003F1BDE"/>
    <w:rsid w:val="003F1F7A"/>
    <w:rsid w:val="003F20B1"/>
    <w:rsid w:val="003F2316"/>
    <w:rsid w:val="003F24F4"/>
    <w:rsid w:val="003F2CF4"/>
    <w:rsid w:val="003F3707"/>
    <w:rsid w:val="003F3968"/>
    <w:rsid w:val="003F3C49"/>
    <w:rsid w:val="003F3E9C"/>
    <w:rsid w:val="003F4151"/>
    <w:rsid w:val="003F4205"/>
    <w:rsid w:val="003F4953"/>
    <w:rsid w:val="003F4DEA"/>
    <w:rsid w:val="003F5C8E"/>
    <w:rsid w:val="003F5E97"/>
    <w:rsid w:val="003F6641"/>
    <w:rsid w:val="003F6736"/>
    <w:rsid w:val="003F67D1"/>
    <w:rsid w:val="003F6C6C"/>
    <w:rsid w:val="003F6EAA"/>
    <w:rsid w:val="003F713E"/>
    <w:rsid w:val="003F71C7"/>
    <w:rsid w:val="003F7270"/>
    <w:rsid w:val="003F75CB"/>
    <w:rsid w:val="003F7A0C"/>
    <w:rsid w:val="003F7FBD"/>
    <w:rsid w:val="00400156"/>
    <w:rsid w:val="0040037E"/>
    <w:rsid w:val="00400BB5"/>
    <w:rsid w:val="00400CCD"/>
    <w:rsid w:val="00400FFA"/>
    <w:rsid w:val="00401071"/>
    <w:rsid w:val="0040139F"/>
    <w:rsid w:val="00401D4B"/>
    <w:rsid w:val="004022FA"/>
    <w:rsid w:val="00402585"/>
    <w:rsid w:val="00402ABF"/>
    <w:rsid w:val="00402C5A"/>
    <w:rsid w:val="00402CD7"/>
    <w:rsid w:val="00402E39"/>
    <w:rsid w:val="00403053"/>
    <w:rsid w:val="0040396D"/>
    <w:rsid w:val="00403D0C"/>
    <w:rsid w:val="00403D7B"/>
    <w:rsid w:val="00403F96"/>
    <w:rsid w:val="00404A44"/>
    <w:rsid w:val="004051F5"/>
    <w:rsid w:val="0040539E"/>
    <w:rsid w:val="00405601"/>
    <w:rsid w:val="004057BB"/>
    <w:rsid w:val="00405873"/>
    <w:rsid w:val="00405D49"/>
    <w:rsid w:val="0040662D"/>
    <w:rsid w:val="0040685D"/>
    <w:rsid w:val="00406878"/>
    <w:rsid w:val="004069DB"/>
    <w:rsid w:val="00406E79"/>
    <w:rsid w:val="00406FB7"/>
    <w:rsid w:val="004070D0"/>
    <w:rsid w:val="0040719D"/>
    <w:rsid w:val="0040735D"/>
    <w:rsid w:val="00407730"/>
    <w:rsid w:val="00407747"/>
    <w:rsid w:val="0040776C"/>
    <w:rsid w:val="00407F04"/>
    <w:rsid w:val="0041012B"/>
    <w:rsid w:val="00411021"/>
    <w:rsid w:val="00411145"/>
    <w:rsid w:val="00411339"/>
    <w:rsid w:val="004115A1"/>
    <w:rsid w:val="004115D7"/>
    <w:rsid w:val="004116B3"/>
    <w:rsid w:val="00411805"/>
    <w:rsid w:val="0041195B"/>
    <w:rsid w:val="00411A31"/>
    <w:rsid w:val="00411CB5"/>
    <w:rsid w:val="00411DBC"/>
    <w:rsid w:val="004120C6"/>
    <w:rsid w:val="004120FC"/>
    <w:rsid w:val="00412D53"/>
    <w:rsid w:val="00413219"/>
    <w:rsid w:val="004132F1"/>
    <w:rsid w:val="004135AD"/>
    <w:rsid w:val="004141C4"/>
    <w:rsid w:val="00414959"/>
    <w:rsid w:val="004151B7"/>
    <w:rsid w:val="00415676"/>
    <w:rsid w:val="00415CA8"/>
    <w:rsid w:val="00415D8C"/>
    <w:rsid w:val="00415DA9"/>
    <w:rsid w:val="004160F0"/>
    <w:rsid w:val="00416A0F"/>
    <w:rsid w:val="00416E88"/>
    <w:rsid w:val="00416EF1"/>
    <w:rsid w:val="004175E7"/>
    <w:rsid w:val="00417828"/>
    <w:rsid w:val="00417936"/>
    <w:rsid w:val="00417EA6"/>
    <w:rsid w:val="004201B1"/>
    <w:rsid w:val="00420605"/>
    <w:rsid w:val="004206F1"/>
    <w:rsid w:val="00420E6E"/>
    <w:rsid w:val="0042134F"/>
    <w:rsid w:val="00421414"/>
    <w:rsid w:val="004219E2"/>
    <w:rsid w:val="00421D0E"/>
    <w:rsid w:val="00422959"/>
    <w:rsid w:val="00422A2E"/>
    <w:rsid w:val="00422F9C"/>
    <w:rsid w:val="004231C1"/>
    <w:rsid w:val="004237B6"/>
    <w:rsid w:val="00423AC7"/>
    <w:rsid w:val="00423D3D"/>
    <w:rsid w:val="00424627"/>
    <w:rsid w:val="0042494A"/>
    <w:rsid w:val="00424B3E"/>
    <w:rsid w:val="00424D3F"/>
    <w:rsid w:val="004253CD"/>
    <w:rsid w:val="00425972"/>
    <w:rsid w:val="00426248"/>
    <w:rsid w:val="004263C3"/>
    <w:rsid w:val="004264BD"/>
    <w:rsid w:val="00426684"/>
    <w:rsid w:val="0042683D"/>
    <w:rsid w:val="00426AB7"/>
    <w:rsid w:val="00426C51"/>
    <w:rsid w:val="00426CB9"/>
    <w:rsid w:val="004270F9"/>
    <w:rsid w:val="004273D1"/>
    <w:rsid w:val="004273D5"/>
    <w:rsid w:val="004273E1"/>
    <w:rsid w:val="00427B2B"/>
    <w:rsid w:val="0043047B"/>
    <w:rsid w:val="0043087B"/>
    <w:rsid w:val="00430948"/>
    <w:rsid w:val="00430A36"/>
    <w:rsid w:val="00430D12"/>
    <w:rsid w:val="00431209"/>
    <w:rsid w:val="0043138E"/>
    <w:rsid w:val="0043161B"/>
    <w:rsid w:val="00431A2B"/>
    <w:rsid w:val="00431A8D"/>
    <w:rsid w:val="00431E90"/>
    <w:rsid w:val="004320B7"/>
    <w:rsid w:val="004321DF"/>
    <w:rsid w:val="004325A0"/>
    <w:rsid w:val="00432851"/>
    <w:rsid w:val="00432D7A"/>
    <w:rsid w:val="00433E05"/>
    <w:rsid w:val="00434155"/>
    <w:rsid w:val="004341D3"/>
    <w:rsid w:val="004342C8"/>
    <w:rsid w:val="00434CFD"/>
    <w:rsid w:val="00435369"/>
    <w:rsid w:val="00435674"/>
    <w:rsid w:val="00435824"/>
    <w:rsid w:val="00435F0A"/>
    <w:rsid w:val="00436228"/>
    <w:rsid w:val="004364B4"/>
    <w:rsid w:val="0043689C"/>
    <w:rsid w:val="004368D4"/>
    <w:rsid w:val="0043715F"/>
    <w:rsid w:val="004373E2"/>
    <w:rsid w:val="004373FD"/>
    <w:rsid w:val="004379CE"/>
    <w:rsid w:val="00437D04"/>
    <w:rsid w:val="00437D1D"/>
    <w:rsid w:val="00437DF6"/>
    <w:rsid w:val="0044000D"/>
    <w:rsid w:val="004400D8"/>
    <w:rsid w:val="0044054F"/>
    <w:rsid w:val="0044066A"/>
    <w:rsid w:val="00440915"/>
    <w:rsid w:val="00440CA4"/>
    <w:rsid w:val="00440F13"/>
    <w:rsid w:val="00441B14"/>
    <w:rsid w:val="00441C3A"/>
    <w:rsid w:val="00441E0C"/>
    <w:rsid w:val="00442460"/>
    <w:rsid w:val="00442620"/>
    <w:rsid w:val="00442789"/>
    <w:rsid w:val="004434DD"/>
    <w:rsid w:val="00443E51"/>
    <w:rsid w:val="0044414F"/>
    <w:rsid w:val="004443FA"/>
    <w:rsid w:val="00444C2D"/>
    <w:rsid w:val="00444D25"/>
    <w:rsid w:val="00444E50"/>
    <w:rsid w:val="004454AE"/>
    <w:rsid w:val="004457F0"/>
    <w:rsid w:val="00445C00"/>
    <w:rsid w:val="00445D84"/>
    <w:rsid w:val="004462D6"/>
    <w:rsid w:val="004472DC"/>
    <w:rsid w:val="00447533"/>
    <w:rsid w:val="0044797B"/>
    <w:rsid w:val="004501A6"/>
    <w:rsid w:val="00450487"/>
    <w:rsid w:val="00450D5D"/>
    <w:rsid w:val="00450F8A"/>
    <w:rsid w:val="00451196"/>
    <w:rsid w:val="0045130D"/>
    <w:rsid w:val="0045138F"/>
    <w:rsid w:val="004513F1"/>
    <w:rsid w:val="00451A96"/>
    <w:rsid w:val="00452101"/>
    <w:rsid w:val="004525F1"/>
    <w:rsid w:val="00452C44"/>
    <w:rsid w:val="0045366A"/>
    <w:rsid w:val="00453C42"/>
    <w:rsid w:val="00453D46"/>
    <w:rsid w:val="00453D98"/>
    <w:rsid w:val="00453EB3"/>
    <w:rsid w:val="00453F70"/>
    <w:rsid w:val="00453FAE"/>
    <w:rsid w:val="00454061"/>
    <w:rsid w:val="004543E5"/>
    <w:rsid w:val="0045477F"/>
    <w:rsid w:val="00455191"/>
    <w:rsid w:val="004551B1"/>
    <w:rsid w:val="0045541C"/>
    <w:rsid w:val="00455B79"/>
    <w:rsid w:val="00455F2C"/>
    <w:rsid w:val="00456042"/>
    <w:rsid w:val="0045659C"/>
    <w:rsid w:val="00456679"/>
    <w:rsid w:val="00456D2E"/>
    <w:rsid w:val="0045735F"/>
    <w:rsid w:val="0045797E"/>
    <w:rsid w:val="00457DAB"/>
    <w:rsid w:val="00457DDA"/>
    <w:rsid w:val="00457E68"/>
    <w:rsid w:val="00457FE8"/>
    <w:rsid w:val="0046038B"/>
    <w:rsid w:val="00462BBA"/>
    <w:rsid w:val="004632E6"/>
    <w:rsid w:val="00463E59"/>
    <w:rsid w:val="00464248"/>
    <w:rsid w:val="00464249"/>
    <w:rsid w:val="004642BF"/>
    <w:rsid w:val="004642DC"/>
    <w:rsid w:val="004642E2"/>
    <w:rsid w:val="004643B9"/>
    <w:rsid w:val="00464C4D"/>
    <w:rsid w:val="00464C54"/>
    <w:rsid w:val="00464C56"/>
    <w:rsid w:val="00465347"/>
    <w:rsid w:val="00465619"/>
    <w:rsid w:val="00465837"/>
    <w:rsid w:val="004663C5"/>
    <w:rsid w:val="0046642F"/>
    <w:rsid w:val="004664A0"/>
    <w:rsid w:val="00466E1B"/>
    <w:rsid w:val="00466F07"/>
    <w:rsid w:val="004671EF"/>
    <w:rsid w:val="0046753D"/>
    <w:rsid w:val="00467719"/>
    <w:rsid w:val="00467879"/>
    <w:rsid w:val="00467917"/>
    <w:rsid w:val="004701DC"/>
    <w:rsid w:val="00470233"/>
    <w:rsid w:val="00470B2F"/>
    <w:rsid w:val="004710AE"/>
    <w:rsid w:val="00471CD0"/>
    <w:rsid w:val="00472181"/>
    <w:rsid w:val="004721B5"/>
    <w:rsid w:val="00472200"/>
    <w:rsid w:val="0047228E"/>
    <w:rsid w:val="0047233D"/>
    <w:rsid w:val="00472663"/>
    <w:rsid w:val="004726B7"/>
    <w:rsid w:val="00472772"/>
    <w:rsid w:val="00472C6F"/>
    <w:rsid w:val="00473409"/>
    <w:rsid w:val="004740EE"/>
    <w:rsid w:val="004742BB"/>
    <w:rsid w:val="00474433"/>
    <w:rsid w:val="00474644"/>
    <w:rsid w:val="0047476D"/>
    <w:rsid w:val="004749FA"/>
    <w:rsid w:val="00474A8F"/>
    <w:rsid w:val="00475522"/>
    <w:rsid w:val="004757DC"/>
    <w:rsid w:val="004759E1"/>
    <w:rsid w:val="00475CDE"/>
    <w:rsid w:val="0047638E"/>
    <w:rsid w:val="00476761"/>
    <w:rsid w:val="00476779"/>
    <w:rsid w:val="00476977"/>
    <w:rsid w:val="00476B99"/>
    <w:rsid w:val="00476DCF"/>
    <w:rsid w:val="00476F95"/>
    <w:rsid w:val="0047748E"/>
    <w:rsid w:val="00477779"/>
    <w:rsid w:val="00477984"/>
    <w:rsid w:val="00477E8E"/>
    <w:rsid w:val="004801D6"/>
    <w:rsid w:val="00480227"/>
    <w:rsid w:val="00480418"/>
    <w:rsid w:val="004804F3"/>
    <w:rsid w:val="00481785"/>
    <w:rsid w:val="004818F2"/>
    <w:rsid w:val="004819DE"/>
    <w:rsid w:val="00481FAD"/>
    <w:rsid w:val="004830BF"/>
    <w:rsid w:val="00483263"/>
    <w:rsid w:val="0048335F"/>
    <w:rsid w:val="004839A6"/>
    <w:rsid w:val="00483F27"/>
    <w:rsid w:val="0048417C"/>
    <w:rsid w:val="00484669"/>
    <w:rsid w:val="00484969"/>
    <w:rsid w:val="00484E81"/>
    <w:rsid w:val="0048514A"/>
    <w:rsid w:val="004854CA"/>
    <w:rsid w:val="004855EA"/>
    <w:rsid w:val="00485668"/>
    <w:rsid w:val="004856BB"/>
    <w:rsid w:val="004858BA"/>
    <w:rsid w:val="004858FB"/>
    <w:rsid w:val="00485B5F"/>
    <w:rsid w:val="00485BB7"/>
    <w:rsid w:val="00485C6E"/>
    <w:rsid w:val="00486BCE"/>
    <w:rsid w:val="00486BE2"/>
    <w:rsid w:val="00486FE3"/>
    <w:rsid w:val="00487197"/>
    <w:rsid w:val="00487BA5"/>
    <w:rsid w:val="00487D32"/>
    <w:rsid w:val="00487DB5"/>
    <w:rsid w:val="00490222"/>
    <w:rsid w:val="004903C1"/>
    <w:rsid w:val="00490B44"/>
    <w:rsid w:val="00491430"/>
    <w:rsid w:val="00491508"/>
    <w:rsid w:val="0049165E"/>
    <w:rsid w:val="004916A4"/>
    <w:rsid w:val="00491818"/>
    <w:rsid w:val="00491A95"/>
    <w:rsid w:val="00491C07"/>
    <w:rsid w:val="00491D51"/>
    <w:rsid w:val="00491D7D"/>
    <w:rsid w:val="00492471"/>
    <w:rsid w:val="004924B6"/>
    <w:rsid w:val="00492673"/>
    <w:rsid w:val="00492A1C"/>
    <w:rsid w:val="00492B66"/>
    <w:rsid w:val="00493023"/>
    <w:rsid w:val="004934BD"/>
    <w:rsid w:val="00493A53"/>
    <w:rsid w:val="00493A6C"/>
    <w:rsid w:val="00493ABB"/>
    <w:rsid w:val="00493C0C"/>
    <w:rsid w:val="004941B7"/>
    <w:rsid w:val="0049482D"/>
    <w:rsid w:val="00494CCE"/>
    <w:rsid w:val="00494EB1"/>
    <w:rsid w:val="00495513"/>
    <w:rsid w:val="0049587F"/>
    <w:rsid w:val="004960FA"/>
    <w:rsid w:val="00496A8D"/>
    <w:rsid w:val="00496AF6"/>
    <w:rsid w:val="00496DFC"/>
    <w:rsid w:val="00497706"/>
    <w:rsid w:val="0049783E"/>
    <w:rsid w:val="00497AC5"/>
    <w:rsid w:val="00497AE4"/>
    <w:rsid w:val="004A00CF"/>
    <w:rsid w:val="004A03E4"/>
    <w:rsid w:val="004A03F9"/>
    <w:rsid w:val="004A0782"/>
    <w:rsid w:val="004A0929"/>
    <w:rsid w:val="004A0DEF"/>
    <w:rsid w:val="004A1027"/>
    <w:rsid w:val="004A14F8"/>
    <w:rsid w:val="004A1A44"/>
    <w:rsid w:val="004A1B52"/>
    <w:rsid w:val="004A1D1E"/>
    <w:rsid w:val="004A1FF4"/>
    <w:rsid w:val="004A2002"/>
    <w:rsid w:val="004A22EB"/>
    <w:rsid w:val="004A28A5"/>
    <w:rsid w:val="004A2AE4"/>
    <w:rsid w:val="004A34B3"/>
    <w:rsid w:val="004A3542"/>
    <w:rsid w:val="004A3665"/>
    <w:rsid w:val="004A385F"/>
    <w:rsid w:val="004A3E08"/>
    <w:rsid w:val="004A3E92"/>
    <w:rsid w:val="004A436D"/>
    <w:rsid w:val="004A4435"/>
    <w:rsid w:val="004A47D6"/>
    <w:rsid w:val="004A4CC3"/>
    <w:rsid w:val="004A4DF8"/>
    <w:rsid w:val="004A501B"/>
    <w:rsid w:val="004A53A7"/>
    <w:rsid w:val="004A6547"/>
    <w:rsid w:val="004A74A9"/>
    <w:rsid w:val="004A75FF"/>
    <w:rsid w:val="004A7B42"/>
    <w:rsid w:val="004A7E38"/>
    <w:rsid w:val="004B0170"/>
    <w:rsid w:val="004B03A8"/>
    <w:rsid w:val="004B03DA"/>
    <w:rsid w:val="004B0557"/>
    <w:rsid w:val="004B059C"/>
    <w:rsid w:val="004B0858"/>
    <w:rsid w:val="004B1409"/>
    <w:rsid w:val="004B15CB"/>
    <w:rsid w:val="004B1CB8"/>
    <w:rsid w:val="004B1EF7"/>
    <w:rsid w:val="004B2016"/>
    <w:rsid w:val="004B298B"/>
    <w:rsid w:val="004B3264"/>
    <w:rsid w:val="004B35FB"/>
    <w:rsid w:val="004B4973"/>
    <w:rsid w:val="004B4A63"/>
    <w:rsid w:val="004B5276"/>
    <w:rsid w:val="004B5435"/>
    <w:rsid w:val="004B5506"/>
    <w:rsid w:val="004B5BF2"/>
    <w:rsid w:val="004B5D30"/>
    <w:rsid w:val="004B61CE"/>
    <w:rsid w:val="004B66B5"/>
    <w:rsid w:val="004B6930"/>
    <w:rsid w:val="004B6A6F"/>
    <w:rsid w:val="004B6AA5"/>
    <w:rsid w:val="004B6D45"/>
    <w:rsid w:val="004B71A8"/>
    <w:rsid w:val="004B7E00"/>
    <w:rsid w:val="004C01D4"/>
    <w:rsid w:val="004C0316"/>
    <w:rsid w:val="004C0395"/>
    <w:rsid w:val="004C05DF"/>
    <w:rsid w:val="004C07EF"/>
    <w:rsid w:val="004C0C80"/>
    <w:rsid w:val="004C0CE9"/>
    <w:rsid w:val="004C1C34"/>
    <w:rsid w:val="004C1C4C"/>
    <w:rsid w:val="004C2602"/>
    <w:rsid w:val="004C2CE2"/>
    <w:rsid w:val="004C305C"/>
    <w:rsid w:val="004C32E6"/>
    <w:rsid w:val="004C36E1"/>
    <w:rsid w:val="004C3AE3"/>
    <w:rsid w:val="004C3CF0"/>
    <w:rsid w:val="004C405F"/>
    <w:rsid w:val="004C4066"/>
    <w:rsid w:val="004C48DB"/>
    <w:rsid w:val="004C4931"/>
    <w:rsid w:val="004C5428"/>
    <w:rsid w:val="004C568E"/>
    <w:rsid w:val="004C5E27"/>
    <w:rsid w:val="004C5E3E"/>
    <w:rsid w:val="004C68CB"/>
    <w:rsid w:val="004C6A44"/>
    <w:rsid w:val="004C6C31"/>
    <w:rsid w:val="004C6E34"/>
    <w:rsid w:val="004C6E6E"/>
    <w:rsid w:val="004C6F0D"/>
    <w:rsid w:val="004C70E1"/>
    <w:rsid w:val="004C748B"/>
    <w:rsid w:val="004C751F"/>
    <w:rsid w:val="004C767B"/>
    <w:rsid w:val="004D029B"/>
    <w:rsid w:val="004D0E23"/>
    <w:rsid w:val="004D1352"/>
    <w:rsid w:val="004D15B6"/>
    <w:rsid w:val="004D1735"/>
    <w:rsid w:val="004D1876"/>
    <w:rsid w:val="004D1BFA"/>
    <w:rsid w:val="004D1CEB"/>
    <w:rsid w:val="004D2780"/>
    <w:rsid w:val="004D2E75"/>
    <w:rsid w:val="004D2FCF"/>
    <w:rsid w:val="004D32F8"/>
    <w:rsid w:val="004D3304"/>
    <w:rsid w:val="004D33A6"/>
    <w:rsid w:val="004D382B"/>
    <w:rsid w:val="004D4306"/>
    <w:rsid w:val="004D435A"/>
    <w:rsid w:val="004D435F"/>
    <w:rsid w:val="004D498E"/>
    <w:rsid w:val="004D525E"/>
    <w:rsid w:val="004D5269"/>
    <w:rsid w:val="004D550A"/>
    <w:rsid w:val="004D56DC"/>
    <w:rsid w:val="004D5A82"/>
    <w:rsid w:val="004D5D9E"/>
    <w:rsid w:val="004D6474"/>
    <w:rsid w:val="004D65FD"/>
    <w:rsid w:val="004D6980"/>
    <w:rsid w:val="004D6B3D"/>
    <w:rsid w:val="004D7462"/>
    <w:rsid w:val="004D7684"/>
    <w:rsid w:val="004D7769"/>
    <w:rsid w:val="004E0094"/>
    <w:rsid w:val="004E00DE"/>
    <w:rsid w:val="004E059D"/>
    <w:rsid w:val="004E06AF"/>
    <w:rsid w:val="004E0FF6"/>
    <w:rsid w:val="004E1571"/>
    <w:rsid w:val="004E16A1"/>
    <w:rsid w:val="004E18CA"/>
    <w:rsid w:val="004E1A03"/>
    <w:rsid w:val="004E1D96"/>
    <w:rsid w:val="004E1EAF"/>
    <w:rsid w:val="004E1FC7"/>
    <w:rsid w:val="004E208D"/>
    <w:rsid w:val="004E21C4"/>
    <w:rsid w:val="004E2867"/>
    <w:rsid w:val="004E2C66"/>
    <w:rsid w:val="004E2CF0"/>
    <w:rsid w:val="004E3603"/>
    <w:rsid w:val="004E3AA7"/>
    <w:rsid w:val="004E3D79"/>
    <w:rsid w:val="004E3E0E"/>
    <w:rsid w:val="004E3EEC"/>
    <w:rsid w:val="004E3F19"/>
    <w:rsid w:val="004E3F5D"/>
    <w:rsid w:val="004E431A"/>
    <w:rsid w:val="004E4403"/>
    <w:rsid w:val="004E4554"/>
    <w:rsid w:val="004E4663"/>
    <w:rsid w:val="004E4790"/>
    <w:rsid w:val="004E47FC"/>
    <w:rsid w:val="004E4B83"/>
    <w:rsid w:val="004E52A9"/>
    <w:rsid w:val="004E563E"/>
    <w:rsid w:val="004E5693"/>
    <w:rsid w:val="004E5E77"/>
    <w:rsid w:val="004E5E9F"/>
    <w:rsid w:val="004E5FB6"/>
    <w:rsid w:val="004E6341"/>
    <w:rsid w:val="004E65A9"/>
    <w:rsid w:val="004E6930"/>
    <w:rsid w:val="004E720D"/>
    <w:rsid w:val="004E74AC"/>
    <w:rsid w:val="004E78AC"/>
    <w:rsid w:val="004F00A5"/>
    <w:rsid w:val="004F024A"/>
    <w:rsid w:val="004F05D2"/>
    <w:rsid w:val="004F0F32"/>
    <w:rsid w:val="004F1D7C"/>
    <w:rsid w:val="004F1F2B"/>
    <w:rsid w:val="004F1F78"/>
    <w:rsid w:val="004F1FAD"/>
    <w:rsid w:val="004F226B"/>
    <w:rsid w:val="004F24BE"/>
    <w:rsid w:val="004F2555"/>
    <w:rsid w:val="004F2729"/>
    <w:rsid w:val="004F2BED"/>
    <w:rsid w:val="004F3101"/>
    <w:rsid w:val="004F32E2"/>
    <w:rsid w:val="004F34B1"/>
    <w:rsid w:val="004F3D45"/>
    <w:rsid w:val="004F3D9E"/>
    <w:rsid w:val="004F4C8E"/>
    <w:rsid w:val="004F4D54"/>
    <w:rsid w:val="004F4D79"/>
    <w:rsid w:val="004F5135"/>
    <w:rsid w:val="004F51CE"/>
    <w:rsid w:val="004F5645"/>
    <w:rsid w:val="004F5663"/>
    <w:rsid w:val="004F5CA0"/>
    <w:rsid w:val="004F5EEB"/>
    <w:rsid w:val="004F65AA"/>
    <w:rsid w:val="004F65B5"/>
    <w:rsid w:val="004F66B9"/>
    <w:rsid w:val="004F6A74"/>
    <w:rsid w:val="004F6AD3"/>
    <w:rsid w:val="004F6F72"/>
    <w:rsid w:val="004F6FD0"/>
    <w:rsid w:val="004F7011"/>
    <w:rsid w:val="004F708A"/>
    <w:rsid w:val="004F72C3"/>
    <w:rsid w:val="004F796A"/>
    <w:rsid w:val="005000F8"/>
    <w:rsid w:val="00500549"/>
    <w:rsid w:val="00500623"/>
    <w:rsid w:val="005006D0"/>
    <w:rsid w:val="00500FF6"/>
    <w:rsid w:val="005015F3"/>
    <w:rsid w:val="00501652"/>
    <w:rsid w:val="005018F7"/>
    <w:rsid w:val="005019C6"/>
    <w:rsid w:val="00501E4E"/>
    <w:rsid w:val="00501EF8"/>
    <w:rsid w:val="00501F25"/>
    <w:rsid w:val="005025EC"/>
    <w:rsid w:val="005026DC"/>
    <w:rsid w:val="005026F7"/>
    <w:rsid w:val="005027FF"/>
    <w:rsid w:val="00502B58"/>
    <w:rsid w:val="00502F1A"/>
    <w:rsid w:val="00502F48"/>
    <w:rsid w:val="005032E7"/>
    <w:rsid w:val="0050382F"/>
    <w:rsid w:val="005039EE"/>
    <w:rsid w:val="00503A64"/>
    <w:rsid w:val="00503B2C"/>
    <w:rsid w:val="00503BAB"/>
    <w:rsid w:val="00503DE8"/>
    <w:rsid w:val="00504198"/>
    <w:rsid w:val="005042DC"/>
    <w:rsid w:val="00504332"/>
    <w:rsid w:val="0050442F"/>
    <w:rsid w:val="005044AA"/>
    <w:rsid w:val="0050457B"/>
    <w:rsid w:val="005047E6"/>
    <w:rsid w:val="00504AFE"/>
    <w:rsid w:val="00504EE1"/>
    <w:rsid w:val="00504FA6"/>
    <w:rsid w:val="00505399"/>
    <w:rsid w:val="0050564A"/>
    <w:rsid w:val="005057D4"/>
    <w:rsid w:val="00505D3E"/>
    <w:rsid w:val="00506432"/>
    <w:rsid w:val="005066E2"/>
    <w:rsid w:val="00506FC5"/>
    <w:rsid w:val="005070C1"/>
    <w:rsid w:val="00507100"/>
    <w:rsid w:val="005073D7"/>
    <w:rsid w:val="005074B6"/>
    <w:rsid w:val="0050762F"/>
    <w:rsid w:val="0050773A"/>
    <w:rsid w:val="005077D5"/>
    <w:rsid w:val="0050782B"/>
    <w:rsid w:val="00507D16"/>
    <w:rsid w:val="00507FAB"/>
    <w:rsid w:val="005101E6"/>
    <w:rsid w:val="00510392"/>
    <w:rsid w:val="005105D1"/>
    <w:rsid w:val="00510613"/>
    <w:rsid w:val="00510B86"/>
    <w:rsid w:val="00511210"/>
    <w:rsid w:val="005122B4"/>
    <w:rsid w:val="005126D9"/>
    <w:rsid w:val="0051272F"/>
    <w:rsid w:val="005130E7"/>
    <w:rsid w:val="005136F0"/>
    <w:rsid w:val="00513811"/>
    <w:rsid w:val="00513C3D"/>
    <w:rsid w:val="00513D50"/>
    <w:rsid w:val="00513F99"/>
    <w:rsid w:val="00514181"/>
    <w:rsid w:val="00514239"/>
    <w:rsid w:val="00514AB7"/>
    <w:rsid w:val="00514AEE"/>
    <w:rsid w:val="00514D9D"/>
    <w:rsid w:val="005154D6"/>
    <w:rsid w:val="005160CF"/>
    <w:rsid w:val="00516661"/>
    <w:rsid w:val="00516944"/>
    <w:rsid w:val="00516A24"/>
    <w:rsid w:val="00517874"/>
    <w:rsid w:val="0051795D"/>
    <w:rsid w:val="00517E2F"/>
    <w:rsid w:val="00517E42"/>
    <w:rsid w:val="00517EBA"/>
    <w:rsid w:val="00520633"/>
    <w:rsid w:val="00520753"/>
    <w:rsid w:val="00520AA3"/>
    <w:rsid w:val="00520C90"/>
    <w:rsid w:val="00520F69"/>
    <w:rsid w:val="00520F81"/>
    <w:rsid w:val="00521F45"/>
    <w:rsid w:val="00521FAF"/>
    <w:rsid w:val="0052261A"/>
    <w:rsid w:val="0052263F"/>
    <w:rsid w:val="00522C10"/>
    <w:rsid w:val="0052385E"/>
    <w:rsid w:val="00523A25"/>
    <w:rsid w:val="0052423A"/>
    <w:rsid w:val="005243E4"/>
    <w:rsid w:val="00524BA4"/>
    <w:rsid w:val="005258C0"/>
    <w:rsid w:val="00525C15"/>
    <w:rsid w:val="00526603"/>
    <w:rsid w:val="00526941"/>
    <w:rsid w:val="00527055"/>
    <w:rsid w:val="005273A5"/>
    <w:rsid w:val="00527768"/>
    <w:rsid w:val="00527809"/>
    <w:rsid w:val="00527A0D"/>
    <w:rsid w:val="00527C20"/>
    <w:rsid w:val="00527E27"/>
    <w:rsid w:val="00530092"/>
    <w:rsid w:val="005304C2"/>
    <w:rsid w:val="0053074E"/>
    <w:rsid w:val="00530E0C"/>
    <w:rsid w:val="005313B9"/>
    <w:rsid w:val="005318AF"/>
    <w:rsid w:val="00531AA2"/>
    <w:rsid w:val="005321B5"/>
    <w:rsid w:val="0053261E"/>
    <w:rsid w:val="005329FB"/>
    <w:rsid w:val="00532EC3"/>
    <w:rsid w:val="0053311D"/>
    <w:rsid w:val="00533892"/>
    <w:rsid w:val="005338C1"/>
    <w:rsid w:val="00533A71"/>
    <w:rsid w:val="00533BBD"/>
    <w:rsid w:val="00533BCD"/>
    <w:rsid w:val="00533CFE"/>
    <w:rsid w:val="00534161"/>
    <w:rsid w:val="00534351"/>
    <w:rsid w:val="0053488B"/>
    <w:rsid w:val="00534E5C"/>
    <w:rsid w:val="0053546F"/>
    <w:rsid w:val="005354C0"/>
    <w:rsid w:val="00535BBD"/>
    <w:rsid w:val="00536420"/>
    <w:rsid w:val="0053668C"/>
    <w:rsid w:val="005366FB"/>
    <w:rsid w:val="00536A1E"/>
    <w:rsid w:val="00536AB8"/>
    <w:rsid w:val="00536C17"/>
    <w:rsid w:val="00537047"/>
    <w:rsid w:val="00537485"/>
    <w:rsid w:val="005379A9"/>
    <w:rsid w:val="00537A6B"/>
    <w:rsid w:val="00537B82"/>
    <w:rsid w:val="005403F3"/>
    <w:rsid w:val="0054048A"/>
    <w:rsid w:val="00540819"/>
    <w:rsid w:val="00540869"/>
    <w:rsid w:val="00540AE9"/>
    <w:rsid w:val="00540DA3"/>
    <w:rsid w:val="00540EBA"/>
    <w:rsid w:val="00541870"/>
    <w:rsid w:val="00541B02"/>
    <w:rsid w:val="005424F9"/>
    <w:rsid w:val="00542583"/>
    <w:rsid w:val="005425D7"/>
    <w:rsid w:val="0054286D"/>
    <w:rsid w:val="005429DC"/>
    <w:rsid w:val="00542F7F"/>
    <w:rsid w:val="005434ED"/>
    <w:rsid w:val="00543532"/>
    <w:rsid w:val="00543A52"/>
    <w:rsid w:val="00544064"/>
    <w:rsid w:val="0054433B"/>
    <w:rsid w:val="00544B7B"/>
    <w:rsid w:val="005450A1"/>
    <w:rsid w:val="005453B7"/>
    <w:rsid w:val="00545871"/>
    <w:rsid w:val="00545C8C"/>
    <w:rsid w:val="005471F9"/>
    <w:rsid w:val="0054726C"/>
    <w:rsid w:val="00547695"/>
    <w:rsid w:val="00547915"/>
    <w:rsid w:val="00547F26"/>
    <w:rsid w:val="00550145"/>
    <w:rsid w:val="00550257"/>
    <w:rsid w:val="00550656"/>
    <w:rsid w:val="005506B9"/>
    <w:rsid w:val="00550985"/>
    <w:rsid w:val="0055154F"/>
    <w:rsid w:val="005517DA"/>
    <w:rsid w:val="00552589"/>
    <w:rsid w:val="005528D3"/>
    <w:rsid w:val="00553DAB"/>
    <w:rsid w:val="00554236"/>
    <w:rsid w:val="00554609"/>
    <w:rsid w:val="00554995"/>
    <w:rsid w:val="00554CF1"/>
    <w:rsid w:val="00555023"/>
    <w:rsid w:val="00555C0F"/>
    <w:rsid w:val="0055620E"/>
    <w:rsid w:val="00556433"/>
    <w:rsid w:val="00556689"/>
    <w:rsid w:val="005573E4"/>
    <w:rsid w:val="00557968"/>
    <w:rsid w:val="00557BBF"/>
    <w:rsid w:val="00557C13"/>
    <w:rsid w:val="00557E2B"/>
    <w:rsid w:val="00560B24"/>
    <w:rsid w:val="00560BA6"/>
    <w:rsid w:val="00560FC2"/>
    <w:rsid w:val="005613EE"/>
    <w:rsid w:val="00561561"/>
    <w:rsid w:val="005620C1"/>
    <w:rsid w:val="0056234F"/>
    <w:rsid w:val="0056236D"/>
    <w:rsid w:val="005633B9"/>
    <w:rsid w:val="005638E5"/>
    <w:rsid w:val="00563C47"/>
    <w:rsid w:val="00564787"/>
    <w:rsid w:val="00564882"/>
    <w:rsid w:val="005651A5"/>
    <w:rsid w:val="00565471"/>
    <w:rsid w:val="00565578"/>
    <w:rsid w:val="00565BA9"/>
    <w:rsid w:val="00565DDB"/>
    <w:rsid w:val="00566DE9"/>
    <w:rsid w:val="005670A4"/>
    <w:rsid w:val="0056769E"/>
    <w:rsid w:val="00567919"/>
    <w:rsid w:val="005679D0"/>
    <w:rsid w:val="00570189"/>
    <w:rsid w:val="0057028C"/>
    <w:rsid w:val="0057037E"/>
    <w:rsid w:val="00570AC0"/>
    <w:rsid w:val="00570AC5"/>
    <w:rsid w:val="00570EC7"/>
    <w:rsid w:val="00571A40"/>
    <w:rsid w:val="00571D3B"/>
    <w:rsid w:val="00571E54"/>
    <w:rsid w:val="00571F7B"/>
    <w:rsid w:val="00572186"/>
    <w:rsid w:val="00572327"/>
    <w:rsid w:val="005726F2"/>
    <w:rsid w:val="00572C66"/>
    <w:rsid w:val="00572CD3"/>
    <w:rsid w:val="00572E01"/>
    <w:rsid w:val="005730F1"/>
    <w:rsid w:val="0057349C"/>
    <w:rsid w:val="00573D94"/>
    <w:rsid w:val="0057422C"/>
    <w:rsid w:val="0057428C"/>
    <w:rsid w:val="0057479B"/>
    <w:rsid w:val="005748D8"/>
    <w:rsid w:val="00574A8D"/>
    <w:rsid w:val="00574C36"/>
    <w:rsid w:val="00575955"/>
    <w:rsid w:val="00575CEE"/>
    <w:rsid w:val="00576B54"/>
    <w:rsid w:val="00576D3F"/>
    <w:rsid w:val="00576DE3"/>
    <w:rsid w:val="00576EE9"/>
    <w:rsid w:val="00576F56"/>
    <w:rsid w:val="0057742C"/>
    <w:rsid w:val="0057777F"/>
    <w:rsid w:val="00577795"/>
    <w:rsid w:val="00577834"/>
    <w:rsid w:val="005778E9"/>
    <w:rsid w:val="00577CED"/>
    <w:rsid w:val="00577E17"/>
    <w:rsid w:val="0058076C"/>
    <w:rsid w:val="005808EE"/>
    <w:rsid w:val="00580D0D"/>
    <w:rsid w:val="005812CF"/>
    <w:rsid w:val="005817E7"/>
    <w:rsid w:val="00581A24"/>
    <w:rsid w:val="00581AEE"/>
    <w:rsid w:val="00581BC5"/>
    <w:rsid w:val="00581DE4"/>
    <w:rsid w:val="00581EFD"/>
    <w:rsid w:val="0058258D"/>
    <w:rsid w:val="00582EA0"/>
    <w:rsid w:val="00583136"/>
    <w:rsid w:val="00583184"/>
    <w:rsid w:val="00583951"/>
    <w:rsid w:val="00583FEC"/>
    <w:rsid w:val="005849B6"/>
    <w:rsid w:val="00584B86"/>
    <w:rsid w:val="00584C9C"/>
    <w:rsid w:val="00584D99"/>
    <w:rsid w:val="00585234"/>
    <w:rsid w:val="005852A5"/>
    <w:rsid w:val="0058540C"/>
    <w:rsid w:val="00585919"/>
    <w:rsid w:val="005859F8"/>
    <w:rsid w:val="00585CA6"/>
    <w:rsid w:val="00585E2B"/>
    <w:rsid w:val="00586391"/>
    <w:rsid w:val="005864E4"/>
    <w:rsid w:val="005865C6"/>
    <w:rsid w:val="0058676E"/>
    <w:rsid w:val="00586B98"/>
    <w:rsid w:val="00586EA7"/>
    <w:rsid w:val="00586EBC"/>
    <w:rsid w:val="005875E7"/>
    <w:rsid w:val="00587A37"/>
    <w:rsid w:val="00587A58"/>
    <w:rsid w:val="00587A66"/>
    <w:rsid w:val="00587AA5"/>
    <w:rsid w:val="00587D3D"/>
    <w:rsid w:val="00587DDB"/>
    <w:rsid w:val="00590CFF"/>
    <w:rsid w:val="0059145A"/>
    <w:rsid w:val="0059160E"/>
    <w:rsid w:val="00591696"/>
    <w:rsid w:val="00591B6F"/>
    <w:rsid w:val="00591D58"/>
    <w:rsid w:val="00591E58"/>
    <w:rsid w:val="0059201D"/>
    <w:rsid w:val="00592167"/>
    <w:rsid w:val="005922AB"/>
    <w:rsid w:val="005925FC"/>
    <w:rsid w:val="00592FCC"/>
    <w:rsid w:val="00593AC6"/>
    <w:rsid w:val="00593E13"/>
    <w:rsid w:val="00593EF4"/>
    <w:rsid w:val="00594A1C"/>
    <w:rsid w:val="00595593"/>
    <w:rsid w:val="00595625"/>
    <w:rsid w:val="0059567F"/>
    <w:rsid w:val="00595698"/>
    <w:rsid w:val="0059596D"/>
    <w:rsid w:val="00596516"/>
    <w:rsid w:val="00596592"/>
    <w:rsid w:val="0059722E"/>
    <w:rsid w:val="005973BF"/>
    <w:rsid w:val="005973E0"/>
    <w:rsid w:val="00597706"/>
    <w:rsid w:val="00597D87"/>
    <w:rsid w:val="005A028F"/>
    <w:rsid w:val="005A0389"/>
    <w:rsid w:val="005A05B6"/>
    <w:rsid w:val="005A06E9"/>
    <w:rsid w:val="005A0897"/>
    <w:rsid w:val="005A0B3F"/>
    <w:rsid w:val="005A0CFA"/>
    <w:rsid w:val="005A0EB9"/>
    <w:rsid w:val="005A14A0"/>
    <w:rsid w:val="005A16B9"/>
    <w:rsid w:val="005A1B26"/>
    <w:rsid w:val="005A1E7C"/>
    <w:rsid w:val="005A1F51"/>
    <w:rsid w:val="005A2744"/>
    <w:rsid w:val="005A2A24"/>
    <w:rsid w:val="005A2B31"/>
    <w:rsid w:val="005A2D6D"/>
    <w:rsid w:val="005A2E4F"/>
    <w:rsid w:val="005A30F5"/>
    <w:rsid w:val="005A32F7"/>
    <w:rsid w:val="005A3551"/>
    <w:rsid w:val="005A38AA"/>
    <w:rsid w:val="005A3A28"/>
    <w:rsid w:val="005A40A1"/>
    <w:rsid w:val="005A40D7"/>
    <w:rsid w:val="005A4249"/>
    <w:rsid w:val="005A48F0"/>
    <w:rsid w:val="005A4908"/>
    <w:rsid w:val="005A50B5"/>
    <w:rsid w:val="005A57CD"/>
    <w:rsid w:val="005A57DE"/>
    <w:rsid w:val="005A60CD"/>
    <w:rsid w:val="005A6628"/>
    <w:rsid w:val="005A6F30"/>
    <w:rsid w:val="005A7241"/>
    <w:rsid w:val="005A7909"/>
    <w:rsid w:val="005A7910"/>
    <w:rsid w:val="005A7A59"/>
    <w:rsid w:val="005B000F"/>
    <w:rsid w:val="005B001F"/>
    <w:rsid w:val="005B063D"/>
    <w:rsid w:val="005B0886"/>
    <w:rsid w:val="005B09CB"/>
    <w:rsid w:val="005B0F37"/>
    <w:rsid w:val="005B101F"/>
    <w:rsid w:val="005B1325"/>
    <w:rsid w:val="005B15AD"/>
    <w:rsid w:val="005B176A"/>
    <w:rsid w:val="005B245F"/>
    <w:rsid w:val="005B27F3"/>
    <w:rsid w:val="005B2A89"/>
    <w:rsid w:val="005B315A"/>
    <w:rsid w:val="005B33E2"/>
    <w:rsid w:val="005B39D7"/>
    <w:rsid w:val="005B3A5E"/>
    <w:rsid w:val="005B3AAB"/>
    <w:rsid w:val="005B3E2A"/>
    <w:rsid w:val="005B3FBD"/>
    <w:rsid w:val="005B45C6"/>
    <w:rsid w:val="005B4639"/>
    <w:rsid w:val="005B5081"/>
    <w:rsid w:val="005B591A"/>
    <w:rsid w:val="005B5989"/>
    <w:rsid w:val="005B61F2"/>
    <w:rsid w:val="005B6C5F"/>
    <w:rsid w:val="005B702B"/>
    <w:rsid w:val="005B74E2"/>
    <w:rsid w:val="005B752E"/>
    <w:rsid w:val="005C0909"/>
    <w:rsid w:val="005C0AE1"/>
    <w:rsid w:val="005C1463"/>
    <w:rsid w:val="005C17B4"/>
    <w:rsid w:val="005C2341"/>
    <w:rsid w:val="005C256B"/>
    <w:rsid w:val="005C2761"/>
    <w:rsid w:val="005C2A4C"/>
    <w:rsid w:val="005C2FF5"/>
    <w:rsid w:val="005C3243"/>
    <w:rsid w:val="005C360E"/>
    <w:rsid w:val="005C3A7C"/>
    <w:rsid w:val="005C3D26"/>
    <w:rsid w:val="005C4697"/>
    <w:rsid w:val="005C4980"/>
    <w:rsid w:val="005C4B3E"/>
    <w:rsid w:val="005C4FA9"/>
    <w:rsid w:val="005C55C6"/>
    <w:rsid w:val="005C5D68"/>
    <w:rsid w:val="005C62A3"/>
    <w:rsid w:val="005C64B7"/>
    <w:rsid w:val="005C677E"/>
    <w:rsid w:val="005C6EB8"/>
    <w:rsid w:val="005C7009"/>
    <w:rsid w:val="005C738C"/>
    <w:rsid w:val="005C7583"/>
    <w:rsid w:val="005C7729"/>
    <w:rsid w:val="005C7BB6"/>
    <w:rsid w:val="005C7C03"/>
    <w:rsid w:val="005D0189"/>
    <w:rsid w:val="005D06AB"/>
    <w:rsid w:val="005D0CC1"/>
    <w:rsid w:val="005D1005"/>
    <w:rsid w:val="005D12DA"/>
    <w:rsid w:val="005D15A5"/>
    <w:rsid w:val="005D1C00"/>
    <w:rsid w:val="005D1E12"/>
    <w:rsid w:val="005D21D8"/>
    <w:rsid w:val="005D2837"/>
    <w:rsid w:val="005D2BB9"/>
    <w:rsid w:val="005D2CEC"/>
    <w:rsid w:val="005D2D43"/>
    <w:rsid w:val="005D2EEE"/>
    <w:rsid w:val="005D310A"/>
    <w:rsid w:val="005D3137"/>
    <w:rsid w:val="005D3379"/>
    <w:rsid w:val="005D33DD"/>
    <w:rsid w:val="005D3609"/>
    <w:rsid w:val="005D38A0"/>
    <w:rsid w:val="005D3A42"/>
    <w:rsid w:val="005D3C0D"/>
    <w:rsid w:val="005D471A"/>
    <w:rsid w:val="005D483E"/>
    <w:rsid w:val="005D4A00"/>
    <w:rsid w:val="005D4B8F"/>
    <w:rsid w:val="005D4EBA"/>
    <w:rsid w:val="005D4FF3"/>
    <w:rsid w:val="005D56CE"/>
    <w:rsid w:val="005D5846"/>
    <w:rsid w:val="005D58FC"/>
    <w:rsid w:val="005D5AE2"/>
    <w:rsid w:val="005D6263"/>
    <w:rsid w:val="005D6AA1"/>
    <w:rsid w:val="005D6B26"/>
    <w:rsid w:val="005D70F5"/>
    <w:rsid w:val="005D7266"/>
    <w:rsid w:val="005D77F6"/>
    <w:rsid w:val="005D7DE6"/>
    <w:rsid w:val="005E01B1"/>
    <w:rsid w:val="005E0A82"/>
    <w:rsid w:val="005E0DCE"/>
    <w:rsid w:val="005E0DD1"/>
    <w:rsid w:val="005E0F47"/>
    <w:rsid w:val="005E1058"/>
    <w:rsid w:val="005E1106"/>
    <w:rsid w:val="005E1A14"/>
    <w:rsid w:val="005E1F97"/>
    <w:rsid w:val="005E1FFE"/>
    <w:rsid w:val="005E24D1"/>
    <w:rsid w:val="005E27E6"/>
    <w:rsid w:val="005E2ACF"/>
    <w:rsid w:val="005E2B6E"/>
    <w:rsid w:val="005E30FD"/>
    <w:rsid w:val="005E31E0"/>
    <w:rsid w:val="005E326F"/>
    <w:rsid w:val="005E32BE"/>
    <w:rsid w:val="005E379A"/>
    <w:rsid w:val="005E385A"/>
    <w:rsid w:val="005E445B"/>
    <w:rsid w:val="005E48E0"/>
    <w:rsid w:val="005E49D5"/>
    <w:rsid w:val="005E4A0D"/>
    <w:rsid w:val="005E4D16"/>
    <w:rsid w:val="005E4E64"/>
    <w:rsid w:val="005E53DD"/>
    <w:rsid w:val="005E59B3"/>
    <w:rsid w:val="005E5B06"/>
    <w:rsid w:val="005E5C9D"/>
    <w:rsid w:val="005E5F24"/>
    <w:rsid w:val="005E627A"/>
    <w:rsid w:val="005E63ED"/>
    <w:rsid w:val="005E63FF"/>
    <w:rsid w:val="005E64B4"/>
    <w:rsid w:val="005E687B"/>
    <w:rsid w:val="005E6CDA"/>
    <w:rsid w:val="005E7067"/>
    <w:rsid w:val="005E7117"/>
    <w:rsid w:val="005E72D8"/>
    <w:rsid w:val="005F00CB"/>
    <w:rsid w:val="005F01B9"/>
    <w:rsid w:val="005F01E9"/>
    <w:rsid w:val="005F0951"/>
    <w:rsid w:val="005F099E"/>
    <w:rsid w:val="005F09C0"/>
    <w:rsid w:val="005F0E37"/>
    <w:rsid w:val="005F1214"/>
    <w:rsid w:val="005F121C"/>
    <w:rsid w:val="005F1486"/>
    <w:rsid w:val="005F220B"/>
    <w:rsid w:val="005F292B"/>
    <w:rsid w:val="005F2AC6"/>
    <w:rsid w:val="005F3DCB"/>
    <w:rsid w:val="005F3EA9"/>
    <w:rsid w:val="005F45B5"/>
    <w:rsid w:val="005F4807"/>
    <w:rsid w:val="005F4A23"/>
    <w:rsid w:val="005F4C80"/>
    <w:rsid w:val="005F4D39"/>
    <w:rsid w:val="005F4DB9"/>
    <w:rsid w:val="005F51A0"/>
    <w:rsid w:val="005F5857"/>
    <w:rsid w:val="005F5876"/>
    <w:rsid w:val="005F587B"/>
    <w:rsid w:val="005F594D"/>
    <w:rsid w:val="005F5A69"/>
    <w:rsid w:val="005F5A9A"/>
    <w:rsid w:val="005F5F6D"/>
    <w:rsid w:val="005F6521"/>
    <w:rsid w:val="005F6584"/>
    <w:rsid w:val="005F672F"/>
    <w:rsid w:val="005F695A"/>
    <w:rsid w:val="005F69E2"/>
    <w:rsid w:val="005F6A94"/>
    <w:rsid w:val="005F6EE5"/>
    <w:rsid w:val="005F6EEC"/>
    <w:rsid w:val="005F74B1"/>
    <w:rsid w:val="005F74DA"/>
    <w:rsid w:val="005F7903"/>
    <w:rsid w:val="005F7909"/>
    <w:rsid w:val="005F79A2"/>
    <w:rsid w:val="005F7E1C"/>
    <w:rsid w:val="00600335"/>
    <w:rsid w:val="0060047D"/>
    <w:rsid w:val="00600633"/>
    <w:rsid w:val="00600FA5"/>
    <w:rsid w:val="00601BB4"/>
    <w:rsid w:val="0060242B"/>
    <w:rsid w:val="006024DD"/>
    <w:rsid w:val="00602A05"/>
    <w:rsid w:val="006035A7"/>
    <w:rsid w:val="00603791"/>
    <w:rsid w:val="0060388B"/>
    <w:rsid w:val="006039CD"/>
    <w:rsid w:val="00604107"/>
    <w:rsid w:val="00604395"/>
    <w:rsid w:val="00604EFC"/>
    <w:rsid w:val="00604EFE"/>
    <w:rsid w:val="00604FF9"/>
    <w:rsid w:val="006052CC"/>
    <w:rsid w:val="00605432"/>
    <w:rsid w:val="00605635"/>
    <w:rsid w:val="0060595A"/>
    <w:rsid w:val="00605BB5"/>
    <w:rsid w:val="00606096"/>
    <w:rsid w:val="00606145"/>
    <w:rsid w:val="006064BC"/>
    <w:rsid w:val="00606806"/>
    <w:rsid w:val="00607332"/>
    <w:rsid w:val="006074C5"/>
    <w:rsid w:val="00607530"/>
    <w:rsid w:val="00607614"/>
    <w:rsid w:val="0060778A"/>
    <w:rsid w:val="00607BC3"/>
    <w:rsid w:val="00607BCD"/>
    <w:rsid w:val="00607BE0"/>
    <w:rsid w:val="00607FE7"/>
    <w:rsid w:val="00610384"/>
    <w:rsid w:val="006103B1"/>
    <w:rsid w:val="006109F3"/>
    <w:rsid w:val="00611417"/>
    <w:rsid w:val="00611550"/>
    <w:rsid w:val="006116DE"/>
    <w:rsid w:val="00611EB1"/>
    <w:rsid w:val="00611EB4"/>
    <w:rsid w:val="00612070"/>
    <w:rsid w:val="00612142"/>
    <w:rsid w:val="006124D9"/>
    <w:rsid w:val="0061256A"/>
    <w:rsid w:val="00612F39"/>
    <w:rsid w:val="00613C3F"/>
    <w:rsid w:val="006141F2"/>
    <w:rsid w:val="0061493F"/>
    <w:rsid w:val="006150D0"/>
    <w:rsid w:val="006156BD"/>
    <w:rsid w:val="00615B4B"/>
    <w:rsid w:val="00615D56"/>
    <w:rsid w:val="00615D6B"/>
    <w:rsid w:val="0061616A"/>
    <w:rsid w:val="006162F6"/>
    <w:rsid w:val="00617688"/>
    <w:rsid w:val="00617909"/>
    <w:rsid w:val="006201A4"/>
    <w:rsid w:val="006202D0"/>
    <w:rsid w:val="00620325"/>
    <w:rsid w:val="006207AA"/>
    <w:rsid w:val="006209A5"/>
    <w:rsid w:val="00620A3E"/>
    <w:rsid w:val="00620D2A"/>
    <w:rsid w:val="0062131F"/>
    <w:rsid w:val="006219A5"/>
    <w:rsid w:val="00621C73"/>
    <w:rsid w:val="0062236A"/>
    <w:rsid w:val="006223B3"/>
    <w:rsid w:val="00622A60"/>
    <w:rsid w:val="00622B89"/>
    <w:rsid w:val="00622FFC"/>
    <w:rsid w:val="006236E9"/>
    <w:rsid w:val="0062381E"/>
    <w:rsid w:val="00623BB4"/>
    <w:rsid w:val="00623DBE"/>
    <w:rsid w:val="00623E1F"/>
    <w:rsid w:val="00624063"/>
    <w:rsid w:val="006242CB"/>
    <w:rsid w:val="00624383"/>
    <w:rsid w:val="0062482E"/>
    <w:rsid w:val="00625052"/>
    <w:rsid w:val="006250B3"/>
    <w:rsid w:val="006254C2"/>
    <w:rsid w:val="006257F1"/>
    <w:rsid w:val="0062585A"/>
    <w:rsid w:val="006259EC"/>
    <w:rsid w:val="00625B0A"/>
    <w:rsid w:val="00625C5D"/>
    <w:rsid w:val="0062738C"/>
    <w:rsid w:val="00627862"/>
    <w:rsid w:val="006300AA"/>
    <w:rsid w:val="00630215"/>
    <w:rsid w:val="00630372"/>
    <w:rsid w:val="00630475"/>
    <w:rsid w:val="00630D16"/>
    <w:rsid w:val="00630DA6"/>
    <w:rsid w:val="006318A0"/>
    <w:rsid w:val="006318A1"/>
    <w:rsid w:val="00631E98"/>
    <w:rsid w:val="00631E9D"/>
    <w:rsid w:val="0063211C"/>
    <w:rsid w:val="00632263"/>
    <w:rsid w:val="00632C1D"/>
    <w:rsid w:val="00632D5F"/>
    <w:rsid w:val="00632FDA"/>
    <w:rsid w:val="00632FDF"/>
    <w:rsid w:val="006331B9"/>
    <w:rsid w:val="00633757"/>
    <w:rsid w:val="00634136"/>
    <w:rsid w:val="006347F6"/>
    <w:rsid w:val="00634DC0"/>
    <w:rsid w:val="006355CD"/>
    <w:rsid w:val="00635CB2"/>
    <w:rsid w:val="00635CBB"/>
    <w:rsid w:val="006368DD"/>
    <w:rsid w:val="00636C61"/>
    <w:rsid w:val="00637012"/>
    <w:rsid w:val="006371F6"/>
    <w:rsid w:val="006379ED"/>
    <w:rsid w:val="00637B47"/>
    <w:rsid w:val="00637F78"/>
    <w:rsid w:val="006406FB"/>
    <w:rsid w:val="00640710"/>
    <w:rsid w:val="00640C10"/>
    <w:rsid w:val="00642141"/>
    <w:rsid w:val="00642605"/>
    <w:rsid w:val="00642B15"/>
    <w:rsid w:val="00642C9C"/>
    <w:rsid w:val="006434C7"/>
    <w:rsid w:val="006437F8"/>
    <w:rsid w:val="0064398E"/>
    <w:rsid w:val="00643ED2"/>
    <w:rsid w:val="00644082"/>
    <w:rsid w:val="00644438"/>
    <w:rsid w:val="0064459D"/>
    <w:rsid w:val="006448CB"/>
    <w:rsid w:val="006452A9"/>
    <w:rsid w:val="00645549"/>
    <w:rsid w:val="006456BB"/>
    <w:rsid w:val="00645AFE"/>
    <w:rsid w:val="00645B4B"/>
    <w:rsid w:val="00645F6A"/>
    <w:rsid w:val="00646720"/>
    <w:rsid w:val="0064693D"/>
    <w:rsid w:val="006469B7"/>
    <w:rsid w:val="00646AC1"/>
    <w:rsid w:val="00646D45"/>
    <w:rsid w:val="006470AE"/>
    <w:rsid w:val="0064754B"/>
    <w:rsid w:val="00647693"/>
    <w:rsid w:val="006476C1"/>
    <w:rsid w:val="006477E8"/>
    <w:rsid w:val="00650447"/>
    <w:rsid w:val="00650CD2"/>
    <w:rsid w:val="00651934"/>
    <w:rsid w:val="006519EF"/>
    <w:rsid w:val="00651AC2"/>
    <w:rsid w:val="00651CF6"/>
    <w:rsid w:val="00651E19"/>
    <w:rsid w:val="006520B7"/>
    <w:rsid w:val="006525B0"/>
    <w:rsid w:val="006527AE"/>
    <w:rsid w:val="00652854"/>
    <w:rsid w:val="006528BA"/>
    <w:rsid w:val="00652FED"/>
    <w:rsid w:val="00653028"/>
    <w:rsid w:val="006534EA"/>
    <w:rsid w:val="00653892"/>
    <w:rsid w:val="00654108"/>
    <w:rsid w:val="006545EA"/>
    <w:rsid w:val="006546C6"/>
    <w:rsid w:val="00654B49"/>
    <w:rsid w:val="006550BD"/>
    <w:rsid w:val="00655558"/>
    <w:rsid w:val="0065591D"/>
    <w:rsid w:val="00655C0C"/>
    <w:rsid w:val="00655DBC"/>
    <w:rsid w:val="0065648A"/>
    <w:rsid w:val="00656AF0"/>
    <w:rsid w:val="00656D30"/>
    <w:rsid w:val="0065708D"/>
    <w:rsid w:val="006571AE"/>
    <w:rsid w:val="00657261"/>
    <w:rsid w:val="006572CE"/>
    <w:rsid w:val="00657DA3"/>
    <w:rsid w:val="00657DE5"/>
    <w:rsid w:val="006602EF"/>
    <w:rsid w:val="00660A0F"/>
    <w:rsid w:val="00660D3F"/>
    <w:rsid w:val="006612DF"/>
    <w:rsid w:val="00661923"/>
    <w:rsid w:val="00662208"/>
    <w:rsid w:val="00662A0E"/>
    <w:rsid w:val="00663158"/>
    <w:rsid w:val="00663463"/>
    <w:rsid w:val="00663A63"/>
    <w:rsid w:val="00663CCC"/>
    <w:rsid w:val="00663E3C"/>
    <w:rsid w:val="0066438F"/>
    <w:rsid w:val="006643CA"/>
    <w:rsid w:val="00664474"/>
    <w:rsid w:val="006647C0"/>
    <w:rsid w:val="00664BE2"/>
    <w:rsid w:val="00664C6C"/>
    <w:rsid w:val="00664D86"/>
    <w:rsid w:val="00664E4A"/>
    <w:rsid w:val="00664F73"/>
    <w:rsid w:val="00665FC5"/>
    <w:rsid w:val="0066611A"/>
    <w:rsid w:val="00666219"/>
    <w:rsid w:val="00666222"/>
    <w:rsid w:val="006663CB"/>
    <w:rsid w:val="0066655C"/>
    <w:rsid w:val="0066664D"/>
    <w:rsid w:val="00666792"/>
    <w:rsid w:val="00666799"/>
    <w:rsid w:val="00666917"/>
    <w:rsid w:val="006672FE"/>
    <w:rsid w:val="006674E3"/>
    <w:rsid w:val="00670133"/>
    <w:rsid w:val="006701B1"/>
    <w:rsid w:val="00670293"/>
    <w:rsid w:val="006703F9"/>
    <w:rsid w:val="00670468"/>
    <w:rsid w:val="00670492"/>
    <w:rsid w:val="0067080A"/>
    <w:rsid w:val="00670916"/>
    <w:rsid w:val="00670C15"/>
    <w:rsid w:val="00670CEF"/>
    <w:rsid w:val="00670F92"/>
    <w:rsid w:val="00671241"/>
    <w:rsid w:val="00671447"/>
    <w:rsid w:val="006717EA"/>
    <w:rsid w:val="006717ED"/>
    <w:rsid w:val="006718DB"/>
    <w:rsid w:val="006724CF"/>
    <w:rsid w:val="00672527"/>
    <w:rsid w:val="0067260B"/>
    <w:rsid w:val="006729E5"/>
    <w:rsid w:val="00672BC3"/>
    <w:rsid w:val="00672C40"/>
    <w:rsid w:val="00672C72"/>
    <w:rsid w:val="00672D31"/>
    <w:rsid w:val="00672EE1"/>
    <w:rsid w:val="006731B6"/>
    <w:rsid w:val="00673603"/>
    <w:rsid w:val="00673CB5"/>
    <w:rsid w:val="00673CDD"/>
    <w:rsid w:val="00673F82"/>
    <w:rsid w:val="00674A4D"/>
    <w:rsid w:val="00674BDC"/>
    <w:rsid w:val="00674C51"/>
    <w:rsid w:val="00674EF7"/>
    <w:rsid w:val="0067521A"/>
    <w:rsid w:val="00675609"/>
    <w:rsid w:val="00675994"/>
    <w:rsid w:val="00675A9B"/>
    <w:rsid w:val="00675F3D"/>
    <w:rsid w:val="0067665C"/>
    <w:rsid w:val="0067679E"/>
    <w:rsid w:val="00676808"/>
    <w:rsid w:val="0067682B"/>
    <w:rsid w:val="006777BF"/>
    <w:rsid w:val="006802CA"/>
    <w:rsid w:val="00680421"/>
    <w:rsid w:val="00680A65"/>
    <w:rsid w:val="006810F2"/>
    <w:rsid w:val="00681121"/>
    <w:rsid w:val="006813D7"/>
    <w:rsid w:val="0068146E"/>
    <w:rsid w:val="006814F1"/>
    <w:rsid w:val="00681CEC"/>
    <w:rsid w:val="00681F08"/>
    <w:rsid w:val="00682035"/>
    <w:rsid w:val="006821BC"/>
    <w:rsid w:val="006826EE"/>
    <w:rsid w:val="00682D31"/>
    <w:rsid w:val="00682F15"/>
    <w:rsid w:val="00683392"/>
    <w:rsid w:val="006834BA"/>
    <w:rsid w:val="006839F0"/>
    <w:rsid w:val="0068407B"/>
    <w:rsid w:val="00684260"/>
    <w:rsid w:val="00684909"/>
    <w:rsid w:val="006849D7"/>
    <w:rsid w:val="00684A82"/>
    <w:rsid w:val="00684C9C"/>
    <w:rsid w:val="00684E3E"/>
    <w:rsid w:val="006853A6"/>
    <w:rsid w:val="006857EF"/>
    <w:rsid w:val="00685D84"/>
    <w:rsid w:val="00686256"/>
    <w:rsid w:val="00686302"/>
    <w:rsid w:val="00686316"/>
    <w:rsid w:val="00686395"/>
    <w:rsid w:val="006864AC"/>
    <w:rsid w:val="00687101"/>
    <w:rsid w:val="00687166"/>
    <w:rsid w:val="0068742E"/>
    <w:rsid w:val="006876D7"/>
    <w:rsid w:val="00690160"/>
    <w:rsid w:val="00690675"/>
    <w:rsid w:val="00690765"/>
    <w:rsid w:val="006909ED"/>
    <w:rsid w:val="006910E0"/>
    <w:rsid w:val="0069128E"/>
    <w:rsid w:val="006917DF"/>
    <w:rsid w:val="00691837"/>
    <w:rsid w:val="006918C4"/>
    <w:rsid w:val="00692823"/>
    <w:rsid w:val="00692846"/>
    <w:rsid w:val="00692B02"/>
    <w:rsid w:val="00692B5C"/>
    <w:rsid w:val="00692C3B"/>
    <w:rsid w:val="00693273"/>
    <w:rsid w:val="00693D15"/>
    <w:rsid w:val="00693F80"/>
    <w:rsid w:val="0069414C"/>
    <w:rsid w:val="00694437"/>
    <w:rsid w:val="00694906"/>
    <w:rsid w:val="00695894"/>
    <w:rsid w:val="006963C4"/>
    <w:rsid w:val="006967AE"/>
    <w:rsid w:val="00696D7C"/>
    <w:rsid w:val="00697174"/>
    <w:rsid w:val="006A0008"/>
    <w:rsid w:val="006A0269"/>
    <w:rsid w:val="006A116A"/>
    <w:rsid w:val="006A13BF"/>
    <w:rsid w:val="006A1CF8"/>
    <w:rsid w:val="006A1F9B"/>
    <w:rsid w:val="006A1FE5"/>
    <w:rsid w:val="006A216E"/>
    <w:rsid w:val="006A22E1"/>
    <w:rsid w:val="006A2A97"/>
    <w:rsid w:val="006A389B"/>
    <w:rsid w:val="006A4CB7"/>
    <w:rsid w:val="006A4EA8"/>
    <w:rsid w:val="006A52AE"/>
    <w:rsid w:val="006A5A44"/>
    <w:rsid w:val="006A681E"/>
    <w:rsid w:val="006A6FA7"/>
    <w:rsid w:val="006A705E"/>
    <w:rsid w:val="006A7598"/>
    <w:rsid w:val="006A7942"/>
    <w:rsid w:val="006A7AB5"/>
    <w:rsid w:val="006A7DDD"/>
    <w:rsid w:val="006B032D"/>
    <w:rsid w:val="006B0577"/>
    <w:rsid w:val="006B05B6"/>
    <w:rsid w:val="006B064E"/>
    <w:rsid w:val="006B065B"/>
    <w:rsid w:val="006B0EC2"/>
    <w:rsid w:val="006B1078"/>
    <w:rsid w:val="006B1442"/>
    <w:rsid w:val="006B1C31"/>
    <w:rsid w:val="006B1FA4"/>
    <w:rsid w:val="006B200B"/>
    <w:rsid w:val="006B2CFE"/>
    <w:rsid w:val="006B2FE4"/>
    <w:rsid w:val="006B30C8"/>
    <w:rsid w:val="006B31E2"/>
    <w:rsid w:val="006B3232"/>
    <w:rsid w:val="006B37F2"/>
    <w:rsid w:val="006B38C2"/>
    <w:rsid w:val="006B39D4"/>
    <w:rsid w:val="006B3A59"/>
    <w:rsid w:val="006B3E02"/>
    <w:rsid w:val="006B41FD"/>
    <w:rsid w:val="006B4309"/>
    <w:rsid w:val="006B49DE"/>
    <w:rsid w:val="006B4B06"/>
    <w:rsid w:val="006B4C8B"/>
    <w:rsid w:val="006B5081"/>
    <w:rsid w:val="006B61BF"/>
    <w:rsid w:val="006B61F6"/>
    <w:rsid w:val="006B6338"/>
    <w:rsid w:val="006B6E90"/>
    <w:rsid w:val="006B716E"/>
    <w:rsid w:val="006B74DA"/>
    <w:rsid w:val="006C039F"/>
    <w:rsid w:val="006C03CD"/>
    <w:rsid w:val="006C0445"/>
    <w:rsid w:val="006C0558"/>
    <w:rsid w:val="006C059E"/>
    <w:rsid w:val="006C061F"/>
    <w:rsid w:val="006C0F3C"/>
    <w:rsid w:val="006C1058"/>
    <w:rsid w:val="006C1083"/>
    <w:rsid w:val="006C15A7"/>
    <w:rsid w:val="006C1801"/>
    <w:rsid w:val="006C1975"/>
    <w:rsid w:val="006C1F5E"/>
    <w:rsid w:val="006C23B5"/>
    <w:rsid w:val="006C29D1"/>
    <w:rsid w:val="006C2A96"/>
    <w:rsid w:val="006C2A98"/>
    <w:rsid w:val="006C2B8A"/>
    <w:rsid w:val="006C2ECA"/>
    <w:rsid w:val="006C34DA"/>
    <w:rsid w:val="006C37DF"/>
    <w:rsid w:val="006C3C09"/>
    <w:rsid w:val="006C40A8"/>
    <w:rsid w:val="006C4843"/>
    <w:rsid w:val="006C49E2"/>
    <w:rsid w:val="006C4B24"/>
    <w:rsid w:val="006C5665"/>
    <w:rsid w:val="006C58B4"/>
    <w:rsid w:val="006C5A0B"/>
    <w:rsid w:val="006C5B2A"/>
    <w:rsid w:val="006C5C7F"/>
    <w:rsid w:val="006C5EAD"/>
    <w:rsid w:val="006C5FEB"/>
    <w:rsid w:val="006C6936"/>
    <w:rsid w:val="006C744C"/>
    <w:rsid w:val="006C7811"/>
    <w:rsid w:val="006C79BB"/>
    <w:rsid w:val="006C7A4C"/>
    <w:rsid w:val="006C7B90"/>
    <w:rsid w:val="006C7CD6"/>
    <w:rsid w:val="006D01A9"/>
    <w:rsid w:val="006D0267"/>
    <w:rsid w:val="006D04A1"/>
    <w:rsid w:val="006D0510"/>
    <w:rsid w:val="006D0B22"/>
    <w:rsid w:val="006D0C5C"/>
    <w:rsid w:val="006D0D42"/>
    <w:rsid w:val="006D0F06"/>
    <w:rsid w:val="006D127E"/>
    <w:rsid w:val="006D14BE"/>
    <w:rsid w:val="006D1943"/>
    <w:rsid w:val="006D1B05"/>
    <w:rsid w:val="006D1D86"/>
    <w:rsid w:val="006D2560"/>
    <w:rsid w:val="006D306F"/>
    <w:rsid w:val="006D3155"/>
    <w:rsid w:val="006D3740"/>
    <w:rsid w:val="006D3BB3"/>
    <w:rsid w:val="006D3CF4"/>
    <w:rsid w:val="006D3E28"/>
    <w:rsid w:val="006D4B55"/>
    <w:rsid w:val="006D5120"/>
    <w:rsid w:val="006D5926"/>
    <w:rsid w:val="006D6069"/>
    <w:rsid w:val="006D634D"/>
    <w:rsid w:val="006D6913"/>
    <w:rsid w:val="006D7200"/>
    <w:rsid w:val="006D76AE"/>
    <w:rsid w:val="006D7A56"/>
    <w:rsid w:val="006D7A61"/>
    <w:rsid w:val="006D7C59"/>
    <w:rsid w:val="006D7E64"/>
    <w:rsid w:val="006E1B7F"/>
    <w:rsid w:val="006E23CA"/>
    <w:rsid w:val="006E2859"/>
    <w:rsid w:val="006E2B8C"/>
    <w:rsid w:val="006E2BEE"/>
    <w:rsid w:val="006E2FE2"/>
    <w:rsid w:val="006E32E7"/>
    <w:rsid w:val="006E336A"/>
    <w:rsid w:val="006E3CF2"/>
    <w:rsid w:val="006E46A8"/>
    <w:rsid w:val="006E50D6"/>
    <w:rsid w:val="006E6009"/>
    <w:rsid w:val="006E61E4"/>
    <w:rsid w:val="006E62B1"/>
    <w:rsid w:val="006E660E"/>
    <w:rsid w:val="006E671C"/>
    <w:rsid w:val="006E70FF"/>
    <w:rsid w:val="006E72FA"/>
    <w:rsid w:val="006E7809"/>
    <w:rsid w:val="006E7BCB"/>
    <w:rsid w:val="006E7F6A"/>
    <w:rsid w:val="006F03E0"/>
    <w:rsid w:val="006F05CD"/>
    <w:rsid w:val="006F07E7"/>
    <w:rsid w:val="006F0867"/>
    <w:rsid w:val="006F11A2"/>
    <w:rsid w:val="006F155C"/>
    <w:rsid w:val="006F1601"/>
    <w:rsid w:val="006F1773"/>
    <w:rsid w:val="006F1A0D"/>
    <w:rsid w:val="006F1AB0"/>
    <w:rsid w:val="006F28AD"/>
    <w:rsid w:val="006F28ED"/>
    <w:rsid w:val="006F28FC"/>
    <w:rsid w:val="006F2D25"/>
    <w:rsid w:val="006F2DAB"/>
    <w:rsid w:val="006F2ED5"/>
    <w:rsid w:val="006F3245"/>
    <w:rsid w:val="006F3652"/>
    <w:rsid w:val="006F38EF"/>
    <w:rsid w:val="006F3D24"/>
    <w:rsid w:val="006F3E15"/>
    <w:rsid w:val="006F418E"/>
    <w:rsid w:val="006F461C"/>
    <w:rsid w:val="006F4965"/>
    <w:rsid w:val="006F4AC1"/>
    <w:rsid w:val="006F4CA6"/>
    <w:rsid w:val="006F4CF0"/>
    <w:rsid w:val="006F4D59"/>
    <w:rsid w:val="006F4E45"/>
    <w:rsid w:val="006F5085"/>
    <w:rsid w:val="006F51DC"/>
    <w:rsid w:val="006F52EA"/>
    <w:rsid w:val="006F53DF"/>
    <w:rsid w:val="006F565E"/>
    <w:rsid w:val="006F5AC8"/>
    <w:rsid w:val="006F5C40"/>
    <w:rsid w:val="006F5C44"/>
    <w:rsid w:val="006F5CE8"/>
    <w:rsid w:val="006F5E55"/>
    <w:rsid w:val="006F63AE"/>
    <w:rsid w:val="006F6990"/>
    <w:rsid w:val="006F6B6D"/>
    <w:rsid w:val="006F714D"/>
    <w:rsid w:val="006F726C"/>
    <w:rsid w:val="006F76FC"/>
    <w:rsid w:val="006F7BCD"/>
    <w:rsid w:val="00700DC5"/>
    <w:rsid w:val="00700EEE"/>
    <w:rsid w:val="0070138D"/>
    <w:rsid w:val="007017D6"/>
    <w:rsid w:val="00701F8F"/>
    <w:rsid w:val="00701FF8"/>
    <w:rsid w:val="007022A0"/>
    <w:rsid w:val="00702408"/>
    <w:rsid w:val="0070249F"/>
    <w:rsid w:val="00702BF3"/>
    <w:rsid w:val="00702D9F"/>
    <w:rsid w:val="00703F32"/>
    <w:rsid w:val="00703FAE"/>
    <w:rsid w:val="007043F1"/>
    <w:rsid w:val="00704414"/>
    <w:rsid w:val="00704594"/>
    <w:rsid w:val="00704602"/>
    <w:rsid w:val="00704994"/>
    <w:rsid w:val="00704F46"/>
    <w:rsid w:val="007050C8"/>
    <w:rsid w:val="007056EA"/>
    <w:rsid w:val="00705AFA"/>
    <w:rsid w:val="00706054"/>
    <w:rsid w:val="00706166"/>
    <w:rsid w:val="00706171"/>
    <w:rsid w:val="00706434"/>
    <w:rsid w:val="0070693F"/>
    <w:rsid w:val="00707B29"/>
    <w:rsid w:val="00707F6D"/>
    <w:rsid w:val="007106C4"/>
    <w:rsid w:val="00710B8B"/>
    <w:rsid w:val="00710C97"/>
    <w:rsid w:val="00711B87"/>
    <w:rsid w:val="00711E38"/>
    <w:rsid w:val="00712020"/>
    <w:rsid w:val="00712147"/>
    <w:rsid w:val="007124E3"/>
    <w:rsid w:val="007129ED"/>
    <w:rsid w:val="00712A52"/>
    <w:rsid w:val="00712D63"/>
    <w:rsid w:val="00712FB0"/>
    <w:rsid w:val="00712FEE"/>
    <w:rsid w:val="00713032"/>
    <w:rsid w:val="007134A8"/>
    <w:rsid w:val="007135EE"/>
    <w:rsid w:val="00713716"/>
    <w:rsid w:val="007142AD"/>
    <w:rsid w:val="007145EE"/>
    <w:rsid w:val="0071468C"/>
    <w:rsid w:val="00714EAE"/>
    <w:rsid w:val="00715140"/>
    <w:rsid w:val="00715206"/>
    <w:rsid w:val="0071524D"/>
    <w:rsid w:val="0071555E"/>
    <w:rsid w:val="00715965"/>
    <w:rsid w:val="00715F6B"/>
    <w:rsid w:val="007169EA"/>
    <w:rsid w:val="007171A6"/>
    <w:rsid w:val="00717243"/>
    <w:rsid w:val="007174EE"/>
    <w:rsid w:val="007177E1"/>
    <w:rsid w:val="0072013C"/>
    <w:rsid w:val="007201EF"/>
    <w:rsid w:val="007202FA"/>
    <w:rsid w:val="0072058A"/>
    <w:rsid w:val="00720597"/>
    <w:rsid w:val="007205D9"/>
    <w:rsid w:val="00720A5D"/>
    <w:rsid w:val="00720B5D"/>
    <w:rsid w:val="00720EEB"/>
    <w:rsid w:val="00720EF6"/>
    <w:rsid w:val="00720FA1"/>
    <w:rsid w:val="00721135"/>
    <w:rsid w:val="00721776"/>
    <w:rsid w:val="00721843"/>
    <w:rsid w:val="007219F0"/>
    <w:rsid w:val="00722156"/>
    <w:rsid w:val="007226D1"/>
    <w:rsid w:val="00722E2D"/>
    <w:rsid w:val="00722E75"/>
    <w:rsid w:val="00722EFA"/>
    <w:rsid w:val="00722F5D"/>
    <w:rsid w:val="007236E6"/>
    <w:rsid w:val="00723894"/>
    <w:rsid w:val="00723967"/>
    <w:rsid w:val="00723EB7"/>
    <w:rsid w:val="00723F1F"/>
    <w:rsid w:val="00724605"/>
    <w:rsid w:val="00724F3E"/>
    <w:rsid w:val="00725E3B"/>
    <w:rsid w:val="00726361"/>
    <w:rsid w:val="007264A0"/>
    <w:rsid w:val="0072696D"/>
    <w:rsid w:val="0072706D"/>
    <w:rsid w:val="007272FC"/>
    <w:rsid w:val="0072766D"/>
    <w:rsid w:val="0072775E"/>
    <w:rsid w:val="0072781F"/>
    <w:rsid w:val="00727A99"/>
    <w:rsid w:val="00730607"/>
    <w:rsid w:val="00730D83"/>
    <w:rsid w:val="00730E10"/>
    <w:rsid w:val="00731406"/>
    <w:rsid w:val="00731418"/>
    <w:rsid w:val="007315B8"/>
    <w:rsid w:val="00731693"/>
    <w:rsid w:val="00731980"/>
    <w:rsid w:val="00732491"/>
    <w:rsid w:val="00732549"/>
    <w:rsid w:val="00732CCC"/>
    <w:rsid w:val="00732D58"/>
    <w:rsid w:val="00732EF6"/>
    <w:rsid w:val="00732F1B"/>
    <w:rsid w:val="00732FBA"/>
    <w:rsid w:val="0073315C"/>
    <w:rsid w:val="007334AF"/>
    <w:rsid w:val="007337B1"/>
    <w:rsid w:val="00733D7E"/>
    <w:rsid w:val="00733DA8"/>
    <w:rsid w:val="007341F7"/>
    <w:rsid w:val="007344F4"/>
    <w:rsid w:val="0073489B"/>
    <w:rsid w:val="00734C73"/>
    <w:rsid w:val="00734F70"/>
    <w:rsid w:val="00735111"/>
    <w:rsid w:val="007352C1"/>
    <w:rsid w:val="0073545D"/>
    <w:rsid w:val="00735660"/>
    <w:rsid w:val="007366CF"/>
    <w:rsid w:val="007368EF"/>
    <w:rsid w:val="00736A60"/>
    <w:rsid w:val="00736BB8"/>
    <w:rsid w:val="00736BE1"/>
    <w:rsid w:val="0073712D"/>
    <w:rsid w:val="007373BC"/>
    <w:rsid w:val="007376E8"/>
    <w:rsid w:val="007378CA"/>
    <w:rsid w:val="00737BB6"/>
    <w:rsid w:val="00737D35"/>
    <w:rsid w:val="00737FAC"/>
    <w:rsid w:val="0074014D"/>
    <w:rsid w:val="00740393"/>
    <w:rsid w:val="00740539"/>
    <w:rsid w:val="00740625"/>
    <w:rsid w:val="00740C0F"/>
    <w:rsid w:val="0074103D"/>
    <w:rsid w:val="00741110"/>
    <w:rsid w:val="00741460"/>
    <w:rsid w:val="007414BB"/>
    <w:rsid w:val="00741989"/>
    <w:rsid w:val="00741A4A"/>
    <w:rsid w:val="00741AD3"/>
    <w:rsid w:val="0074242F"/>
    <w:rsid w:val="007424EE"/>
    <w:rsid w:val="00742A93"/>
    <w:rsid w:val="00742C89"/>
    <w:rsid w:val="00742CCC"/>
    <w:rsid w:val="00743028"/>
    <w:rsid w:val="00743248"/>
    <w:rsid w:val="007436EF"/>
    <w:rsid w:val="00743F57"/>
    <w:rsid w:val="00744D9D"/>
    <w:rsid w:val="00744EB0"/>
    <w:rsid w:val="00745798"/>
    <w:rsid w:val="00745C69"/>
    <w:rsid w:val="00745CE1"/>
    <w:rsid w:val="00746570"/>
    <w:rsid w:val="00746B3C"/>
    <w:rsid w:val="00746C0E"/>
    <w:rsid w:val="00746E2F"/>
    <w:rsid w:val="00746E3E"/>
    <w:rsid w:val="0074740E"/>
    <w:rsid w:val="00747754"/>
    <w:rsid w:val="00747EE6"/>
    <w:rsid w:val="007503D7"/>
    <w:rsid w:val="00750844"/>
    <w:rsid w:val="00750C5F"/>
    <w:rsid w:val="00750E0A"/>
    <w:rsid w:val="00750F7C"/>
    <w:rsid w:val="00751181"/>
    <w:rsid w:val="00751A50"/>
    <w:rsid w:val="00751BE6"/>
    <w:rsid w:val="00752049"/>
    <w:rsid w:val="00752320"/>
    <w:rsid w:val="0075273C"/>
    <w:rsid w:val="007527C5"/>
    <w:rsid w:val="00752815"/>
    <w:rsid w:val="0075289C"/>
    <w:rsid w:val="007528DB"/>
    <w:rsid w:val="0075297D"/>
    <w:rsid w:val="00752C4B"/>
    <w:rsid w:val="00752D20"/>
    <w:rsid w:val="007531E3"/>
    <w:rsid w:val="007532E0"/>
    <w:rsid w:val="0075354B"/>
    <w:rsid w:val="007536F2"/>
    <w:rsid w:val="00754194"/>
    <w:rsid w:val="007541F7"/>
    <w:rsid w:val="00754334"/>
    <w:rsid w:val="007543FE"/>
    <w:rsid w:val="007544BC"/>
    <w:rsid w:val="007546DD"/>
    <w:rsid w:val="007546E2"/>
    <w:rsid w:val="00754C21"/>
    <w:rsid w:val="00755784"/>
    <w:rsid w:val="0075597B"/>
    <w:rsid w:val="00755A24"/>
    <w:rsid w:val="00755E82"/>
    <w:rsid w:val="00755F50"/>
    <w:rsid w:val="0075631C"/>
    <w:rsid w:val="007568CB"/>
    <w:rsid w:val="00756EB5"/>
    <w:rsid w:val="007577CF"/>
    <w:rsid w:val="0075798C"/>
    <w:rsid w:val="00757E4E"/>
    <w:rsid w:val="00760409"/>
    <w:rsid w:val="00760831"/>
    <w:rsid w:val="00760B69"/>
    <w:rsid w:val="00760DC9"/>
    <w:rsid w:val="00760E95"/>
    <w:rsid w:val="00760EF9"/>
    <w:rsid w:val="00760F53"/>
    <w:rsid w:val="007610F1"/>
    <w:rsid w:val="00761153"/>
    <w:rsid w:val="00761674"/>
    <w:rsid w:val="00761CE7"/>
    <w:rsid w:val="00761DBC"/>
    <w:rsid w:val="00761DE9"/>
    <w:rsid w:val="00761EF8"/>
    <w:rsid w:val="00762422"/>
    <w:rsid w:val="007625A8"/>
    <w:rsid w:val="00762777"/>
    <w:rsid w:val="007628B4"/>
    <w:rsid w:val="00762AF2"/>
    <w:rsid w:val="00762F7D"/>
    <w:rsid w:val="00763218"/>
    <w:rsid w:val="00763279"/>
    <w:rsid w:val="007632C6"/>
    <w:rsid w:val="007634BE"/>
    <w:rsid w:val="0076427A"/>
    <w:rsid w:val="0076493D"/>
    <w:rsid w:val="007649E7"/>
    <w:rsid w:val="00764A0D"/>
    <w:rsid w:val="00765074"/>
    <w:rsid w:val="00765AB4"/>
    <w:rsid w:val="00765EAA"/>
    <w:rsid w:val="0076639A"/>
    <w:rsid w:val="007663BE"/>
    <w:rsid w:val="007678D7"/>
    <w:rsid w:val="007679C6"/>
    <w:rsid w:val="00767E9B"/>
    <w:rsid w:val="00770424"/>
    <w:rsid w:val="0077083D"/>
    <w:rsid w:val="00770908"/>
    <w:rsid w:val="007711CC"/>
    <w:rsid w:val="00771203"/>
    <w:rsid w:val="00771301"/>
    <w:rsid w:val="00771520"/>
    <w:rsid w:val="007716DA"/>
    <w:rsid w:val="00771867"/>
    <w:rsid w:val="00771A4C"/>
    <w:rsid w:val="0077202A"/>
    <w:rsid w:val="007727C4"/>
    <w:rsid w:val="00772BF3"/>
    <w:rsid w:val="00772C17"/>
    <w:rsid w:val="00772CA7"/>
    <w:rsid w:val="007732A5"/>
    <w:rsid w:val="007742EF"/>
    <w:rsid w:val="00774537"/>
    <w:rsid w:val="0077463C"/>
    <w:rsid w:val="0077477E"/>
    <w:rsid w:val="00774971"/>
    <w:rsid w:val="00774B12"/>
    <w:rsid w:val="0077507B"/>
    <w:rsid w:val="0077557C"/>
    <w:rsid w:val="007758CB"/>
    <w:rsid w:val="007759B8"/>
    <w:rsid w:val="00775A5E"/>
    <w:rsid w:val="00776361"/>
    <w:rsid w:val="007764CE"/>
    <w:rsid w:val="007764EA"/>
    <w:rsid w:val="007765D3"/>
    <w:rsid w:val="00776B67"/>
    <w:rsid w:val="00776C99"/>
    <w:rsid w:val="007776F6"/>
    <w:rsid w:val="00780339"/>
    <w:rsid w:val="00780597"/>
    <w:rsid w:val="0078176E"/>
    <w:rsid w:val="007819DA"/>
    <w:rsid w:val="00781B61"/>
    <w:rsid w:val="00781FCD"/>
    <w:rsid w:val="00782003"/>
    <w:rsid w:val="007826D5"/>
    <w:rsid w:val="00782879"/>
    <w:rsid w:val="007829AC"/>
    <w:rsid w:val="007829F7"/>
    <w:rsid w:val="00782CC0"/>
    <w:rsid w:val="00782E91"/>
    <w:rsid w:val="00782E92"/>
    <w:rsid w:val="0078376A"/>
    <w:rsid w:val="00783F23"/>
    <w:rsid w:val="0078402A"/>
    <w:rsid w:val="00784603"/>
    <w:rsid w:val="00784923"/>
    <w:rsid w:val="00784F2E"/>
    <w:rsid w:val="00785882"/>
    <w:rsid w:val="007859AE"/>
    <w:rsid w:val="00785CC5"/>
    <w:rsid w:val="00785F11"/>
    <w:rsid w:val="0078636E"/>
    <w:rsid w:val="00786AA1"/>
    <w:rsid w:val="007871EF"/>
    <w:rsid w:val="0078772D"/>
    <w:rsid w:val="0078799C"/>
    <w:rsid w:val="00787D03"/>
    <w:rsid w:val="00790304"/>
    <w:rsid w:val="007909D6"/>
    <w:rsid w:val="00790CE4"/>
    <w:rsid w:val="00791466"/>
    <w:rsid w:val="00791597"/>
    <w:rsid w:val="00791883"/>
    <w:rsid w:val="00791CFA"/>
    <w:rsid w:val="00791DB9"/>
    <w:rsid w:val="00791F81"/>
    <w:rsid w:val="007922D0"/>
    <w:rsid w:val="007927F1"/>
    <w:rsid w:val="007929F6"/>
    <w:rsid w:val="00792F7B"/>
    <w:rsid w:val="007932F2"/>
    <w:rsid w:val="0079330C"/>
    <w:rsid w:val="007945A5"/>
    <w:rsid w:val="007948CB"/>
    <w:rsid w:val="00794EEC"/>
    <w:rsid w:val="0079511D"/>
    <w:rsid w:val="007952F7"/>
    <w:rsid w:val="007955D1"/>
    <w:rsid w:val="007956AE"/>
    <w:rsid w:val="0079572D"/>
    <w:rsid w:val="00795C1F"/>
    <w:rsid w:val="007961E8"/>
    <w:rsid w:val="00796292"/>
    <w:rsid w:val="00796479"/>
    <w:rsid w:val="00796642"/>
    <w:rsid w:val="007966B7"/>
    <w:rsid w:val="00796739"/>
    <w:rsid w:val="00796E42"/>
    <w:rsid w:val="00796EAA"/>
    <w:rsid w:val="00796F73"/>
    <w:rsid w:val="00797910"/>
    <w:rsid w:val="00797CEB"/>
    <w:rsid w:val="007A026C"/>
    <w:rsid w:val="007A0E33"/>
    <w:rsid w:val="007A102A"/>
    <w:rsid w:val="007A12C0"/>
    <w:rsid w:val="007A134F"/>
    <w:rsid w:val="007A166F"/>
    <w:rsid w:val="007A16F1"/>
    <w:rsid w:val="007A18D9"/>
    <w:rsid w:val="007A20DA"/>
    <w:rsid w:val="007A22EA"/>
    <w:rsid w:val="007A2C4D"/>
    <w:rsid w:val="007A333C"/>
    <w:rsid w:val="007A37D5"/>
    <w:rsid w:val="007A46A0"/>
    <w:rsid w:val="007A477B"/>
    <w:rsid w:val="007A49E4"/>
    <w:rsid w:val="007A512C"/>
    <w:rsid w:val="007A578A"/>
    <w:rsid w:val="007A5D7B"/>
    <w:rsid w:val="007A5E82"/>
    <w:rsid w:val="007A674E"/>
    <w:rsid w:val="007A701A"/>
    <w:rsid w:val="007A7131"/>
    <w:rsid w:val="007A7361"/>
    <w:rsid w:val="007A7A5A"/>
    <w:rsid w:val="007A7B83"/>
    <w:rsid w:val="007B0091"/>
    <w:rsid w:val="007B025A"/>
    <w:rsid w:val="007B03F8"/>
    <w:rsid w:val="007B0998"/>
    <w:rsid w:val="007B0B80"/>
    <w:rsid w:val="007B0D33"/>
    <w:rsid w:val="007B1109"/>
    <w:rsid w:val="007B1769"/>
    <w:rsid w:val="007B1AD3"/>
    <w:rsid w:val="007B1E77"/>
    <w:rsid w:val="007B2023"/>
    <w:rsid w:val="007B2369"/>
    <w:rsid w:val="007B240B"/>
    <w:rsid w:val="007B24B0"/>
    <w:rsid w:val="007B2583"/>
    <w:rsid w:val="007B2CE6"/>
    <w:rsid w:val="007B3687"/>
    <w:rsid w:val="007B3E52"/>
    <w:rsid w:val="007B451E"/>
    <w:rsid w:val="007B4EBB"/>
    <w:rsid w:val="007B50CB"/>
    <w:rsid w:val="007B5367"/>
    <w:rsid w:val="007B57CC"/>
    <w:rsid w:val="007B57E8"/>
    <w:rsid w:val="007B5CC5"/>
    <w:rsid w:val="007B6099"/>
    <w:rsid w:val="007B62AF"/>
    <w:rsid w:val="007B6B0E"/>
    <w:rsid w:val="007B720F"/>
    <w:rsid w:val="007B73E3"/>
    <w:rsid w:val="007B7BBC"/>
    <w:rsid w:val="007B7C81"/>
    <w:rsid w:val="007C0118"/>
    <w:rsid w:val="007C0842"/>
    <w:rsid w:val="007C0AA1"/>
    <w:rsid w:val="007C0C47"/>
    <w:rsid w:val="007C0DB1"/>
    <w:rsid w:val="007C18B4"/>
    <w:rsid w:val="007C20EE"/>
    <w:rsid w:val="007C2154"/>
    <w:rsid w:val="007C2343"/>
    <w:rsid w:val="007C238E"/>
    <w:rsid w:val="007C25EB"/>
    <w:rsid w:val="007C26DB"/>
    <w:rsid w:val="007C2CF4"/>
    <w:rsid w:val="007C2E09"/>
    <w:rsid w:val="007C3258"/>
    <w:rsid w:val="007C345D"/>
    <w:rsid w:val="007C3537"/>
    <w:rsid w:val="007C35FA"/>
    <w:rsid w:val="007C364E"/>
    <w:rsid w:val="007C3855"/>
    <w:rsid w:val="007C3978"/>
    <w:rsid w:val="007C4CD0"/>
    <w:rsid w:val="007C503E"/>
    <w:rsid w:val="007C546C"/>
    <w:rsid w:val="007C5584"/>
    <w:rsid w:val="007C565D"/>
    <w:rsid w:val="007C56CE"/>
    <w:rsid w:val="007C590F"/>
    <w:rsid w:val="007C5AC8"/>
    <w:rsid w:val="007C5B56"/>
    <w:rsid w:val="007C5D4E"/>
    <w:rsid w:val="007C5F0B"/>
    <w:rsid w:val="007C6039"/>
    <w:rsid w:val="007C60AE"/>
    <w:rsid w:val="007C63BC"/>
    <w:rsid w:val="007C65C0"/>
    <w:rsid w:val="007C6619"/>
    <w:rsid w:val="007C6AFB"/>
    <w:rsid w:val="007C749C"/>
    <w:rsid w:val="007C7BC8"/>
    <w:rsid w:val="007C7DD9"/>
    <w:rsid w:val="007C7E98"/>
    <w:rsid w:val="007C7FAB"/>
    <w:rsid w:val="007D0068"/>
    <w:rsid w:val="007D02CD"/>
    <w:rsid w:val="007D0445"/>
    <w:rsid w:val="007D05F2"/>
    <w:rsid w:val="007D073A"/>
    <w:rsid w:val="007D1566"/>
    <w:rsid w:val="007D1647"/>
    <w:rsid w:val="007D1A1B"/>
    <w:rsid w:val="007D1FF6"/>
    <w:rsid w:val="007D21BB"/>
    <w:rsid w:val="007D266C"/>
    <w:rsid w:val="007D267F"/>
    <w:rsid w:val="007D2693"/>
    <w:rsid w:val="007D28BA"/>
    <w:rsid w:val="007D2A57"/>
    <w:rsid w:val="007D2F17"/>
    <w:rsid w:val="007D3087"/>
    <w:rsid w:val="007D3276"/>
    <w:rsid w:val="007D334F"/>
    <w:rsid w:val="007D3367"/>
    <w:rsid w:val="007D37E4"/>
    <w:rsid w:val="007D42EF"/>
    <w:rsid w:val="007D460D"/>
    <w:rsid w:val="007D466F"/>
    <w:rsid w:val="007D492A"/>
    <w:rsid w:val="007D4EEF"/>
    <w:rsid w:val="007D51D7"/>
    <w:rsid w:val="007D5C7C"/>
    <w:rsid w:val="007D5EDF"/>
    <w:rsid w:val="007D61E9"/>
    <w:rsid w:val="007D6525"/>
    <w:rsid w:val="007D66E4"/>
    <w:rsid w:val="007D71DC"/>
    <w:rsid w:val="007D73A8"/>
    <w:rsid w:val="007D792F"/>
    <w:rsid w:val="007D7F0C"/>
    <w:rsid w:val="007E020B"/>
    <w:rsid w:val="007E03E0"/>
    <w:rsid w:val="007E0453"/>
    <w:rsid w:val="007E08F2"/>
    <w:rsid w:val="007E095E"/>
    <w:rsid w:val="007E13CF"/>
    <w:rsid w:val="007E1444"/>
    <w:rsid w:val="007E1A6D"/>
    <w:rsid w:val="007E24A5"/>
    <w:rsid w:val="007E2936"/>
    <w:rsid w:val="007E29D5"/>
    <w:rsid w:val="007E2A3E"/>
    <w:rsid w:val="007E32D5"/>
    <w:rsid w:val="007E4052"/>
    <w:rsid w:val="007E406D"/>
    <w:rsid w:val="007E41B8"/>
    <w:rsid w:val="007E4608"/>
    <w:rsid w:val="007E4A37"/>
    <w:rsid w:val="007E4B7C"/>
    <w:rsid w:val="007E50F7"/>
    <w:rsid w:val="007E556E"/>
    <w:rsid w:val="007E57A4"/>
    <w:rsid w:val="007E596A"/>
    <w:rsid w:val="007E5FC1"/>
    <w:rsid w:val="007E618C"/>
    <w:rsid w:val="007E6598"/>
    <w:rsid w:val="007E67D6"/>
    <w:rsid w:val="007E6DA2"/>
    <w:rsid w:val="007E6E67"/>
    <w:rsid w:val="007E72F6"/>
    <w:rsid w:val="007F01AD"/>
    <w:rsid w:val="007F0A50"/>
    <w:rsid w:val="007F0BF8"/>
    <w:rsid w:val="007F0C6D"/>
    <w:rsid w:val="007F1268"/>
    <w:rsid w:val="007F154D"/>
    <w:rsid w:val="007F1A80"/>
    <w:rsid w:val="007F2270"/>
    <w:rsid w:val="007F2302"/>
    <w:rsid w:val="007F2439"/>
    <w:rsid w:val="007F2F64"/>
    <w:rsid w:val="007F3485"/>
    <w:rsid w:val="007F3653"/>
    <w:rsid w:val="007F39AF"/>
    <w:rsid w:val="007F40D7"/>
    <w:rsid w:val="007F47E4"/>
    <w:rsid w:val="007F487F"/>
    <w:rsid w:val="007F4C45"/>
    <w:rsid w:val="007F4CD1"/>
    <w:rsid w:val="007F5257"/>
    <w:rsid w:val="007F5563"/>
    <w:rsid w:val="007F574F"/>
    <w:rsid w:val="007F58C5"/>
    <w:rsid w:val="007F59CB"/>
    <w:rsid w:val="007F5BA6"/>
    <w:rsid w:val="007F6147"/>
    <w:rsid w:val="007F681C"/>
    <w:rsid w:val="007F692B"/>
    <w:rsid w:val="007F6FF1"/>
    <w:rsid w:val="007F724C"/>
    <w:rsid w:val="007F7262"/>
    <w:rsid w:val="007F7387"/>
    <w:rsid w:val="007F7412"/>
    <w:rsid w:val="007F7432"/>
    <w:rsid w:val="007F780D"/>
    <w:rsid w:val="007F7A63"/>
    <w:rsid w:val="007F7D9C"/>
    <w:rsid w:val="007F7FBC"/>
    <w:rsid w:val="008000C9"/>
    <w:rsid w:val="00800168"/>
    <w:rsid w:val="0080036D"/>
    <w:rsid w:val="00800438"/>
    <w:rsid w:val="00800566"/>
    <w:rsid w:val="008008EF"/>
    <w:rsid w:val="00800A87"/>
    <w:rsid w:val="00800ED7"/>
    <w:rsid w:val="0080150D"/>
    <w:rsid w:val="008019F3"/>
    <w:rsid w:val="00801ED8"/>
    <w:rsid w:val="0080242E"/>
    <w:rsid w:val="008025ED"/>
    <w:rsid w:val="00803053"/>
    <w:rsid w:val="0080328F"/>
    <w:rsid w:val="00803353"/>
    <w:rsid w:val="00803499"/>
    <w:rsid w:val="008034E7"/>
    <w:rsid w:val="00803717"/>
    <w:rsid w:val="008038E8"/>
    <w:rsid w:val="00803918"/>
    <w:rsid w:val="0080407C"/>
    <w:rsid w:val="0080412A"/>
    <w:rsid w:val="00804345"/>
    <w:rsid w:val="00804A50"/>
    <w:rsid w:val="0080506D"/>
    <w:rsid w:val="00805127"/>
    <w:rsid w:val="0080533D"/>
    <w:rsid w:val="008053FD"/>
    <w:rsid w:val="00805421"/>
    <w:rsid w:val="00805B8B"/>
    <w:rsid w:val="0080646B"/>
    <w:rsid w:val="008065FF"/>
    <w:rsid w:val="00806A31"/>
    <w:rsid w:val="00806CA8"/>
    <w:rsid w:val="00806D6C"/>
    <w:rsid w:val="008077D5"/>
    <w:rsid w:val="00807998"/>
    <w:rsid w:val="00807B1F"/>
    <w:rsid w:val="00807C24"/>
    <w:rsid w:val="00807DEC"/>
    <w:rsid w:val="00807F81"/>
    <w:rsid w:val="00810235"/>
    <w:rsid w:val="00810D9B"/>
    <w:rsid w:val="00811033"/>
    <w:rsid w:val="0081111F"/>
    <w:rsid w:val="0081199F"/>
    <w:rsid w:val="008119B1"/>
    <w:rsid w:val="00811ECF"/>
    <w:rsid w:val="00811FB0"/>
    <w:rsid w:val="00812413"/>
    <w:rsid w:val="00812A4D"/>
    <w:rsid w:val="00812F8C"/>
    <w:rsid w:val="00814138"/>
    <w:rsid w:val="00814A72"/>
    <w:rsid w:val="008150F6"/>
    <w:rsid w:val="00815135"/>
    <w:rsid w:val="00815202"/>
    <w:rsid w:val="00815774"/>
    <w:rsid w:val="00815A16"/>
    <w:rsid w:val="00815D90"/>
    <w:rsid w:val="00815F89"/>
    <w:rsid w:val="00816146"/>
    <w:rsid w:val="008162A5"/>
    <w:rsid w:val="00816316"/>
    <w:rsid w:val="0081670E"/>
    <w:rsid w:val="008169E0"/>
    <w:rsid w:val="00816AA6"/>
    <w:rsid w:val="00816B9A"/>
    <w:rsid w:val="00816DEA"/>
    <w:rsid w:val="00817230"/>
    <w:rsid w:val="00817474"/>
    <w:rsid w:val="00817675"/>
    <w:rsid w:val="008177D8"/>
    <w:rsid w:val="00817976"/>
    <w:rsid w:val="00817AF3"/>
    <w:rsid w:val="00817BFD"/>
    <w:rsid w:val="00817C2B"/>
    <w:rsid w:val="00817D03"/>
    <w:rsid w:val="00817DF5"/>
    <w:rsid w:val="00817F7F"/>
    <w:rsid w:val="00820079"/>
    <w:rsid w:val="00820091"/>
    <w:rsid w:val="0082081E"/>
    <w:rsid w:val="00820FE9"/>
    <w:rsid w:val="00820FF5"/>
    <w:rsid w:val="008212B6"/>
    <w:rsid w:val="00821656"/>
    <w:rsid w:val="008218A8"/>
    <w:rsid w:val="00821C1A"/>
    <w:rsid w:val="008228FA"/>
    <w:rsid w:val="00822A7A"/>
    <w:rsid w:val="00822D1E"/>
    <w:rsid w:val="0082338F"/>
    <w:rsid w:val="00823464"/>
    <w:rsid w:val="00823832"/>
    <w:rsid w:val="00823E72"/>
    <w:rsid w:val="008248E6"/>
    <w:rsid w:val="0082509C"/>
    <w:rsid w:val="008250C3"/>
    <w:rsid w:val="008255F9"/>
    <w:rsid w:val="00825648"/>
    <w:rsid w:val="008259C8"/>
    <w:rsid w:val="00827030"/>
    <w:rsid w:val="00827230"/>
    <w:rsid w:val="00827275"/>
    <w:rsid w:val="0082775D"/>
    <w:rsid w:val="00827EA4"/>
    <w:rsid w:val="0083047F"/>
    <w:rsid w:val="00830D29"/>
    <w:rsid w:val="00830F15"/>
    <w:rsid w:val="008310F5"/>
    <w:rsid w:val="0083158A"/>
    <w:rsid w:val="0083196C"/>
    <w:rsid w:val="00831C1E"/>
    <w:rsid w:val="00831FB7"/>
    <w:rsid w:val="0083205E"/>
    <w:rsid w:val="00832083"/>
    <w:rsid w:val="00832191"/>
    <w:rsid w:val="008329B8"/>
    <w:rsid w:val="00832AC9"/>
    <w:rsid w:val="00833156"/>
    <w:rsid w:val="008337C4"/>
    <w:rsid w:val="00833A59"/>
    <w:rsid w:val="00833BF0"/>
    <w:rsid w:val="00834076"/>
    <w:rsid w:val="008341F5"/>
    <w:rsid w:val="008344AB"/>
    <w:rsid w:val="0083480F"/>
    <w:rsid w:val="00834B7E"/>
    <w:rsid w:val="00835497"/>
    <w:rsid w:val="00835735"/>
    <w:rsid w:val="0083579F"/>
    <w:rsid w:val="00835BA1"/>
    <w:rsid w:val="00835C4F"/>
    <w:rsid w:val="00835CEC"/>
    <w:rsid w:val="00835E0E"/>
    <w:rsid w:val="00835E28"/>
    <w:rsid w:val="00836BEC"/>
    <w:rsid w:val="00836D67"/>
    <w:rsid w:val="00836E0A"/>
    <w:rsid w:val="00836E71"/>
    <w:rsid w:val="00836F7B"/>
    <w:rsid w:val="008376E1"/>
    <w:rsid w:val="00837755"/>
    <w:rsid w:val="00837C7A"/>
    <w:rsid w:val="00837CF4"/>
    <w:rsid w:val="008402E4"/>
    <w:rsid w:val="008403A8"/>
    <w:rsid w:val="00840774"/>
    <w:rsid w:val="00840B59"/>
    <w:rsid w:val="008415C5"/>
    <w:rsid w:val="00842270"/>
    <w:rsid w:val="00842352"/>
    <w:rsid w:val="00842AAA"/>
    <w:rsid w:val="00842DA2"/>
    <w:rsid w:val="008430FE"/>
    <w:rsid w:val="008439C0"/>
    <w:rsid w:val="00843A10"/>
    <w:rsid w:val="00843A29"/>
    <w:rsid w:val="00843C87"/>
    <w:rsid w:val="00843FCA"/>
    <w:rsid w:val="0084418F"/>
    <w:rsid w:val="00844289"/>
    <w:rsid w:val="00844325"/>
    <w:rsid w:val="0084452A"/>
    <w:rsid w:val="00844F85"/>
    <w:rsid w:val="00845329"/>
    <w:rsid w:val="00845441"/>
    <w:rsid w:val="00845621"/>
    <w:rsid w:val="0084609B"/>
    <w:rsid w:val="0084633F"/>
    <w:rsid w:val="008464BE"/>
    <w:rsid w:val="00846931"/>
    <w:rsid w:val="00846A55"/>
    <w:rsid w:val="00846F52"/>
    <w:rsid w:val="00847498"/>
    <w:rsid w:val="008475B4"/>
    <w:rsid w:val="00847A22"/>
    <w:rsid w:val="00847A88"/>
    <w:rsid w:val="00847CEE"/>
    <w:rsid w:val="00847D3B"/>
    <w:rsid w:val="0085029F"/>
    <w:rsid w:val="0085071F"/>
    <w:rsid w:val="0085094B"/>
    <w:rsid w:val="0085095C"/>
    <w:rsid w:val="00851087"/>
    <w:rsid w:val="008513B8"/>
    <w:rsid w:val="00851400"/>
    <w:rsid w:val="00851724"/>
    <w:rsid w:val="0085184C"/>
    <w:rsid w:val="00851CA6"/>
    <w:rsid w:val="00851E20"/>
    <w:rsid w:val="00852510"/>
    <w:rsid w:val="008528D9"/>
    <w:rsid w:val="00852D7F"/>
    <w:rsid w:val="00852FCB"/>
    <w:rsid w:val="008530A8"/>
    <w:rsid w:val="008538AA"/>
    <w:rsid w:val="00853CF8"/>
    <w:rsid w:val="00853D54"/>
    <w:rsid w:val="0085419B"/>
    <w:rsid w:val="00854213"/>
    <w:rsid w:val="008545D4"/>
    <w:rsid w:val="00854878"/>
    <w:rsid w:val="00854A45"/>
    <w:rsid w:val="00854AFC"/>
    <w:rsid w:val="00854B63"/>
    <w:rsid w:val="00854D35"/>
    <w:rsid w:val="00854FD4"/>
    <w:rsid w:val="00855526"/>
    <w:rsid w:val="0085579D"/>
    <w:rsid w:val="00855AAE"/>
    <w:rsid w:val="00855C09"/>
    <w:rsid w:val="00855FBA"/>
    <w:rsid w:val="00856886"/>
    <w:rsid w:val="00856AFA"/>
    <w:rsid w:val="00856B70"/>
    <w:rsid w:val="00856C0A"/>
    <w:rsid w:val="0085712E"/>
    <w:rsid w:val="008577BB"/>
    <w:rsid w:val="00857A34"/>
    <w:rsid w:val="00857AD2"/>
    <w:rsid w:val="00860193"/>
    <w:rsid w:val="00860B65"/>
    <w:rsid w:val="008611C5"/>
    <w:rsid w:val="00861AA1"/>
    <w:rsid w:val="00861AB8"/>
    <w:rsid w:val="00862104"/>
    <w:rsid w:val="0086255E"/>
    <w:rsid w:val="0086314D"/>
    <w:rsid w:val="0086339A"/>
    <w:rsid w:val="008638FF"/>
    <w:rsid w:val="00863B38"/>
    <w:rsid w:val="00863D10"/>
    <w:rsid w:val="0086428C"/>
    <w:rsid w:val="008649F4"/>
    <w:rsid w:val="00864F1E"/>
    <w:rsid w:val="0086521A"/>
    <w:rsid w:val="00865731"/>
    <w:rsid w:val="00865A67"/>
    <w:rsid w:val="00865C8A"/>
    <w:rsid w:val="00865E52"/>
    <w:rsid w:val="00866280"/>
    <w:rsid w:val="00866440"/>
    <w:rsid w:val="008665B8"/>
    <w:rsid w:val="00866617"/>
    <w:rsid w:val="00866A1C"/>
    <w:rsid w:val="00866B1D"/>
    <w:rsid w:val="00866E64"/>
    <w:rsid w:val="008670EB"/>
    <w:rsid w:val="008671A5"/>
    <w:rsid w:val="008673EB"/>
    <w:rsid w:val="00867639"/>
    <w:rsid w:val="00867970"/>
    <w:rsid w:val="008679D8"/>
    <w:rsid w:val="00867AE4"/>
    <w:rsid w:val="00867B6F"/>
    <w:rsid w:val="00870087"/>
    <w:rsid w:val="00870364"/>
    <w:rsid w:val="008703F6"/>
    <w:rsid w:val="00870BD6"/>
    <w:rsid w:val="00870FB2"/>
    <w:rsid w:val="00871002"/>
    <w:rsid w:val="008716EA"/>
    <w:rsid w:val="008717D8"/>
    <w:rsid w:val="00871D28"/>
    <w:rsid w:val="00871DEC"/>
    <w:rsid w:val="00872126"/>
    <w:rsid w:val="00872495"/>
    <w:rsid w:val="008724E8"/>
    <w:rsid w:val="008727BE"/>
    <w:rsid w:val="00872BAA"/>
    <w:rsid w:val="00872D60"/>
    <w:rsid w:val="00872DCD"/>
    <w:rsid w:val="00872E52"/>
    <w:rsid w:val="008735B9"/>
    <w:rsid w:val="008738F1"/>
    <w:rsid w:val="00873C8A"/>
    <w:rsid w:val="00873D5B"/>
    <w:rsid w:val="00873F09"/>
    <w:rsid w:val="00874176"/>
    <w:rsid w:val="008742E2"/>
    <w:rsid w:val="00874359"/>
    <w:rsid w:val="0087535C"/>
    <w:rsid w:val="00875360"/>
    <w:rsid w:val="008754C9"/>
    <w:rsid w:val="00875757"/>
    <w:rsid w:val="008757FE"/>
    <w:rsid w:val="008758FA"/>
    <w:rsid w:val="00875DC7"/>
    <w:rsid w:val="00876171"/>
    <w:rsid w:val="00876174"/>
    <w:rsid w:val="0087649F"/>
    <w:rsid w:val="00876846"/>
    <w:rsid w:val="008769D0"/>
    <w:rsid w:val="00876CD9"/>
    <w:rsid w:val="00876CDB"/>
    <w:rsid w:val="008771C9"/>
    <w:rsid w:val="00877662"/>
    <w:rsid w:val="008808FC"/>
    <w:rsid w:val="008809CE"/>
    <w:rsid w:val="00880F19"/>
    <w:rsid w:val="0088114E"/>
    <w:rsid w:val="008811AC"/>
    <w:rsid w:val="008816AA"/>
    <w:rsid w:val="00881732"/>
    <w:rsid w:val="00881AD6"/>
    <w:rsid w:val="00881C21"/>
    <w:rsid w:val="008820E4"/>
    <w:rsid w:val="00882406"/>
    <w:rsid w:val="0088240F"/>
    <w:rsid w:val="00882607"/>
    <w:rsid w:val="00882B06"/>
    <w:rsid w:val="00882E83"/>
    <w:rsid w:val="008834C5"/>
    <w:rsid w:val="0088369D"/>
    <w:rsid w:val="0088393E"/>
    <w:rsid w:val="008839EC"/>
    <w:rsid w:val="00883B66"/>
    <w:rsid w:val="00883D3F"/>
    <w:rsid w:val="00883EAB"/>
    <w:rsid w:val="0088419F"/>
    <w:rsid w:val="008841F0"/>
    <w:rsid w:val="0088464A"/>
    <w:rsid w:val="008847A4"/>
    <w:rsid w:val="00884E2C"/>
    <w:rsid w:val="0088538A"/>
    <w:rsid w:val="00885FC8"/>
    <w:rsid w:val="00886015"/>
    <w:rsid w:val="00886098"/>
    <w:rsid w:val="008867BD"/>
    <w:rsid w:val="0088695F"/>
    <w:rsid w:val="008869A5"/>
    <w:rsid w:val="00886BD5"/>
    <w:rsid w:val="00886BEB"/>
    <w:rsid w:val="00886DB6"/>
    <w:rsid w:val="00886E60"/>
    <w:rsid w:val="008870A8"/>
    <w:rsid w:val="0088721A"/>
    <w:rsid w:val="008877FA"/>
    <w:rsid w:val="00887A3B"/>
    <w:rsid w:val="0089028D"/>
    <w:rsid w:val="0089064F"/>
    <w:rsid w:val="00890675"/>
    <w:rsid w:val="008906BE"/>
    <w:rsid w:val="00891235"/>
    <w:rsid w:val="00891371"/>
    <w:rsid w:val="00891470"/>
    <w:rsid w:val="00891DE6"/>
    <w:rsid w:val="00892679"/>
    <w:rsid w:val="00893171"/>
    <w:rsid w:val="00893173"/>
    <w:rsid w:val="00893D35"/>
    <w:rsid w:val="00893DD1"/>
    <w:rsid w:val="00893DF8"/>
    <w:rsid w:val="00894103"/>
    <w:rsid w:val="00894108"/>
    <w:rsid w:val="0089412A"/>
    <w:rsid w:val="00894309"/>
    <w:rsid w:val="008949C6"/>
    <w:rsid w:val="00894A7F"/>
    <w:rsid w:val="008954BA"/>
    <w:rsid w:val="00895CB3"/>
    <w:rsid w:val="008961BD"/>
    <w:rsid w:val="00896674"/>
    <w:rsid w:val="00896EFF"/>
    <w:rsid w:val="00897B71"/>
    <w:rsid w:val="00897FC9"/>
    <w:rsid w:val="008A030A"/>
    <w:rsid w:val="008A047F"/>
    <w:rsid w:val="008A05DD"/>
    <w:rsid w:val="008A06FA"/>
    <w:rsid w:val="008A0C5A"/>
    <w:rsid w:val="008A0EAE"/>
    <w:rsid w:val="008A12AA"/>
    <w:rsid w:val="008A176D"/>
    <w:rsid w:val="008A1BA2"/>
    <w:rsid w:val="008A1F7D"/>
    <w:rsid w:val="008A1FE5"/>
    <w:rsid w:val="008A2141"/>
    <w:rsid w:val="008A27D8"/>
    <w:rsid w:val="008A2838"/>
    <w:rsid w:val="008A2DF7"/>
    <w:rsid w:val="008A3164"/>
    <w:rsid w:val="008A3429"/>
    <w:rsid w:val="008A3A83"/>
    <w:rsid w:val="008A3B21"/>
    <w:rsid w:val="008A3C6B"/>
    <w:rsid w:val="008A3C96"/>
    <w:rsid w:val="008A3DC2"/>
    <w:rsid w:val="008A42EA"/>
    <w:rsid w:val="008A4846"/>
    <w:rsid w:val="008A4B52"/>
    <w:rsid w:val="008A55F7"/>
    <w:rsid w:val="008A57DB"/>
    <w:rsid w:val="008A5A33"/>
    <w:rsid w:val="008A5D54"/>
    <w:rsid w:val="008A5D74"/>
    <w:rsid w:val="008A5E88"/>
    <w:rsid w:val="008A5FB5"/>
    <w:rsid w:val="008A60DB"/>
    <w:rsid w:val="008A6508"/>
    <w:rsid w:val="008A65BA"/>
    <w:rsid w:val="008A67AF"/>
    <w:rsid w:val="008A7954"/>
    <w:rsid w:val="008B057C"/>
    <w:rsid w:val="008B06B7"/>
    <w:rsid w:val="008B073D"/>
    <w:rsid w:val="008B0CC5"/>
    <w:rsid w:val="008B0D0F"/>
    <w:rsid w:val="008B0FEC"/>
    <w:rsid w:val="008B11EC"/>
    <w:rsid w:val="008B1413"/>
    <w:rsid w:val="008B1ACC"/>
    <w:rsid w:val="008B1B68"/>
    <w:rsid w:val="008B1E15"/>
    <w:rsid w:val="008B1EEB"/>
    <w:rsid w:val="008B2144"/>
    <w:rsid w:val="008B221F"/>
    <w:rsid w:val="008B2347"/>
    <w:rsid w:val="008B2589"/>
    <w:rsid w:val="008B387C"/>
    <w:rsid w:val="008B3920"/>
    <w:rsid w:val="008B3B29"/>
    <w:rsid w:val="008B3BEB"/>
    <w:rsid w:val="008B3F62"/>
    <w:rsid w:val="008B4370"/>
    <w:rsid w:val="008B527D"/>
    <w:rsid w:val="008B5299"/>
    <w:rsid w:val="008B542B"/>
    <w:rsid w:val="008B560D"/>
    <w:rsid w:val="008B5A15"/>
    <w:rsid w:val="008B5CD2"/>
    <w:rsid w:val="008B65D0"/>
    <w:rsid w:val="008B6B8A"/>
    <w:rsid w:val="008B6ED1"/>
    <w:rsid w:val="008B7329"/>
    <w:rsid w:val="008B73C3"/>
    <w:rsid w:val="008B73ED"/>
    <w:rsid w:val="008B7B0F"/>
    <w:rsid w:val="008B7D43"/>
    <w:rsid w:val="008C0162"/>
    <w:rsid w:val="008C0CAD"/>
    <w:rsid w:val="008C0DE7"/>
    <w:rsid w:val="008C11EA"/>
    <w:rsid w:val="008C1630"/>
    <w:rsid w:val="008C1A76"/>
    <w:rsid w:val="008C2DAD"/>
    <w:rsid w:val="008C33F2"/>
    <w:rsid w:val="008C4017"/>
    <w:rsid w:val="008C4183"/>
    <w:rsid w:val="008C4382"/>
    <w:rsid w:val="008C4424"/>
    <w:rsid w:val="008C4631"/>
    <w:rsid w:val="008C46E0"/>
    <w:rsid w:val="008C4E9D"/>
    <w:rsid w:val="008C53EA"/>
    <w:rsid w:val="008C54B5"/>
    <w:rsid w:val="008C553B"/>
    <w:rsid w:val="008C5AEC"/>
    <w:rsid w:val="008C5E66"/>
    <w:rsid w:val="008C62FA"/>
    <w:rsid w:val="008C637D"/>
    <w:rsid w:val="008C6441"/>
    <w:rsid w:val="008C657B"/>
    <w:rsid w:val="008C679B"/>
    <w:rsid w:val="008C6EA8"/>
    <w:rsid w:val="008C6F45"/>
    <w:rsid w:val="008C7263"/>
    <w:rsid w:val="008C735B"/>
    <w:rsid w:val="008C7884"/>
    <w:rsid w:val="008C791C"/>
    <w:rsid w:val="008D0520"/>
    <w:rsid w:val="008D05B3"/>
    <w:rsid w:val="008D0D8D"/>
    <w:rsid w:val="008D0DFB"/>
    <w:rsid w:val="008D126D"/>
    <w:rsid w:val="008D16BC"/>
    <w:rsid w:val="008D1E1D"/>
    <w:rsid w:val="008D1E65"/>
    <w:rsid w:val="008D1EE4"/>
    <w:rsid w:val="008D22E9"/>
    <w:rsid w:val="008D2488"/>
    <w:rsid w:val="008D27CF"/>
    <w:rsid w:val="008D2C96"/>
    <w:rsid w:val="008D308E"/>
    <w:rsid w:val="008D32E8"/>
    <w:rsid w:val="008D3521"/>
    <w:rsid w:val="008D458D"/>
    <w:rsid w:val="008D549B"/>
    <w:rsid w:val="008D594A"/>
    <w:rsid w:val="008D5BBB"/>
    <w:rsid w:val="008D5FBC"/>
    <w:rsid w:val="008D6384"/>
    <w:rsid w:val="008D64C9"/>
    <w:rsid w:val="008D657C"/>
    <w:rsid w:val="008D6E27"/>
    <w:rsid w:val="008D6EBA"/>
    <w:rsid w:val="008D6FDF"/>
    <w:rsid w:val="008D784F"/>
    <w:rsid w:val="008D797B"/>
    <w:rsid w:val="008D7C88"/>
    <w:rsid w:val="008D7C8A"/>
    <w:rsid w:val="008D7D36"/>
    <w:rsid w:val="008E00D0"/>
    <w:rsid w:val="008E0B1F"/>
    <w:rsid w:val="008E136D"/>
    <w:rsid w:val="008E1438"/>
    <w:rsid w:val="008E14C2"/>
    <w:rsid w:val="008E14D2"/>
    <w:rsid w:val="008E1A69"/>
    <w:rsid w:val="008E1BDB"/>
    <w:rsid w:val="008E1C33"/>
    <w:rsid w:val="008E25E7"/>
    <w:rsid w:val="008E267E"/>
    <w:rsid w:val="008E269E"/>
    <w:rsid w:val="008E2899"/>
    <w:rsid w:val="008E2CDC"/>
    <w:rsid w:val="008E315D"/>
    <w:rsid w:val="008E3410"/>
    <w:rsid w:val="008E3F4C"/>
    <w:rsid w:val="008E40B4"/>
    <w:rsid w:val="008E48CC"/>
    <w:rsid w:val="008E5379"/>
    <w:rsid w:val="008E587B"/>
    <w:rsid w:val="008E5CFF"/>
    <w:rsid w:val="008E658F"/>
    <w:rsid w:val="008E65B9"/>
    <w:rsid w:val="008E7112"/>
    <w:rsid w:val="008E7626"/>
    <w:rsid w:val="008E7B05"/>
    <w:rsid w:val="008F05CF"/>
    <w:rsid w:val="008F060C"/>
    <w:rsid w:val="008F08E3"/>
    <w:rsid w:val="008F098E"/>
    <w:rsid w:val="008F0E42"/>
    <w:rsid w:val="008F10CA"/>
    <w:rsid w:val="008F1676"/>
    <w:rsid w:val="008F1AC5"/>
    <w:rsid w:val="008F1DAB"/>
    <w:rsid w:val="008F1E67"/>
    <w:rsid w:val="008F2036"/>
    <w:rsid w:val="008F2039"/>
    <w:rsid w:val="008F328C"/>
    <w:rsid w:val="008F35F7"/>
    <w:rsid w:val="008F36B3"/>
    <w:rsid w:val="008F3794"/>
    <w:rsid w:val="008F39F5"/>
    <w:rsid w:val="008F400A"/>
    <w:rsid w:val="008F4684"/>
    <w:rsid w:val="008F4AA5"/>
    <w:rsid w:val="008F4F57"/>
    <w:rsid w:val="008F52A0"/>
    <w:rsid w:val="008F5465"/>
    <w:rsid w:val="008F59E1"/>
    <w:rsid w:val="008F6038"/>
    <w:rsid w:val="008F623D"/>
    <w:rsid w:val="008F6639"/>
    <w:rsid w:val="008F683D"/>
    <w:rsid w:val="008F68F4"/>
    <w:rsid w:val="008F68FF"/>
    <w:rsid w:val="008F6CBA"/>
    <w:rsid w:val="008F6D92"/>
    <w:rsid w:val="008F6DB5"/>
    <w:rsid w:val="008F7139"/>
    <w:rsid w:val="008F746F"/>
    <w:rsid w:val="008F74DE"/>
    <w:rsid w:val="008F76D0"/>
    <w:rsid w:val="008F7B60"/>
    <w:rsid w:val="008F7E45"/>
    <w:rsid w:val="00900A26"/>
    <w:rsid w:val="00900E53"/>
    <w:rsid w:val="00901540"/>
    <w:rsid w:val="009016EE"/>
    <w:rsid w:val="009017FE"/>
    <w:rsid w:val="009019F3"/>
    <w:rsid w:val="00901B03"/>
    <w:rsid w:val="0090215C"/>
    <w:rsid w:val="009024A0"/>
    <w:rsid w:val="0090258E"/>
    <w:rsid w:val="0090268B"/>
    <w:rsid w:val="009027EE"/>
    <w:rsid w:val="00902AC9"/>
    <w:rsid w:val="00902D45"/>
    <w:rsid w:val="00902F5F"/>
    <w:rsid w:val="00903112"/>
    <w:rsid w:val="00903765"/>
    <w:rsid w:val="009037CF"/>
    <w:rsid w:val="00903D03"/>
    <w:rsid w:val="009041EB"/>
    <w:rsid w:val="009055E6"/>
    <w:rsid w:val="00905DA1"/>
    <w:rsid w:val="00906374"/>
    <w:rsid w:val="009063CC"/>
    <w:rsid w:val="009063ED"/>
    <w:rsid w:val="00906503"/>
    <w:rsid w:val="009069C7"/>
    <w:rsid w:val="00906D94"/>
    <w:rsid w:val="00906F31"/>
    <w:rsid w:val="009072A5"/>
    <w:rsid w:val="00907ACF"/>
    <w:rsid w:val="00907F12"/>
    <w:rsid w:val="009101C8"/>
    <w:rsid w:val="0091091C"/>
    <w:rsid w:val="00910EBF"/>
    <w:rsid w:val="0091117D"/>
    <w:rsid w:val="00911A36"/>
    <w:rsid w:val="00912D3A"/>
    <w:rsid w:val="00912D82"/>
    <w:rsid w:val="00912FA7"/>
    <w:rsid w:val="00913347"/>
    <w:rsid w:val="00913468"/>
    <w:rsid w:val="00913643"/>
    <w:rsid w:val="00913A75"/>
    <w:rsid w:val="00914033"/>
    <w:rsid w:val="00914A12"/>
    <w:rsid w:val="00914A7F"/>
    <w:rsid w:val="00914B36"/>
    <w:rsid w:val="009154CC"/>
    <w:rsid w:val="009156A6"/>
    <w:rsid w:val="00915924"/>
    <w:rsid w:val="00915A8A"/>
    <w:rsid w:val="00915C59"/>
    <w:rsid w:val="00915D45"/>
    <w:rsid w:val="00915E32"/>
    <w:rsid w:val="00915F6C"/>
    <w:rsid w:val="00916731"/>
    <w:rsid w:val="0091772D"/>
    <w:rsid w:val="00917750"/>
    <w:rsid w:val="00917DD5"/>
    <w:rsid w:val="00920007"/>
    <w:rsid w:val="00920434"/>
    <w:rsid w:val="009205EF"/>
    <w:rsid w:val="00920ED0"/>
    <w:rsid w:val="009212CD"/>
    <w:rsid w:val="00921D22"/>
    <w:rsid w:val="00921DA1"/>
    <w:rsid w:val="00921EF3"/>
    <w:rsid w:val="009224BB"/>
    <w:rsid w:val="009226DB"/>
    <w:rsid w:val="009229D2"/>
    <w:rsid w:val="00922A70"/>
    <w:rsid w:val="00922C47"/>
    <w:rsid w:val="00923166"/>
    <w:rsid w:val="0092325F"/>
    <w:rsid w:val="00923298"/>
    <w:rsid w:val="0092399D"/>
    <w:rsid w:val="00923C00"/>
    <w:rsid w:val="00924787"/>
    <w:rsid w:val="009247F5"/>
    <w:rsid w:val="00924D89"/>
    <w:rsid w:val="00924D95"/>
    <w:rsid w:val="00925176"/>
    <w:rsid w:val="009251E9"/>
    <w:rsid w:val="0092536C"/>
    <w:rsid w:val="0092574B"/>
    <w:rsid w:val="00926373"/>
    <w:rsid w:val="0092640F"/>
    <w:rsid w:val="00926828"/>
    <w:rsid w:val="009268B4"/>
    <w:rsid w:val="009269BF"/>
    <w:rsid w:val="00926BDF"/>
    <w:rsid w:val="009271FD"/>
    <w:rsid w:val="0092731E"/>
    <w:rsid w:val="00927504"/>
    <w:rsid w:val="0092758F"/>
    <w:rsid w:val="0092770D"/>
    <w:rsid w:val="009279C4"/>
    <w:rsid w:val="00927B80"/>
    <w:rsid w:val="00927D59"/>
    <w:rsid w:val="00927DEF"/>
    <w:rsid w:val="0093049D"/>
    <w:rsid w:val="00930AA9"/>
    <w:rsid w:val="0093177C"/>
    <w:rsid w:val="00931EA4"/>
    <w:rsid w:val="00932E8B"/>
    <w:rsid w:val="00933449"/>
    <w:rsid w:val="00933483"/>
    <w:rsid w:val="0093434B"/>
    <w:rsid w:val="009348E4"/>
    <w:rsid w:val="00934990"/>
    <w:rsid w:val="009349EE"/>
    <w:rsid w:val="00934E42"/>
    <w:rsid w:val="00935674"/>
    <w:rsid w:val="00935F78"/>
    <w:rsid w:val="009360DD"/>
    <w:rsid w:val="0093654F"/>
    <w:rsid w:val="009369AE"/>
    <w:rsid w:val="00936C75"/>
    <w:rsid w:val="00936E20"/>
    <w:rsid w:val="0093703B"/>
    <w:rsid w:val="009370DE"/>
    <w:rsid w:val="0093747C"/>
    <w:rsid w:val="009374F9"/>
    <w:rsid w:val="0093778B"/>
    <w:rsid w:val="00937AD8"/>
    <w:rsid w:val="00940650"/>
    <w:rsid w:val="00940D48"/>
    <w:rsid w:val="00940D92"/>
    <w:rsid w:val="00940F2B"/>
    <w:rsid w:val="00940F66"/>
    <w:rsid w:val="00941959"/>
    <w:rsid w:val="0094259B"/>
    <w:rsid w:val="00942636"/>
    <w:rsid w:val="00942788"/>
    <w:rsid w:val="00942A04"/>
    <w:rsid w:val="00942A4A"/>
    <w:rsid w:val="00942D3A"/>
    <w:rsid w:val="00943BB2"/>
    <w:rsid w:val="00943EB4"/>
    <w:rsid w:val="0094450B"/>
    <w:rsid w:val="00944761"/>
    <w:rsid w:val="00944F7B"/>
    <w:rsid w:val="00944FF8"/>
    <w:rsid w:val="009451DF"/>
    <w:rsid w:val="00945338"/>
    <w:rsid w:val="00945363"/>
    <w:rsid w:val="0094575A"/>
    <w:rsid w:val="00945906"/>
    <w:rsid w:val="0094596E"/>
    <w:rsid w:val="0094624B"/>
    <w:rsid w:val="0094646E"/>
    <w:rsid w:val="00946507"/>
    <w:rsid w:val="00946DF2"/>
    <w:rsid w:val="009475BF"/>
    <w:rsid w:val="0094767C"/>
    <w:rsid w:val="0094787E"/>
    <w:rsid w:val="00947A1D"/>
    <w:rsid w:val="00947E92"/>
    <w:rsid w:val="00947FBE"/>
    <w:rsid w:val="00951904"/>
    <w:rsid w:val="00951F74"/>
    <w:rsid w:val="009522D4"/>
    <w:rsid w:val="00952306"/>
    <w:rsid w:val="009526F2"/>
    <w:rsid w:val="00952C0C"/>
    <w:rsid w:val="00952C47"/>
    <w:rsid w:val="009536F5"/>
    <w:rsid w:val="00953A50"/>
    <w:rsid w:val="00953EC0"/>
    <w:rsid w:val="0095453A"/>
    <w:rsid w:val="00954623"/>
    <w:rsid w:val="009546F5"/>
    <w:rsid w:val="00954C84"/>
    <w:rsid w:val="00954EBD"/>
    <w:rsid w:val="009553C8"/>
    <w:rsid w:val="009553C9"/>
    <w:rsid w:val="00955732"/>
    <w:rsid w:val="00955940"/>
    <w:rsid w:val="00955AAD"/>
    <w:rsid w:val="00955BDB"/>
    <w:rsid w:val="00955C13"/>
    <w:rsid w:val="00955EC4"/>
    <w:rsid w:val="009562CE"/>
    <w:rsid w:val="00956354"/>
    <w:rsid w:val="0095653D"/>
    <w:rsid w:val="00956A0E"/>
    <w:rsid w:val="00956CC4"/>
    <w:rsid w:val="00956CF7"/>
    <w:rsid w:val="00957D28"/>
    <w:rsid w:val="00957D2C"/>
    <w:rsid w:val="009600E8"/>
    <w:rsid w:val="00960426"/>
    <w:rsid w:val="00960534"/>
    <w:rsid w:val="0096068D"/>
    <w:rsid w:val="00960F07"/>
    <w:rsid w:val="00960F48"/>
    <w:rsid w:val="0096191D"/>
    <w:rsid w:val="00961FEF"/>
    <w:rsid w:val="00962276"/>
    <w:rsid w:val="00962459"/>
    <w:rsid w:val="00962749"/>
    <w:rsid w:val="0096297B"/>
    <w:rsid w:val="00962C27"/>
    <w:rsid w:val="00962D1F"/>
    <w:rsid w:val="00962F0D"/>
    <w:rsid w:val="009630C6"/>
    <w:rsid w:val="009631B5"/>
    <w:rsid w:val="0096357B"/>
    <w:rsid w:val="009635F6"/>
    <w:rsid w:val="00963659"/>
    <w:rsid w:val="00963BEA"/>
    <w:rsid w:val="00964657"/>
    <w:rsid w:val="0096475A"/>
    <w:rsid w:val="0096480F"/>
    <w:rsid w:val="00964BED"/>
    <w:rsid w:val="00964C68"/>
    <w:rsid w:val="00964D14"/>
    <w:rsid w:val="0096527C"/>
    <w:rsid w:val="009652FB"/>
    <w:rsid w:val="0096569B"/>
    <w:rsid w:val="009669F6"/>
    <w:rsid w:val="00966BAF"/>
    <w:rsid w:val="00966BF1"/>
    <w:rsid w:val="00966C9B"/>
    <w:rsid w:val="00966D12"/>
    <w:rsid w:val="00967FC1"/>
    <w:rsid w:val="009705AD"/>
    <w:rsid w:val="009715B7"/>
    <w:rsid w:val="00971C72"/>
    <w:rsid w:val="009722B2"/>
    <w:rsid w:val="0097249F"/>
    <w:rsid w:val="0097276D"/>
    <w:rsid w:val="0097281E"/>
    <w:rsid w:val="00972C23"/>
    <w:rsid w:val="00972D52"/>
    <w:rsid w:val="00973530"/>
    <w:rsid w:val="00973A88"/>
    <w:rsid w:val="00973B5C"/>
    <w:rsid w:val="00974624"/>
    <w:rsid w:val="00974B58"/>
    <w:rsid w:val="00974B9C"/>
    <w:rsid w:val="0097503A"/>
    <w:rsid w:val="00975435"/>
    <w:rsid w:val="009755B4"/>
    <w:rsid w:val="00975A4F"/>
    <w:rsid w:val="00975A62"/>
    <w:rsid w:val="009760FE"/>
    <w:rsid w:val="00976537"/>
    <w:rsid w:val="00976ABB"/>
    <w:rsid w:val="00976BC4"/>
    <w:rsid w:val="00976E6D"/>
    <w:rsid w:val="009771AB"/>
    <w:rsid w:val="00977326"/>
    <w:rsid w:val="00977BFA"/>
    <w:rsid w:val="00981112"/>
    <w:rsid w:val="00982271"/>
    <w:rsid w:val="009823B7"/>
    <w:rsid w:val="00982D41"/>
    <w:rsid w:val="00982E67"/>
    <w:rsid w:val="00982F25"/>
    <w:rsid w:val="0098337D"/>
    <w:rsid w:val="0098362A"/>
    <w:rsid w:val="0098391A"/>
    <w:rsid w:val="00983A55"/>
    <w:rsid w:val="00983D89"/>
    <w:rsid w:val="00983E89"/>
    <w:rsid w:val="00983F16"/>
    <w:rsid w:val="00984A6B"/>
    <w:rsid w:val="00984B20"/>
    <w:rsid w:val="00984D7D"/>
    <w:rsid w:val="00984D7E"/>
    <w:rsid w:val="00984E4C"/>
    <w:rsid w:val="009850EC"/>
    <w:rsid w:val="00985485"/>
    <w:rsid w:val="00985550"/>
    <w:rsid w:val="009856D4"/>
    <w:rsid w:val="00985ACD"/>
    <w:rsid w:val="00985F3E"/>
    <w:rsid w:val="00986538"/>
    <w:rsid w:val="009869D6"/>
    <w:rsid w:val="00986F4C"/>
    <w:rsid w:val="00986F5F"/>
    <w:rsid w:val="0098704F"/>
    <w:rsid w:val="009874CD"/>
    <w:rsid w:val="00987717"/>
    <w:rsid w:val="009878E2"/>
    <w:rsid w:val="00987FCD"/>
    <w:rsid w:val="0099030C"/>
    <w:rsid w:val="0099036E"/>
    <w:rsid w:val="0099076B"/>
    <w:rsid w:val="009909DF"/>
    <w:rsid w:val="00990AB8"/>
    <w:rsid w:val="00990C7F"/>
    <w:rsid w:val="00990C91"/>
    <w:rsid w:val="00990DC6"/>
    <w:rsid w:val="00990F69"/>
    <w:rsid w:val="00991116"/>
    <w:rsid w:val="0099144B"/>
    <w:rsid w:val="009916AA"/>
    <w:rsid w:val="00991C84"/>
    <w:rsid w:val="00992450"/>
    <w:rsid w:val="0099258C"/>
    <w:rsid w:val="0099267D"/>
    <w:rsid w:val="009927C1"/>
    <w:rsid w:val="00992849"/>
    <w:rsid w:val="00992F32"/>
    <w:rsid w:val="009937F2"/>
    <w:rsid w:val="00994178"/>
    <w:rsid w:val="009941AF"/>
    <w:rsid w:val="00994855"/>
    <w:rsid w:val="00994A4D"/>
    <w:rsid w:val="00994A57"/>
    <w:rsid w:val="00994C2C"/>
    <w:rsid w:val="00994F74"/>
    <w:rsid w:val="0099509F"/>
    <w:rsid w:val="00995171"/>
    <w:rsid w:val="00995832"/>
    <w:rsid w:val="00995C07"/>
    <w:rsid w:val="00995DB8"/>
    <w:rsid w:val="00995E56"/>
    <w:rsid w:val="00996559"/>
    <w:rsid w:val="0099658C"/>
    <w:rsid w:val="00996B12"/>
    <w:rsid w:val="00996D61"/>
    <w:rsid w:val="00996D8D"/>
    <w:rsid w:val="00996E8A"/>
    <w:rsid w:val="00996F52"/>
    <w:rsid w:val="00996FDA"/>
    <w:rsid w:val="009972A0"/>
    <w:rsid w:val="00997315"/>
    <w:rsid w:val="0099734F"/>
    <w:rsid w:val="00997B0D"/>
    <w:rsid w:val="00997B33"/>
    <w:rsid w:val="00997BCC"/>
    <w:rsid w:val="00997EFA"/>
    <w:rsid w:val="009A0087"/>
    <w:rsid w:val="009A010B"/>
    <w:rsid w:val="009A0B67"/>
    <w:rsid w:val="009A0FB6"/>
    <w:rsid w:val="009A146E"/>
    <w:rsid w:val="009A1573"/>
    <w:rsid w:val="009A16FB"/>
    <w:rsid w:val="009A22CA"/>
    <w:rsid w:val="009A233F"/>
    <w:rsid w:val="009A2A99"/>
    <w:rsid w:val="009A2DFE"/>
    <w:rsid w:val="009A316A"/>
    <w:rsid w:val="009A407F"/>
    <w:rsid w:val="009A46FC"/>
    <w:rsid w:val="009A4BC8"/>
    <w:rsid w:val="009A4D65"/>
    <w:rsid w:val="009A5733"/>
    <w:rsid w:val="009A5ADF"/>
    <w:rsid w:val="009A5B1A"/>
    <w:rsid w:val="009A5DFB"/>
    <w:rsid w:val="009A60FD"/>
    <w:rsid w:val="009A62A0"/>
    <w:rsid w:val="009A62A6"/>
    <w:rsid w:val="009A6782"/>
    <w:rsid w:val="009A6836"/>
    <w:rsid w:val="009A6892"/>
    <w:rsid w:val="009A6C68"/>
    <w:rsid w:val="009A6D13"/>
    <w:rsid w:val="009A754F"/>
    <w:rsid w:val="009A7943"/>
    <w:rsid w:val="009A7A96"/>
    <w:rsid w:val="009B009C"/>
    <w:rsid w:val="009B09F1"/>
    <w:rsid w:val="009B0EF5"/>
    <w:rsid w:val="009B1696"/>
    <w:rsid w:val="009B16B2"/>
    <w:rsid w:val="009B188A"/>
    <w:rsid w:val="009B18A6"/>
    <w:rsid w:val="009B1BE8"/>
    <w:rsid w:val="009B1C3F"/>
    <w:rsid w:val="009B1E39"/>
    <w:rsid w:val="009B20AF"/>
    <w:rsid w:val="009B2212"/>
    <w:rsid w:val="009B25C2"/>
    <w:rsid w:val="009B3BDD"/>
    <w:rsid w:val="009B3C78"/>
    <w:rsid w:val="009B444A"/>
    <w:rsid w:val="009B4774"/>
    <w:rsid w:val="009B4E15"/>
    <w:rsid w:val="009B514F"/>
    <w:rsid w:val="009B51CE"/>
    <w:rsid w:val="009B5650"/>
    <w:rsid w:val="009B5A93"/>
    <w:rsid w:val="009B5BCC"/>
    <w:rsid w:val="009B5E4B"/>
    <w:rsid w:val="009B5FDF"/>
    <w:rsid w:val="009B6B16"/>
    <w:rsid w:val="009B6DE3"/>
    <w:rsid w:val="009B70B4"/>
    <w:rsid w:val="009B7C4B"/>
    <w:rsid w:val="009B7E04"/>
    <w:rsid w:val="009C01E6"/>
    <w:rsid w:val="009C037A"/>
    <w:rsid w:val="009C0DB8"/>
    <w:rsid w:val="009C10F3"/>
    <w:rsid w:val="009C1392"/>
    <w:rsid w:val="009C1E6B"/>
    <w:rsid w:val="009C205D"/>
    <w:rsid w:val="009C22B8"/>
    <w:rsid w:val="009C22FC"/>
    <w:rsid w:val="009C2380"/>
    <w:rsid w:val="009C24DB"/>
    <w:rsid w:val="009C2B56"/>
    <w:rsid w:val="009C3445"/>
    <w:rsid w:val="009C36AD"/>
    <w:rsid w:val="009C3D78"/>
    <w:rsid w:val="009C3EBB"/>
    <w:rsid w:val="009C4204"/>
    <w:rsid w:val="009C52C4"/>
    <w:rsid w:val="009C5507"/>
    <w:rsid w:val="009C55BF"/>
    <w:rsid w:val="009C5A61"/>
    <w:rsid w:val="009C5FA7"/>
    <w:rsid w:val="009C60AD"/>
    <w:rsid w:val="009C6503"/>
    <w:rsid w:val="009C68BD"/>
    <w:rsid w:val="009C6D23"/>
    <w:rsid w:val="009C7D09"/>
    <w:rsid w:val="009D0115"/>
    <w:rsid w:val="009D0240"/>
    <w:rsid w:val="009D035C"/>
    <w:rsid w:val="009D051E"/>
    <w:rsid w:val="009D0523"/>
    <w:rsid w:val="009D0716"/>
    <w:rsid w:val="009D099B"/>
    <w:rsid w:val="009D0AE8"/>
    <w:rsid w:val="009D102C"/>
    <w:rsid w:val="009D10C7"/>
    <w:rsid w:val="009D13C1"/>
    <w:rsid w:val="009D18F4"/>
    <w:rsid w:val="009D36DE"/>
    <w:rsid w:val="009D3A79"/>
    <w:rsid w:val="009D4293"/>
    <w:rsid w:val="009D42BC"/>
    <w:rsid w:val="009D461D"/>
    <w:rsid w:val="009D5139"/>
    <w:rsid w:val="009D5B14"/>
    <w:rsid w:val="009D5D58"/>
    <w:rsid w:val="009D5F22"/>
    <w:rsid w:val="009D6209"/>
    <w:rsid w:val="009D6233"/>
    <w:rsid w:val="009D688F"/>
    <w:rsid w:val="009D6D9F"/>
    <w:rsid w:val="009D794E"/>
    <w:rsid w:val="009D7BAA"/>
    <w:rsid w:val="009D7F69"/>
    <w:rsid w:val="009E0A7C"/>
    <w:rsid w:val="009E0C7B"/>
    <w:rsid w:val="009E0F2F"/>
    <w:rsid w:val="009E11BE"/>
    <w:rsid w:val="009E130C"/>
    <w:rsid w:val="009E14D4"/>
    <w:rsid w:val="009E151D"/>
    <w:rsid w:val="009E18BF"/>
    <w:rsid w:val="009E1EEB"/>
    <w:rsid w:val="009E1F50"/>
    <w:rsid w:val="009E2194"/>
    <w:rsid w:val="009E21CE"/>
    <w:rsid w:val="009E278C"/>
    <w:rsid w:val="009E28DB"/>
    <w:rsid w:val="009E296E"/>
    <w:rsid w:val="009E2F10"/>
    <w:rsid w:val="009E2F93"/>
    <w:rsid w:val="009E3599"/>
    <w:rsid w:val="009E3965"/>
    <w:rsid w:val="009E3AC2"/>
    <w:rsid w:val="009E3CAF"/>
    <w:rsid w:val="009E3D9C"/>
    <w:rsid w:val="009E3E88"/>
    <w:rsid w:val="009E3E94"/>
    <w:rsid w:val="009E3EC1"/>
    <w:rsid w:val="009E3FC6"/>
    <w:rsid w:val="009E409F"/>
    <w:rsid w:val="009E4436"/>
    <w:rsid w:val="009E44B2"/>
    <w:rsid w:val="009E4820"/>
    <w:rsid w:val="009E5130"/>
    <w:rsid w:val="009E5239"/>
    <w:rsid w:val="009E5726"/>
    <w:rsid w:val="009E58A5"/>
    <w:rsid w:val="009E5E2B"/>
    <w:rsid w:val="009E6090"/>
    <w:rsid w:val="009E620D"/>
    <w:rsid w:val="009E7081"/>
    <w:rsid w:val="009E7625"/>
    <w:rsid w:val="009E7F64"/>
    <w:rsid w:val="009F070F"/>
    <w:rsid w:val="009F12EC"/>
    <w:rsid w:val="009F1529"/>
    <w:rsid w:val="009F17F5"/>
    <w:rsid w:val="009F1842"/>
    <w:rsid w:val="009F1AC2"/>
    <w:rsid w:val="009F1F79"/>
    <w:rsid w:val="009F245C"/>
    <w:rsid w:val="009F24E0"/>
    <w:rsid w:val="009F252B"/>
    <w:rsid w:val="009F2773"/>
    <w:rsid w:val="009F27D9"/>
    <w:rsid w:val="009F27DD"/>
    <w:rsid w:val="009F27EE"/>
    <w:rsid w:val="009F394E"/>
    <w:rsid w:val="009F41E4"/>
    <w:rsid w:val="009F4296"/>
    <w:rsid w:val="009F4544"/>
    <w:rsid w:val="009F45A8"/>
    <w:rsid w:val="009F4731"/>
    <w:rsid w:val="009F480F"/>
    <w:rsid w:val="009F4DBF"/>
    <w:rsid w:val="009F520C"/>
    <w:rsid w:val="009F56FB"/>
    <w:rsid w:val="009F577E"/>
    <w:rsid w:val="009F595B"/>
    <w:rsid w:val="009F5F2A"/>
    <w:rsid w:val="009F6690"/>
    <w:rsid w:val="009F6693"/>
    <w:rsid w:val="009F6BCB"/>
    <w:rsid w:val="009F6CA2"/>
    <w:rsid w:val="009F6CAB"/>
    <w:rsid w:val="009F7135"/>
    <w:rsid w:val="009F7393"/>
    <w:rsid w:val="009F7712"/>
    <w:rsid w:val="009F77AC"/>
    <w:rsid w:val="009F78B7"/>
    <w:rsid w:val="009F7AB9"/>
    <w:rsid w:val="00A0008E"/>
    <w:rsid w:val="00A00170"/>
    <w:rsid w:val="00A00485"/>
    <w:rsid w:val="00A0078D"/>
    <w:rsid w:val="00A00974"/>
    <w:rsid w:val="00A01223"/>
    <w:rsid w:val="00A013E0"/>
    <w:rsid w:val="00A01899"/>
    <w:rsid w:val="00A01B95"/>
    <w:rsid w:val="00A01F3A"/>
    <w:rsid w:val="00A02029"/>
    <w:rsid w:val="00A0209B"/>
    <w:rsid w:val="00A02263"/>
    <w:rsid w:val="00A0229B"/>
    <w:rsid w:val="00A02744"/>
    <w:rsid w:val="00A028E2"/>
    <w:rsid w:val="00A030CC"/>
    <w:rsid w:val="00A0336C"/>
    <w:rsid w:val="00A0351E"/>
    <w:rsid w:val="00A0367A"/>
    <w:rsid w:val="00A03B6C"/>
    <w:rsid w:val="00A03E61"/>
    <w:rsid w:val="00A042E9"/>
    <w:rsid w:val="00A055AD"/>
    <w:rsid w:val="00A059D1"/>
    <w:rsid w:val="00A05A77"/>
    <w:rsid w:val="00A05B02"/>
    <w:rsid w:val="00A05BCD"/>
    <w:rsid w:val="00A05CF4"/>
    <w:rsid w:val="00A06572"/>
    <w:rsid w:val="00A066D1"/>
    <w:rsid w:val="00A0677A"/>
    <w:rsid w:val="00A0710D"/>
    <w:rsid w:val="00A0759F"/>
    <w:rsid w:val="00A077FB"/>
    <w:rsid w:val="00A07D1E"/>
    <w:rsid w:val="00A10135"/>
    <w:rsid w:val="00A10613"/>
    <w:rsid w:val="00A106B7"/>
    <w:rsid w:val="00A10BAB"/>
    <w:rsid w:val="00A10CE9"/>
    <w:rsid w:val="00A10D34"/>
    <w:rsid w:val="00A10E9D"/>
    <w:rsid w:val="00A1124A"/>
    <w:rsid w:val="00A1144A"/>
    <w:rsid w:val="00A1184E"/>
    <w:rsid w:val="00A121C8"/>
    <w:rsid w:val="00A12473"/>
    <w:rsid w:val="00A1283D"/>
    <w:rsid w:val="00A12D5C"/>
    <w:rsid w:val="00A12ED9"/>
    <w:rsid w:val="00A13258"/>
    <w:rsid w:val="00A13654"/>
    <w:rsid w:val="00A13710"/>
    <w:rsid w:val="00A13847"/>
    <w:rsid w:val="00A140B3"/>
    <w:rsid w:val="00A14714"/>
    <w:rsid w:val="00A149D2"/>
    <w:rsid w:val="00A14AE0"/>
    <w:rsid w:val="00A14D53"/>
    <w:rsid w:val="00A1550E"/>
    <w:rsid w:val="00A15F33"/>
    <w:rsid w:val="00A1634B"/>
    <w:rsid w:val="00A16392"/>
    <w:rsid w:val="00A16964"/>
    <w:rsid w:val="00A16A66"/>
    <w:rsid w:val="00A16AF0"/>
    <w:rsid w:val="00A17371"/>
    <w:rsid w:val="00A17657"/>
    <w:rsid w:val="00A17C27"/>
    <w:rsid w:val="00A20087"/>
    <w:rsid w:val="00A20123"/>
    <w:rsid w:val="00A2030C"/>
    <w:rsid w:val="00A20A11"/>
    <w:rsid w:val="00A2127B"/>
    <w:rsid w:val="00A218C5"/>
    <w:rsid w:val="00A21C09"/>
    <w:rsid w:val="00A2205F"/>
    <w:rsid w:val="00A224E4"/>
    <w:rsid w:val="00A2277F"/>
    <w:rsid w:val="00A22B4A"/>
    <w:rsid w:val="00A23CF9"/>
    <w:rsid w:val="00A24140"/>
    <w:rsid w:val="00A24260"/>
    <w:rsid w:val="00A24F7C"/>
    <w:rsid w:val="00A25286"/>
    <w:rsid w:val="00A261CA"/>
    <w:rsid w:val="00A26249"/>
    <w:rsid w:val="00A26260"/>
    <w:rsid w:val="00A26402"/>
    <w:rsid w:val="00A267F3"/>
    <w:rsid w:val="00A26D69"/>
    <w:rsid w:val="00A27A63"/>
    <w:rsid w:val="00A27D0F"/>
    <w:rsid w:val="00A27E72"/>
    <w:rsid w:val="00A309E4"/>
    <w:rsid w:val="00A31298"/>
    <w:rsid w:val="00A31344"/>
    <w:rsid w:val="00A31543"/>
    <w:rsid w:val="00A31768"/>
    <w:rsid w:val="00A31836"/>
    <w:rsid w:val="00A31CB6"/>
    <w:rsid w:val="00A3201E"/>
    <w:rsid w:val="00A320BD"/>
    <w:rsid w:val="00A322BF"/>
    <w:rsid w:val="00A32A57"/>
    <w:rsid w:val="00A32B5E"/>
    <w:rsid w:val="00A32E76"/>
    <w:rsid w:val="00A32FF8"/>
    <w:rsid w:val="00A340F5"/>
    <w:rsid w:val="00A34BA1"/>
    <w:rsid w:val="00A34D6C"/>
    <w:rsid w:val="00A34F2D"/>
    <w:rsid w:val="00A35259"/>
    <w:rsid w:val="00A352B0"/>
    <w:rsid w:val="00A35321"/>
    <w:rsid w:val="00A35CC6"/>
    <w:rsid w:val="00A3604F"/>
    <w:rsid w:val="00A36564"/>
    <w:rsid w:val="00A368E7"/>
    <w:rsid w:val="00A369DC"/>
    <w:rsid w:val="00A369E0"/>
    <w:rsid w:val="00A37A74"/>
    <w:rsid w:val="00A37D09"/>
    <w:rsid w:val="00A4026C"/>
    <w:rsid w:val="00A403A0"/>
    <w:rsid w:val="00A40C29"/>
    <w:rsid w:val="00A40CA6"/>
    <w:rsid w:val="00A40CF8"/>
    <w:rsid w:val="00A40E37"/>
    <w:rsid w:val="00A412A1"/>
    <w:rsid w:val="00A419DE"/>
    <w:rsid w:val="00A41F83"/>
    <w:rsid w:val="00A4261E"/>
    <w:rsid w:val="00A42729"/>
    <w:rsid w:val="00A42837"/>
    <w:rsid w:val="00A429BD"/>
    <w:rsid w:val="00A429FB"/>
    <w:rsid w:val="00A42C66"/>
    <w:rsid w:val="00A4334D"/>
    <w:rsid w:val="00A438DE"/>
    <w:rsid w:val="00A43E7B"/>
    <w:rsid w:val="00A440E7"/>
    <w:rsid w:val="00A44221"/>
    <w:rsid w:val="00A44472"/>
    <w:rsid w:val="00A444A2"/>
    <w:rsid w:val="00A44ED6"/>
    <w:rsid w:val="00A45321"/>
    <w:rsid w:val="00A458B9"/>
    <w:rsid w:val="00A45BFC"/>
    <w:rsid w:val="00A45E39"/>
    <w:rsid w:val="00A45EE8"/>
    <w:rsid w:val="00A4615C"/>
    <w:rsid w:val="00A463FB"/>
    <w:rsid w:val="00A465C2"/>
    <w:rsid w:val="00A4661B"/>
    <w:rsid w:val="00A467CA"/>
    <w:rsid w:val="00A46A1A"/>
    <w:rsid w:val="00A46D46"/>
    <w:rsid w:val="00A47403"/>
    <w:rsid w:val="00A47571"/>
    <w:rsid w:val="00A476D2"/>
    <w:rsid w:val="00A47993"/>
    <w:rsid w:val="00A479AF"/>
    <w:rsid w:val="00A47DEC"/>
    <w:rsid w:val="00A500CD"/>
    <w:rsid w:val="00A503D3"/>
    <w:rsid w:val="00A504A5"/>
    <w:rsid w:val="00A506C5"/>
    <w:rsid w:val="00A50714"/>
    <w:rsid w:val="00A50C5A"/>
    <w:rsid w:val="00A50E3D"/>
    <w:rsid w:val="00A51519"/>
    <w:rsid w:val="00A5223C"/>
    <w:rsid w:val="00A5259F"/>
    <w:rsid w:val="00A52AF7"/>
    <w:rsid w:val="00A52F35"/>
    <w:rsid w:val="00A53F39"/>
    <w:rsid w:val="00A541D7"/>
    <w:rsid w:val="00A546C5"/>
    <w:rsid w:val="00A54D3C"/>
    <w:rsid w:val="00A55046"/>
    <w:rsid w:val="00A555FB"/>
    <w:rsid w:val="00A55B4B"/>
    <w:rsid w:val="00A55C78"/>
    <w:rsid w:val="00A55F5F"/>
    <w:rsid w:val="00A560B7"/>
    <w:rsid w:val="00A560BA"/>
    <w:rsid w:val="00A56255"/>
    <w:rsid w:val="00A56492"/>
    <w:rsid w:val="00A567F9"/>
    <w:rsid w:val="00A56FAF"/>
    <w:rsid w:val="00A579B8"/>
    <w:rsid w:val="00A57D83"/>
    <w:rsid w:val="00A57DA7"/>
    <w:rsid w:val="00A60072"/>
    <w:rsid w:val="00A60AB2"/>
    <w:rsid w:val="00A60BC7"/>
    <w:rsid w:val="00A60D64"/>
    <w:rsid w:val="00A612FD"/>
    <w:rsid w:val="00A614DE"/>
    <w:rsid w:val="00A615F8"/>
    <w:rsid w:val="00A6194D"/>
    <w:rsid w:val="00A61E7B"/>
    <w:rsid w:val="00A62AA6"/>
    <w:rsid w:val="00A631C8"/>
    <w:rsid w:val="00A632D7"/>
    <w:rsid w:val="00A633B3"/>
    <w:rsid w:val="00A63615"/>
    <w:rsid w:val="00A63BF0"/>
    <w:rsid w:val="00A63CED"/>
    <w:rsid w:val="00A63DF8"/>
    <w:rsid w:val="00A63FCC"/>
    <w:rsid w:val="00A64095"/>
    <w:rsid w:val="00A64717"/>
    <w:rsid w:val="00A647EA"/>
    <w:rsid w:val="00A64B33"/>
    <w:rsid w:val="00A64C47"/>
    <w:rsid w:val="00A64CF2"/>
    <w:rsid w:val="00A65172"/>
    <w:rsid w:val="00A65B12"/>
    <w:rsid w:val="00A6624C"/>
    <w:rsid w:val="00A6632A"/>
    <w:rsid w:val="00A66343"/>
    <w:rsid w:val="00A66FE3"/>
    <w:rsid w:val="00A6740F"/>
    <w:rsid w:val="00A676F7"/>
    <w:rsid w:val="00A6776D"/>
    <w:rsid w:val="00A7020E"/>
    <w:rsid w:val="00A7032B"/>
    <w:rsid w:val="00A70430"/>
    <w:rsid w:val="00A7076D"/>
    <w:rsid w:val="00A70B95"/>
    <w:rsid w:val="00A70D18"/>
    <w:rsid w:val="00A71079"/>
    <w:rsid w:val="00A713E9"/>
    <w:rsid w:val="00A71853"/>
    <w:rsid w:val="00A718C7"/>
    <w:rsid w:val="00A71B30"/>
    <w:rsid w:val="00A71B73"/>
    <w:rsid w:val="00A71C03"/>
    <w:rsid w:val="00A72CF8"/>
    <w:rsid w:val="00A72FE2"/>
    <w:rsid w:val="00A7376F"/>
    <w:rsid w:val="00A7382F"/>
    <w:rsid w:val="00A73E93"/>
    <w:rsid w:val="00A74172"/>
    <w:rsid w:val="00A74173"/>
    <w:rsid w:val="00A74B72"/>
    <w:rsid w:val="00A74E86"/>
    <w:rsid w:val="00A75531"/>
    <w:rsid w:val="00A75705"/>
    <w:rsid w:val="00A75DA5"/>
    <w:rsid w:val="00A760CE"/>
    <w:rsid w:val="00A761CA"/>
    <w:rsid w:val="00A76615"/>
    <w:rsid w:val="00A76850"/>
    <w:rsid w:val="00A76AF4"/>
    <w:rsid w:val="00A76BB8"/>
    <w:rsid w:val="00A76E1A"/>
    <w:rsid w:val="00A76F4E"/>
    <w:rsid w:val="00A770C4"/>
    <w:rsid w:val="00A777F8"/>
    <w:rsid w:val="00A77F4D"/>
    <w:rsid w:val="00A77F4E"/>
    <w:rsid w:val="00A8014D"/>
    <w:rsid w:val="00A80740"/>
    <w:rsid w:val="00A807A5"/>
    <w:rsid w:val="00A8093C"/>
    <w:rsid w:val="00A80DE6"/>
    <w:rsid w:val="00A811C1"/>
    <w:rsid w:val="00A813F4"/>
    <w:rsid w:val="00A81946"/>
    <w:rsid w:val="00A819C5"/>
    <w:rsid w:val="00A81E11"/>
    <w:rsid w:val="00A82033"/>
    <w:rsid w:val="00A82065"/>
    <w:rsid w:val="00A8241F"/>
    <w:rsid w:val="00A82707"/>
    <w:rsid w:val="00A82D31"/>
    <w:rsid w:val="00A831D0"/>
    <w:rsid w:val="00A8337A"/>
    <w:rsid w:val="00A83BBD"/>
    <w:rsid w:val="00A83D2B"/>
    <w:rsid w:val="00A83E1D"/>
    <w:rsid w:val="00A83F79"/>
    <w:rsid w:val="00A844C1"/>
    <w:rsid w:val="00A8452B"/>
    <w:rsid w:val="00A846CB"/>
    <w:rsid w:val="00A8484A"/>
    <w:rsid w:val="00A84DE1"/>
    <w:rsid w:val="00A84E53"/>
    <w:rsid w:val="00A8528A"/>
    <w:rsid w:val="00A856B2"/>
    <w:rsid w:val="00A85A37"/>
    <w:rsid w:val="00A85BE4"/>
    <w:rsid w:val="00A862E7"/>
    <w:rsid w:val="00A86433"/>
    <w:rsid w:val="00A86B56"/>
    <w:rsid w:val="00A86BA8"/>
    <w:rsid w:val="00A8785E"/>
    <w:rsid w:val="00A9068E"/>
    <w:rsid w:val="00A90E2C"/>
    <w:rsid w:val="00A914FD"/>
    <w:rsid w:val="00A91BE1"/>
    <w:rsid w:val="00A91E1C"/>
    <w:rsid w:val="00A92005"/>
    <w:rsid w:val="00A9235A"/>
    <w:rsid w:val="00A9238B"/>
    <w:rsid w:val="00A924D3"/>
    <w:rsid w:val="00A925E8"/>
    <w:rsid w:val="00A92C1F"/>
    <w:rsid w:val="00A92D2E"/>
    <w:rsid w:val="00A92E5F"/>
    <w:rsid w:val="00A934EE"/>
    <w:rsid w:val="00A9359B"/>
    <w:rsid w:val="00A935AC"/>
    <w:rsid w:val="00A935E0"/>
    <w:rsid w:val="00A93745"/>
    <w:rsid w:val="00A944D7"/>
    <w:rsid w:val="00A950B1"/>
    <w:rsid w:val="00A951A5"/>
    <w:rsid w:val="00A95AF1"/>
    <w:rsid w:val="00A95B17"/>
    <w:rsid w:val="00A95E1F"/>
    <w:rsid w:val="00A95E48"/>
    <w:rsid w:val="00A95F0B"/>
    <w:rsid w:val="00A9607E"/>
    <w:rsid w:val="00A96242"/>
    <w:rsid w:val="00A969C8"/>
    <w:rsid w:val="00A9718E"/>
    <w:rsid w:val="00A972C0"/>
    <w:rsid w:val="00A9770A"/>
    <w:rsid w:val="00A97DC6"/>
    <w:rsid w:val="00AA04A3"/>
    <w:rsid w:val="00AA1640"/>
    <w:rsid w:val="00AA1A29"/>
    <w:rsid w:val="00AA224C"/>
    <w:rsid w:val="00AA25E0"/>
    <w:rsid w:val="00AA2935"/>
    <w:rsid w:val="00AA2F40"/>
    <w:rsid w:val="00AA32A7"/>
    <w:rsid w:val="00AA3A4C"/>
    <w:rsid w:val="00AA3B5C"/>
    <w:rsid w:val="00AA3BB9"/>
    <w:rsid w:val="00AA424E"/>
    <w:rsid w:val="00AA4FF2"/>
    <w:rsid w:val="00AA54FF"/>
    <w:rsid w:val="00AA56B3"/>
    <w:rsid w:val="00AA59F3"/>
    <w:rsid w:val="00AA6131"/>
    <w:rsid w:val="00AA6A73"/>
    <w:rsid w:val="00AA6FA9"/>
    <w:rsid w:val="00AA7055"/>
    <w:rsid w:val="00AA7444"/>
    <w:rsid w:val="00AA744D"/>
    <w:rsid w:val="00AA7775"/>
    <w:rsid w:val="00AA7A22"/>
    <w:rsid w:val="00AA7AE3"/>
    <w:rsid w:val="00AA7F5F"/>
    <w:rsid w:val="00AA7F93"/>
    <w:rsid w:val="00AB0193"/>
    <w:rsid w:val="00AB02FF"/>
    <w:rsid w:val="00AB04A1"/>
    <w:rsid w:val="00AB04CF"/>
    <w:rsid w:val="00AB0722"/>
    <w:rsid w:val="00AB11D8"/>
    <w:rsid w:val="00AB12ED"/>
    <w:rsid w:val="00AB13FE"/>
    <w:rsid w:val="00AB14E6"/>
    <w:rsid w:val="00AB1535"/>
    <w:rsid w:val="00AB163A"/>
    <w:rsid w:val="00AB1B48"/>
    <w:rsid w:val="00AB1DE0"/>
    <w:rsid w:val="00AB235B"/>
    <w:rsid w:val="00AB2889"/>
    <w:rsid w:val="00AB31C4"/>
    <w:rsid w:val="00AB4129"/>
    <w:rsid w:val="00AB4839"/>
    <w:rsid w:val="00AB495F"/>
    <w:rsid w:val="00AB4AD5"/>
    <w:rsid w:val="00AB4CF7"/>
    <w:rsid w:val="00AB4FA1"/>
    <w:rsid w:val="00AB503F"/>
    <w:rsid w:val="00AB50BC"/>
    <w:rsid w:val="00AB5B05"/>
    <w:rsid w:val="00AB66DA"/>
    <w:rsid w:val="00AB6DFB"/>
    <w:rsid w:val="00AB6E02"/>
    <w:rsid w:val="00AB717B"/>
    <w:rsid w:val="00AB7460"/>
    <w:rsid w:val="00AB7F47"/>
    <w:rsid w:val="00AC0040"/>
    <w:rsid w:val="00AC00DF"/>
    <w:rsid w:val="00AC03E5"/>
    <w:rsid w:val="00AC0C9E"/>
    <w:rsid w:val="00AC1A79"/>
    <w:rsid w:val="00AC1B7B"/>
    <w:rsid w:val="00AC277D"/>
    <w:rsid w:val="00AC27C9"/>
    <w:rsid w:val="00AC29F3"/>
    <w:rsid w:val="00AC2CA1"/>
    <w:rsid w:val="00AC320D"/>
    <w:rsid w:val="00AC330B"/>
    <w:rsid w:val="00AC39AA"/>
    <w:rsid w:val="00AC3AD7"/>
    <w:rsid w:val="00AC3E87"/>
    <w:rsid w:val="00AC41AF"/>
    <w:rsid w:val="00AC462F"/>
    <w:rsid w:val="00AC526E"/>
    <w:rsid w:val="00AC55AE"/>
    <w:rsid w:val="00AC5E47"/>
    <w:rsid w:val="00AC61AD"/>
    <w:rsid w:val="00AC6780"/>
    <w:rsid w:val="00AC6BE3"/>
    <w:rsid w:val="00AC6E83"/>
    <w:rsid w:val="00AC754F"/>
    <w:rsid w:val="00AC7B67"/>
    <w:rsid w:val="00AC7BA9"/>
    <w:rsid w:val="00AC7C7D"/>
    <w:rsid w:val="00AC7D07"/>
    <w:rsid w:val="00AC7D36"/>
    <w:rsid w:val="00AC7FD5"/>
    <w:rsid w:val="00AD023A"/>
    <w:rsid w:val="00AD06F4"/>
    <w:rsid w:val="00AD0869"/>
    <w:rsid w:val="00AD0B17"/>
    <w:rsid w:val="00AD106F"/>
    <w:rsid w:val="00AD1599"/>
    <w:rsid w:val="00AD165B"/>
    <w:rsid w:val="00AD1BAC"/>
    <w:rsid w:val="00AD23CE"/>
    <w:rsid w:val="00AD2FFB"/>
    <w:rsid w:val="00AD3410"/>
    <w:rsid w:val="00AD3489"/>
    <w:rsid w:val="00AD357A"/>
    <w:rsid w:val="00AD38BB"/>
    <w:rsid w:val="00AD3909"/>
    <w:rsid w:val="00AD4034"/>
    <w:rsid w:val="00AD410D"/>
    <w:rsid w:val="00AD43FF"/>
    <w:rsid w:val="00AD4613"/>
    <w:rsid w:val="00AD46C1"/>
    <w:rsid w:val="00AD47DC"/>
    <w:rsid w:val="00AD4A5D"/>
    <w:rsid w:val="00AD56DA"/>
    <w:rsid w:val="00AD57B2"/>
    <w:rsid w:val="00AD5801"/>
    <w:rsid w:val="00AD609A"/>
    <w:rsid w:val="00AD62C2"/>
    <w:rsid w:val="00AD6463"/>
    <w:rsid w:val="00AD65D2"/>
    <w:rsid w:val="00AD6656"/>
    <w:rsid w:val="00AD67A3"/>
    <w:rsid w:val="00AD6C0F"/>
    <w:rsid w:val="00AD7135"/>
    <w:rsid w:val="00AD7418"/>
    <w:rsid w:val="00AD764E"/>
    <w:rsid w:val="00AD76A4"/>
    <w:rsid w:val="00AD7732"/>
    <w:rsid w:val="00AD7769"/>
    <w:rsid w:val="00AD7958"/>
    <w:rsid w:val="00AD7BA9"/>
    <w:rsid w:val="00AD7DF7"/>
    <w:rsid w:val="00AE0206"/>
    <w:rsid w:val="00AE0423"/>
    <w:rsid w:val="00AE0687"/>
    <w:rsid w:val="00AE100A"/>
    <w:rsid w:val="00AE113D"/>
    <w:rsid w:val="00AE126F"/>
    <w:rsid w:val="00AE1587"/>
    <w:rsid w:val="00AE17D4"/>
    <w:rsid w:val="00AE1B39"/>
    <w:rsid w:val="00AE2118"/>
    <w:rsid w:val="00AE24FA"/>
    <w:rsid w:val="00AE3437"/>
    <w:rsid w:val="00AE392E"/>
    <w:rsid w:val="00AE39F4"/>
    <w:rsid w:val="00AE39F7"/>
    <w:rsid w:val="00AE3D44"/>
    <w:rsid w:val="00AE4620"/>
    <w:rsid w:val="00AE467D"/>
    <w:rsid w:val="00AE4E08"/>
    <w:rsid w:val="00AE5D51"/>
    <w:rsid w:val="00AE678A"/>
    <w:rsid w:val="00AE69C3"/>
    <w:rsid w:val="00AE6BA4"/>
    <w:rsid w:val="00AE6FB0"/>
    <w:rsid w:val="00AE766F"/>
    <w:rsid w:val="00AE76DA"/>
    <w:rsid w:val="00AE78A9"/>
    <w:rsid w:val="00AE78CE"/>
    <w:rsid w:val="00AE7DED"/>
    <w:rsid w:val="00AF01B3"/>
    <w:rsid w:val="00AF06D5"/>
    <w:rsid w:val="00AF073F"/>
    <w:rsid w:val="00AF0CAE"/>
    <w:rsid w:val="00AF0D18"/>
    <w:rsid w:val="00AF1001"/>
    <w:rsid w:val="00AF1629"/>
    <w:rsid w:val="00AF1800"/>
    <w:rsid w:val="00AF1865"/>
    <w:rsid w:val="00AF1FF8"/>
    <w:rsid w:val="00AF2244"/>
    <w:rsid w:val="00AF24C3"/>
    <w:rsid w:val="00AF274F"/>
    <w:rsid w:val="00AF289E"/>
    <w:rsid w:val="00AF2C29"/>
    <w:rsid w:val="00AF3127"/>
    <w:rsid w:val="00AF3480"/>
    <w:rsid w:val="00AF39C8"/>
    <w:rsid w:val="00AF3B1B"/>
    <w:rsid w:val="00AF4193"/>
    <w:rsid w:val="00AF4400"/>
    <w:rsid w:val="00AF44A1"/>
    <w:rsid w:val="00AF4555"/>
    <w:rsid w:val="00AF4D7F"/>
    <w:rsid w:val="00AF50F0"/>
    <w:rsid w:val="00AF5157"/>
    <w:rsid w:val="00AF5498"/>
    <w:rsid w:val="00AF5F06"/>
    <w:rsid w:val="00AF6D7B"/>
    <w:rsid w:val="00AF7522"/>
    <w:rsid w:val="00AF7614"/>
    <w:rsid w:val="00AF7616"/>
    <w:rsid w:val="00AF778A"/>
    <w:rsid w:val="00AF7CCE"/>
    <w:rsid w:val="00AF7F07"/>
    <w:rsid w:val="00B0028A"/>
    <w:rsid w:val="00B00322"/>
    <w:rsid w:val="00B00580"/>
    <w:rsid w:val="00B00679"/>
    <w:rsid w:val="00B006DE"/>
    <w:rsid w:val="00B0091F"/>
    <w:rsid w:val="00B00B49"/>
    <w:rsid w:val="00B00CC8"/>
    <w:rsid w:val="00B00F72"/>
    <w:rsid w:val="00B00F9A"/>
    <w:rsid w:val="00B0111E"/>
    <w:rsid w:val="00B012F2"/>
    <w:rsid w:val="00B0186C"/>
    <w:rsid w:val="00B01B23"/>
    <w:rsid w:val="00B01E22"/>
    <w:rsid w:val="00B02390"/>
    <w:rsid w:val="00B02DE1"/>
    <w:rsid w:val="00B032B6"/>
    <w:rsid w:val="00B033E1"/>
    <w:rsid w:val="00B03452"/>
    <w:rsid w:val="00B036C2"/>
    <w:rsid w:val="00B03C2D"/>
    <w:rsid w:val="00B03F85"/>
    <w:rsid w:val="00B044F0"/>
    <w:rsid w:val="00B04ABA"/>
    <w:rsid w:val="00B04E20"/>
    <w:rsid w:val="00B04E99"/>
    <w:rsid w:val="00B05128"/>
    <w:rsid w:val="00B05364"/>
    <w:rsid w:val="00B05D08"/>
    <w:rsid w:val="00B05D09"/>
    <w:rsid w:val="00B063B3"/>
    <w:rsid w:val="00B063B5"/>
    <w:rsid w:val="00B063CC"/>
    <w:rsid w:val="00B06665"/>
    <w:rsid w:val="00B0698E"/>
    <w:rsid w:val="00B069A3"/>
    <w:rsid w:val="00B06DC3"/>
    <w:rsid w:val="00B071BE"/>
    <w:rsid w:val="00B07475"/>
    <w:rsid w:val="00B0769C"/>
    <w:rsid w:val="00B07A7D"/>
    <w:rsid w:val="00B07B1D"/>
    <w:rsid w:val="00B07D2D"/>
    <w:rsid w:val="00B07D72"/>
    <w:rsid w:val="00B10273"/>
    <w:rsid w:val="00B104AB"/>
    <w:rsid w:val="00B105C3"/>
    <w:rsid w:val="00B10E22"/>
    <w:rsid w:val="00B10FFF"/>
    <w:rsid w:val="00B11342"/>
    <w:rsid w:val="00B114A6"/>
    <w:rsid w:val="00B11A03"/>
    <w:rsid w:val="00B12099"/>
    <w:rsid w:val="00B12BA1"/>
    <w:rsid w:val="00B13014"/>
    <w:rsid w:val="00B134C8"/>
    <w:rsid w:val="00B134E0"/>
    <w:rsid w:val="00B1383A"/>
    <w:rsid w:val="00B13E8D"/>
    <w:rsid w:val="00B1453D"/>
    <w:rsid w:val="00B146E1"/>
    <w:rsid w:val="00B14864"/>
    <w:rsid w:val="00B148CB"/>
    <w:rsid w:val="00B14A13"/>
    <w:rsid w:val="00B14B3F"/>
    <w:rsid w:val="00B1535C"/>
    <w:rsid w:val="00B154AA"/>
    <w:rsid w:val="00B15866"/>
    <w:rsid w:val="00B15B88"/>
    <w:rsid w:val="00B15C96"/>
    <w:rsid w:val="00B16788"/>
    <w:rsid w:val="00B16797"/>
    <w:rsid w:val="00B16DEE"/>
    <w:rsid w:val="00B16DF1"/>
    <w:rsid w:val="00B2023F"/>
    <w:rsid w:val="00B207EF"/>
    <w:rsid w:val="00B211DC"/>
    <w:rsid w:val="00B2130D"/>
    <w:rsid w:val="00B213E4"/>
    <w:rsid w:val="00B21487"/>
    <w:rsid w:val="00B21DC8"/>
    <w:rsid w:val="00B21E2E"/>
    <w:rsid w:val="00B220B6"/>
    <w:rsid w:val="00B2226E"/>
    <w:rsid w:val="00B222A9"/>
    <w:rsid w:val="00B23304"/>
    <w:rsid w:val="00B24096"/>
    <w:rsid w:val="00B245DC"/>
    <w:rsid w:val="00B246C5"/>
    <w:rsid w:val="00B24FDC"/>
    <w:rsid w:val="00B25032"/>
    <w:rsid w:val="00B2514A"/>
    <w:rsid w:val="00B25187"/>
    <w:rsid w:val="00B2536C"/>
    <w:rsid w:val="00B2541C"/>
    <w:rsid w:val="00B256BA"/>
    <w:rsid w:val="00B257DA"/>
    <w:rsid w:val="00B25CB7"/>
    <w:rsid w:val="00B25FE2"/>
    <w:rsid w:val="00B2615D"/>
    <w:rsid w:val="00B2655C"/>
    <w:rsid w:val="00B26AE1"/>
    <w:rsid w:val="00B26C98"/>
    <w:rsid w:val="00B26DDA"/>
    <w:rsid w:val="00B27297"/>
    <w:rsid w:val="00B307F9"/>
    <w:rsid w:val="00B30911"/>
    <w:rsid w:val="00B30AD9"/>
    <w:rsid w:val="00B3122A"/>
    <w:rsid w:val="00B315EB"/>
    <w:rsid w:val="00B3190F"/>
    <w:rsid w:val="00B31AA2"/>
    <w:rsid w:val="00B31B98"/>
    <w:rsid w:val="00B31CB8"/>
    <w:rsid w:val="00B31EF2"/>
    <w:rsid w:val="00B3226D"/>
    <w:rsid w:val="00B32DA2"/>
    <w:rsid w:val="00B32EC8"/>
    <w:rsid w:val="00B33547"/>
    <w:rsid w:val="00B33964"/>
    <w:rsid w:val="00B33FD2"/>
    <w:rsid w:val="00B3438E"/>
    <w:rsid w:val="00B3459A"/>
    <w:rsid w:val="00B346B4"/>
    <w:rsid w:val="00B34B0C"/>
    <w:rsid w:val="00B35166"/>
    <w:rsid w:val="00B353E6"/>
    <w:rsid w:val="00B35692"/>
    <w:rsid w:val="00B36500"/>
    <w:rsid w:val="00B36CE4"/>
    <w:rsid w:val="00B36D9A"/>
    <w:rsid w:val="00B3719C"/>
    <w:rsid w:val="00B37878"/>
    <w:rsid w:val="00B37D01"/>
    <w:rsid w:val="00B37EBA"/>
    <w:rsid w:val="00B404BB"/>
    <w:rsid w:val="00B4132D"/>
    <w:rsid w:val="00B41359"/>
    <w:rsid w:val="00B415F8"/>
    <w:rsid w:val="00B41713"/>
    <w:rsid w:val="00B41901"/>
    <w:rsid w:val="00B41D64"/>
    <w:rsid w:val="00B42337"/>
    <w:rsid w:val="00B425E5"/>
    <w:rsid w:val="00B42BC5"/>
    <w:rsid w:val="00B42D9E"/>
    <w:rsid w:val="00B42DCB"/>
    <w:rsid w:val="00B432FB"/>
    <w:rsid w:val="00B43CF9"/>
    <w:rsid w:val="00B443CC"/>
    <w:rsid w:val="00B444A1"/>
    <w:rsid w:val="00B4498A"/>
    <w:rsid w:val="00B44D7B"/>
    <w:rsid w:val="00B44E3B"/>
    <w:rsid w:val="00B451F4"/>
    <w:rsid w:val="00B45489"/>
    <w:rsid w:val="00B458DB"/>
    <w:rsid w:val="00B45D31"/>
    <w:rsid w:val="00B45DCE"/>
    <w:rsid w:val="00B46333"/>
    <w:rsid w:val="00B468D4"/>
    <w:rsid w:val="00B46998"/>
    <w:rsid w:val="00B46B6A"/>
    <w:rsid w:val="00B46C5A"/>
    <w:rsid w:val="00B46EC0"/>
    <w:rsid w:val="00B47023"/>
    <w:rsid w:val="00B472C2"/>
    <w:rsid w:val="00B4760C"/>
    <w:rsid w:val="00B4775E"/>
    <w:rsid w:val="00B47762"/>
    <w:rsid w:val="00B47D69"/>
    <w:rsid w:val="00B47F80"/>
    <w:rsid w:val="00B50144"/>
    <w:rsid w:val="00B50303"/>
    <w:rsid w:val="00B51184"/>
    <w:rsid w:val="00B51868"/>
    <w:rsid w:val="00B51A77"/>
    <w:rsid w:val="00B51C09"/>
    <w:rsid w:val="00B5201F"/>
    <w:rsid w:val="00B52115"/>
    <w:rsid w:val="00B5233B"/>
    <w:rsid w:val="00B53027"/>
    <w:rsid w:val="00B53073"/>
    <w:rsid w:val="00B53095"/>
    <w:rsid w:val="00B53117"/>
    <w:rsid w:val="00B53345"/>
    <w:rsid w:val="00B53482"/>
    <w:rsid w:val="00B53B80"/>
    <w:rsid w:val="00B54333"/>
    <w:rsid w:val="00B54769"/>
    <w:rsid w:val="00B54AEA"/>
    <w:rsid w:val="00B54DF0"/>
    <w:rsid w:val="00B55219"/>
    <w:rsid w:val="00B55360"/>
    <w:rsid w:val="00B55601"/>
    <w:rsid w:val="00B55F2B"/>
    <w:rsid w:val="00B56547"/>
    <w:rsid w:val="00B5657E"/>
    <w:rsid w:val="00B56617"/>
    <w:rsid w:val="00B567BB"/>
    <w:rsid w:val="00B56F24"/>
    <w:rsid w:val="00B570CA"/>
    <w:rsid w:val="00B5717D"/>
    <w:rsid w:val="00B575C5"/>
    <w:rsid w:val="00B576F6"/>
    <w:rsid w:val="00B57716"/>
    <w:rsid w:val="00B57BBD"/>
    <w:rsid w:val="00B60A0F"/>
    <w:rsid w:val="00B60A77"/>
    <w:rsid w:val="00B60C4D"/>
    <w:rsid w:val="00B61D6C"/>
    <w:rsid w:val="00B61F56"/>
    <w:rsid w:val="00B62375"/>
    <w:rsid w:val="00B62880"/>
    <w:rsid w:val="00B628D0"/>
    <w:rsid w:val="00B629E1"/>
    <w:rsid w:val="00B6374B"/>
    <w:rsid w:val="00B64378"/>
    <w:rsid w:val="00B6466E"/>
    <w:rsid w:val="00B64D69"/>
    <w:rsid w:val="00B65075"/>
    <w:rsid w:val="00B650F8"/>
    <w:rsid w:val="00B65147"/>
    <w:rsid w:val="00B65189"/>
    <w:rsid w:val="00B65642"/>
    <w:rsid w:val="00B659A7"/>
    <w:rsid w:val="00B65DC8"/>
    <w:rsid w:val="00B66480"/>
    <w:rsid w:val="00B664A8"/>
    <w:rsid w:val="00B664AE"/>
    <w:rsid w:val="00B66A47"/>
    <w:rsid w:val="00B66D8C"/>
    <w:rsid w:val="00B66E21"/>
    <w:rsid w:val="00B66EE7"/>
    <w:rsid w:val="00B67075"/>
    <w:rsid w:val="00B6719E"/>
    <w:rsid w:val="00B6756D"/>
    <w:rsid w:val="00B676D9"/>
    <w:rsid w:val="00B6796A"/>
    <w:rsid w:val="00B67A37"/>
    <w:rsid w:val="00B67CCB"/>
    <w:rsid w:val="00B70026"/>
    <w:rsid w:val="00B70447"/>
    <w:rsid w:val="00B7065E"/>
    <w:rsid w:val="00B7082F"/>
    <w:rsid w:val="00B70CA4"/>
    <w:rsid w:val="00B70CC2"/>
    <w:rsid w:val="00B711AA"/>
    <w:rsid w:val="00B71232"/>
    <w:rsid w:val="00B715E0"/>
    <w:rsid w:val="00B7197A"/>
    <w:rsid w:val="00B71FAC"/>
    <w:rsid w:val="00B72127"/>
    <w:rsid w:val="00B722D3"/>
    <w:rsid w:val="00B7230D"/>
    <w:rsid w:val="00B725E6"/>
    <w:rsid w:val="00B727A8"/>
    <w:rsid w:val="00B72979"/>
    <w:rsid w:val="00B72FE0"/>
    <w:rsid w:val="00B731F8"/>
    <w:rsid w:val="00B7354B"/>
    <w:rsid w:val="00B736D3"/>
    <w:rsid w:val="00B7375D"/>
    <w:rsid w:val="00B73C0B"/>
    <w:rsid w:val="00B73CB5"/>
    <w:rsid w:val="00B73EAA"/>
    <w:rsid w:val="00B74004"/>
    <w:rsid w:val="00B7445B"/>
    <w:rsid w:val="00B744D2"/>
    <w:rsid w:val="00B74541"/>
    <w:rsid w:val="00B74D00"/>
    <w:rsid w:val="00B74F7F"/>
    <w:rsid w:val="00B7557C"/>
    <w:rsid w:val="00B75C26"/>
    <w:rsid w:val="00B75D63"/>
    <w:rsid w:val="00B7659E"/>
    <w:rsid w:val="00B767BB"/>
    <w:rsid w:val="00B76BDC"/>
    <w:rsid w:val="00B76ED7"/>
    <w:rsid w:val="00B77397"/>
    <w:rsid w:val="00B774C9"/>
    <w:rsid w:val="00B7785B"/>
    <w:rsid w:val="00B800C5"/>
    <w:rsid w:val="00B80180"/>
    <w:rsid w:val="00B8079D"/>
    <w:rsid w:val="00B808E2"/>
    <w:rsid w:val="00B80B59"/>
    <w:rsid w:val="00B80D8F"/>
    <w:rsid w:val="00B80DEB"/>
    <w:rsid w:val="00B80FAA"/>
    <w:rsid w:val="00B81343"/>
    <w:rsid w:val="00B814B6"/>
    <w:rsid w:val="00B8170B"/>
    <w:rsid w:val="00B81822"/>
    <w:rsid w:val="00B818A0"/>
    <w:rsid w:val="00B81ADB"/>
    <w:rsid w:val="00B81B63"/>
    <w:rsid w:val="00B81FB6"/>
    <w:rsid w:val="00B82046"/>
    <w:rsid w:val="00B8215F"/>
    <w:rsid w:val="00B82652"/>
    <w:rsid w:val="00B829A6"/>
    <w:rsid w:val="00B82F74"/>
    <w:rsid w:val="00B8313D"/>
    <w:rsid w:val="00B833DD"/>
    <w:rsid w:val="00B83622"/>
    <w:rsid w:val="00B838CB"/>
    <w:rsid w:val="00B83FAA"/>
    <w:rsid w:val="00B84495"/>
    <w:rsid w:val="00B84A8B"/>
    <w:rsid w:val="00B84FDC"/>
    <w:rsid w:val="00B854CC"/>
    <w:rsid w:val="00B85908"/>
    <w:rsid w:val="00B85EEF"/>
    <w:rsid w:val="00B861DC"/>
    <w:rsid w:val="00B8637A"/>
    <w:rsid w:val="00B86A48"/>
    <w:rsid w:val="00B86B60"/>
    <w:rsid w:val="00B86BDA"/>
    <w:rsid w:val="00B86E55"/>
    <w:rsid w:val="00B90199"/>
    <w:rsid w:val="00B907E9"/>
    <w:rsid w:val="00B90AB2"/>
    <w:rsid w:val="00B90F3A"/>
    <w:rsid w:val="00B90F57"/>
    <w:rsid w:val="00B90F81"/>
    <w:rsid w:val="00B910EB"/>
    <w:rsid w:val="00B912C9"/>
    <w:rsid w:val="00B91415"/>
    <w:rsid w:val="00B914B7"/>
    <w:rsid w:val="00B92CAD"/>
    <w:rsid w:val="00B92CDC"/>
    <w:rsid w:val="00B92F12"/>
    <w:rsid w:val="00B92F19"/>
    <w:rsid w:val="00B93600"/>
    <w:rsid w:val="00B93703"/>
    <w:rsid w:val="00B93C9C"/>
    <w:rsid w:val="00B93E6E"/>
    <w:rsid w:val="00B942D5"/>
    <w:rsid w:val="00B94392"/>
    <w:rsid w:val="00B94611"/>
    <w:rsid w:val="00B94C53"/>
    <w:rsid w:val="00B95332"/>
    <w:rsid w:val="00B95334"/>
    <w:rsid w:val="00B95590"/>
    <w:rsid w:val="00B95987"/>
    <w:rsid w:val="00B95BE3"/>
    <w:rsid w:val="00B95D00"/>
    <w:rsid w:val="00B95DBF"/>
    <w:rsid w:val="00B95F95"/>
    <w:rsid w:val="00B960EA"/>
    <w:rsid w:val="00B96160"/>
    <w:rsid w:val="00B9621F"/>
    <w:rsid w:val="00B96962"/>
    <w:rsid w:val="00B9704F"/>
    <w:rsid w:val="00B970FE"/>
    <w:rsid w:val="00B97359"/>
    <w:rsid w:val="00B97A62"/>
    <w:rsid w:val="00BA0386"/>
    <w:rsid w:val="00BA0541"/>
    <w:rsid w:val="00BA06FA"/>
    <w:rsid w:val="00BA07DA"/>
    <w:rsid w:val="00BA0E0C"/>
    <w:rsid w:val="00BA0EBD"/>
    <w:rsid w:val="00BA0F7D"/>
    <w:rsid w:val="00BA1260"/>
    <w:rsid w:val="00BA14BE"/>
    <w:rsid w:val="00BA1813"/>
    <w:rsid w:val="00BA18DE"/>
    <w:rsid w:val="00BA1924"/>
    <w:rsid w:val="00BA1DB6"/>
    <w:rsid w:val="00BA23DF"/>
    <w:rsid w:val="00BA2572"/>
    <w:rsid w:val="00BA26C4"/>
    <w:rsid w:val="00BA2772"/>
    <w:rsid w:val="00BA27BD"/>
    <w:rsid w:val="00BA2A5F"/>
    <w:rsid w:val="00BA2A8D"/>
    <w:rsid w:val="00BA2BC5"/>
    <w:rsid w:val="00BA2D38"/>
    <w:rsid w:val="00BA2E64"/>
    <w:rsid w:val="00BA3078"/>
    <w:rsid w:val="00BA3272"/>
    <w:rsid w:val="00BA32BA"/>
    <w:rsid w:val="00BA32CC"/>
    <w:rsid w:val="00BA3326"/>
    <w:rsid w:val="00BA361F"/>
    <w:rsid w:val="00BA3DE9"/>
    <w:rsid w:val="00BA3F6E"/>
    <w:rsid w:val="00BA408B"/>
    <w:rsid w:val="00BA42AF"/>
    <w:rsid w:val="00BA4607"/>
    <w:rsid w:val="00BA49E9"/>
    <w:rsid w:val="00BA4FD2"/>
    <w:rsid w:val="00BA5BFD"/>
    <w:rsid w:val="00BA5F09"/>
    <w:rsid w:val="00BA610A"/>
    <w:rsid w:val="00BA610C"/>
    <w:rsid w:val="00BA6748"/>
    <w:rsid w:val="00BA6ACF"/>
    <w:rsid w:val="00BA6BFB"/>
    <w:rsid w:val="00BA6DF7"/>
    <w:rsid w:val="00BA6E30"/>
    <w:rsid w:val="00BA6EF8"/>
    <w:rsid w:val="00BA7237"/>
    <w:rsid w:val="00BB00F8"/>
    <w:rsid w:val="00BB05C9"/>
    <w:rsid w:val="00BB0947"/>
    <w:rsid w:val="00BB0A44"/>
    <w:rsid w:val="00BB0CCE"/>
    <w:rsid w:val="00BB1131"/>
    <w:rsid w:val="00BB13C9"/>
    <w:rsid w:val="00BB15B9"/>
    <w:rsid w:val="00BB174A"/>
    <w:rsid w:val="00BB197E"/>
    <w:rsid w:val="00BB1DC0"/>
    <w:rsid w:val="00BB23C9"/>
    <w:rsid w:val="00BB2575"/>
    <w:rsid w:val="00BB26E4"/>
    <w:rsid w:val="00BB289C"/>
    <w:rsid w:val="00BB2CF2"/>
    <w:rsid w:val="00BB2CF4"/>
    <w:rsid w:val="00BB34AB"/>
    <w:rsid w:val="00BB39F1"/>
    <w:rsid w:val="00BB3B24"/>
    <w:rsid w:val="00BB4507"/>
    <w:rsid w:val="00BB473A"/>
    <w:rsid w:val="00BB47F4"/>
    <w:rsid w:val="00BB4B57"/>
    <w:rsid w:val="00BB52FB"/>
    <w:rsid w:val="00BB588D"/>
    <w:rsid w:val="00BB62CA"/>
    <w:rsid w:val="00BB6531"/>
    <w:rsid w:val="00BB65AB"/>
    <w:rsid w:val="00BB68E7"/>
    <w:rsid w:val="00BB6932"/>
    <w:rsid w:val="00BB6A9E"/>
    <w:rsid w:val="00BB6E72"/>
    <w:rsid w:val="00BB6EB0"/>
    <w:rsid w:val="00BB6F45"/>
    <w:rsid w:val="00BB70D6"/>
    <w:rsid w:val="00BB7329"/>
    <w:rsid w:val="00BC02C7"/>
    <w:rsid w:val="00BC0884"/>
    <w:rsid w:val="00BC09FE"/>
    <w:rsid w:val="00BC0B0B"/>
    <w:rsid w:val="00BC10BC"/>
    <w:rsid w:val="00BC110F"/>
    <w:rsid w:val="00BC123D"/>
    <w:rsid w:val="00BC136D"/>
    <w:rsid w:val="00BC14C7"/>
    <w:rsid w:val="00BC15B2"/>
    <w:rsid w:val="00BC166B"/>
    <w:rsid w:val="00BC2167"/>
    <w:rsid w:val="00BC226E"/>
    <w:rsid w:val="00BC29AE"/>
    <w:rsid w:val="00BC2DB7"/>
    <w:rsid w:val="00BC3485"/>
    <w:rsid w:val="00BC349B"/>
    <w:rsid w:val="00BC3683"/>
    <w:rsid w:val="00BC3AD4"/>
    <w:rsid w:val="00BC3B6B"/>
    <w:rsid w:val="00BC46B3"/>
    <w:rsid w:val="00BC46F9"/>
    <w:rsid w:val="00BC49F9"/>
    <w:rsid w:val="00BC4C98"/>
    <w:rsid w:val="00BC50C9"/>
    <w:rsid w:val="00BC535E"/>
    <w:rsid w:val="00BC5448"/>
    <w:rsid w:val="00BC54E7"/>
    <w:rsid w:val="00BC54FF"/>
    <w:rsid w:val="00BC5705"/>
    <w:rsid w:val="00BC5E1D"/>
    <w:rsid w:val="00BC5E5F"/>
    <w:rsid w:val="00BC6277"/>
    <w:rsid w:val="00BC6CD5"/>
    <w:rsid w:val="00BC6D5B"/>
    <w:rsid w:val="00BC6D7D"/>
    <w:rsid w:val="00BC7BEF"/>
    <w:rsid w:val="00BC7E18"/>
    <w:rsid w:val="00BD0072"/>
    <w:rsid w:val="00BD03F2"/>
    <w:rsid w:val="00BD074E"/>
    <w:rsid w:val="00BD0B04"/>
    <w:rsid w:val="00BD0DEA"/>
    <w:rsid w:val="00BD0F85"/>
    <w:rsid w:val="00BD2662"/>
    <w:rsid w:val="00BD2A86"/>
    <w:rsid w:val="00BD2AF8"/>
    <w:rsid w:val="00BD2C4A"/>
    <w:rsid w:val="00BD2CB3"/>
    <w:rsid w:val="00BD2D34"/>
    <w:rsid w:val="00BD316C"/>
    <w:rsid w:val="00BD341F"/>
    <w:rsid w:val="00BD3555"/>
    <w:rsid w:val="00BD37A6"/>
    <w:rsid w:val="00BD3DD1"/>
    <w:rsid w:val="00BD408C"/>
    <w:rsid w:val="00BD43D0"/>
    <w:rsid w:val="00BD4963"/>
    <w:rsid w:val="00BD4CA8"/>
    <w:rsid w:val="00BD4F79"/>
    <w:rsid w:val="00BD570B"/>
    <w:rsid w:val="00BD5ADB"/>
    <w:rsid w:val="00BD6115"/>
    <w:rsid w:val="00BD621D"/>
    <w:rsid w:val="00BD6270"/>
    <w:rsid w:val="00BD65D8"/>
    <w:rsid w:val="00BD6BDE"/>
    <w:rsid w:val="00BD6F6A"/>
    <w:rsid w:val="00BD7522"/>
    <w:rsid w:val="00BE0279"/>
    <w:rsid w:val="00BE066A"/>
    <w:rsid w:val="00BE0675"/>
    <w:rsid w:val="00BE0811"/>
    <w:rsid w:val="00BE0B4C"/>
    <w:rsid w:val="00BE16F1"/>
    <w:rsid w:val="00BE17C4"/>
    <w:rsid w:val="00BE1D8C"/>
    <w:rsid w:val="00BE20EE"/>
    <w:rsid w:val="00BE2AA3"/>
    <w:rsid w:val="00BE33A1"/>
    <w:rsid w:val="00BE34D6"/>
    <w:rsid w:val="00BE35E3"/>
    <w:rsid w:val="00BE3880"/>
    <w:rsid w:val="00BE4629"/>
    <w:rsid w:val="00BE46DC"/>
    <w:rsid w:val="00BE47A1"/>
    <w:rsid w:val="00BE4E8E"/>
    <w:rsid w:val="00BE5543"/>
    <w:rsid w:val="00BE5830"/>
    <w:rsid w:val="00BE5B7E"/>
    <w:rsid w:val="00BE61D6"/>
    <w:rsid w:val="00BE6263"/>
    <w:rsid w:val="00BE68E0"/>
    <w:rsid w:val="00BE732F"/>
    <w:rsid w:val="00BE754C"/>
    <w:rsid w:val="00BE7831"/>
    <w:rsid w:val="00BE7943"/>
    <w:rsid w:val="00BE7A3E"/>
    <w:rsid w:val="00BE7AB5"/>
    <w:rsid w:val="00BE7C9A"/>
    <w:rsid w:val="00BE7EF4"/>
    <w:rsid w:val="00BF0138"/>
    <w:rsid w:val="00BF03C1"/>
    <w:rsid w:val="00BF0B02"/>
    <w:rsid w:val="00BF0BCE"/>
    <w:rsid w:val="00BF0C19"/>
    <w:rsid w:val="00BF1699"/>
    <w:rsid w:val="00BF178D"/>
    <w:rsid w:val="00BF1D89"/>
    <w:rsid w:val="00BF1E41"/>
    <w:rsid w:val="00BF2074"/>
    <w:rsid w:val="00BF22C5"/>
    <w:rsid w:val="00BF2378"/>
    <w:rsid w:val="00BF2659"/>
    <w:rsid w:val="00BF2BA8"/>
    <w:rsid w:val="00BF2C6B"/>
    <w:rsid w:val="00BF33E5"/>
    <w:rsid w:val="00BF348D"/>
    <w:rsid w:val="00BF3A79"/>
    <w:rsid w:val="00BF3C73"/>
    <w:rsid w:val="00BF3E52"/>
    <w:rsid w:val="00BF40DD"/>
    <w:rsid w:val="00BF4C2B"/>
    <w:rsid w:val="00BF4F02"/>
    <w:rsid w:val="00BF5567"/>
    <w:rsid w:val="00BF5FE0"/>
    <w:rsid w:val="00BF64EC"/>
    <w:rsid w:val="00BF6A2D"/>
    <w:rsid w:val="00BF7465"/>
    <w:rsid w:val="00BF75DF"/>
    <w:rsid w:val="00BF7C49"/>
    <w:rsid w:val="00C00522"/>
    <w:rsid w:val="00C0062A"/>
    <w:rsid w:val="00C00BB0"/>
    <w:rsid w:val="00C01185"/>
    <w:rsid w:val="00C01B09"/>
    <w:rsid w:val="00C02596"/>
    <w:rsid w:val="00C026E6"/>
    <w:rsid w:val="00C02CEF"/>
    <w:rsid w:val="00C03634"/>
    <w:rsid w:val="00C03AE5"/>
    <w:rsid w:val="00C03B9E"/>
    <w:rsid w:val="00C045F3"/>
    <w:rsid w:val="00C04AFF"/>
    <w:rsid w:val="00C04C56"/>
    <w:rsid w:val="00C04F7E"/>
    <w:rsid w:val="00C051DC"/>
    <w:rsid w:val="00C05393"/>
    <w:rsid w:val="00C055D7"/>
    <w:rsid w:val="00C0579C"/>
    <w:rsid w:val="00C0593A"/>
    <w:rsid w:val="00C05E70"/>
    <w:rsid w:val="00C06245"/>
    <w:rsid w:val="00C06369"/>
    <w:rsid w:val="00C0659C"/>
    <w:rsid w:val="00C06675"/>
    <w:rsid w:val="00C0674F"/>
    <w:rsid w:val="00C06827"/>
    <w:rsid w:val="00C06D67"/>
    <w:rsid w:val="00C06E79"/>
    <w:rsid w:val="00C06ED1"/>
    <w:rsid w:val="00C0707A"/>
    <w:rsid w:val="00C07204"/>
    <w:rsid w:val="00C07AEF"/>
    <w:rsid w:val="00C07C63"/>
    <w:rsid w:val="00C1079A"/>
    <w:rsid w:val="00C10FC3"/>
    <w:rsid w:val="00C1115A"/>
    <w:rsid w:val="00C11532"/>
    <w:rsid w:val="00C11596"/>
    <w:rsid w:val="00C117FA"/>
    <w:rsid w:val="00C12577"/>
    <w:rsid w:val="00C12972"/>
    <w:rsid w:val="00C129C8"/>
    <w:rsid w:val="00C12B80"/>
    <w:rsid w:val="00C13017"/>
    <w:rsid w:val="00C13299"/>
    <w:rsid w:val="00C13B3C"/>
    <w:rsid w:val="00C13DC2"/>
    <w:rsid w:val="00C14058"/>
    <w:rsid w:val="00C14166"/>
    <w:rsid w:val="00C145FA"/>
    <w:rsid w:val="00C14A03"/>
    <w:rsid w:val="00C14C12"/>
    <w:rsid w:val="00C14C77"/>
    <w:rsid w:val="00C1518E"/>
    <w:rsid w:val="00C15219"/>
    <w:rsid w:val="00C15F79"/>
    <w:rsid w:val="00C16273"/>
    <w:rsid w:val="00C16343"/>
    <w:rsid w:val="00C16FA0"/>
    <w:rsid w:val="00C170D3"/>
    <w:rsid w:val="00C1713B"/>
    <w:rsid w:val="00C17282"/>
    <w:rsid w:val="00C17283"/>
    <w:rsid w:val="00C172B7"/>
    <w:rsid w:val="00C17563"/>
    <w:rsid w:val="00C17A5B"/>
    <w:rsid w:val="00C17BA3"/>
    <w:rsid w:val="00C17ED5"/>
    <w:rsid w:val="00C2021B"/>
    <w:rsid w:val="00C20320"/>
    <w:rsid w:val="00C20396"/>
    <w:rsid w:val="00C206EF"/>
    <w:rsid w:val="00C2095D"/>
    <w:rsid w:val="00C209B2"/>
    <w:rsid w:val="00C20CA9"/>
    <w:rsid w:val="00C20DCE"/>
    <w:rsid w:val="00C20E03"/>
    <w:rsid w:val="00C2171E"/>
    <w:rsid w:val="00C21AD9"/>
    <w:rsid w:val="00C21D74"/>
    <w:rsid w:val="00C21DAF"/>
    <w:rsid w:val="00C21F4A"/>
    <w:rsid w:val="00C22948"/>
    <w:rsid w:val="00C22A9E"/>
    <w:rsid w:val="00C22AB1"/>
    <w:rsid w:val="00C23152"/>
    <w:rsid w:val="00C23248"/>
    <w:rsid w:val="00C23287"/>
    <w:rsid w:val="00C23374"/>
    <w:rsid w:val="00C23673"/>
    <w:rsid w:val="00C236E9"/>
    <w:rsid w:val="00C236FF"/>
    <w:rsid w:val="00C23861"/>
    <w:rsid w:val="00C23A73"/>
    <w:rsid w:val="00C23AB3"/>
    <w:rsid w:val="00C23BAF"/>
    <w:rsid w:val="00C23DD6"/>
    <w:rsid w:val="00C24082"/>
    <w:rsid w:val="00C240A8"/>
    <w:rsid w:val="00C2414B"/>
    <w:rsid w:val="00C242C6"/>
    <w:rsid w:val="00C2455A"/>
    <w:rsid w:val="00C24986"/>
    <w:rsid w:val="00C24EBC"/>
    <w:rsid w:val="00C258B3"/>
    <w:rsid w:val="00C25D46"/>
    <w:rsid w:val="00C25DD2"/>
    <w:rsid w:val="00C26117"/>
    <w:rsid w:val="00C266B7"/>
    <w:rsid w:val="00C2680B"/>
    <w:rsid w:val="00C2776B"/>
    <w:rsid w:val="00C27B1C"/>
    <w:rsid w:val="00C27B49"/>
    <w:rsid w:val="00C30404"/>
    <w:rsid w:val="00C304CC"/>
    <w:rsid w:val="00C3057D"/>
    <w:rsid w:val="00C30D3B"/>
    <w:rsid w:val="00C30E2D"/>
    <w:rsid w:val="00C3149E"/>
    <w:rsid w:val="00C31574"/>
    <w:rsid w:val="00C3184A"/>
    <w:rsid w:val="00C31CDC"/>
    <w:rsid w:val="00C31D2A"/>
    <w:rsid w:val="00C31F9D"/>
    <w:rsid w:val="00C32025"/>
    <w:rsid w:val="00C3206C"/>
    <w:rsid w:val="00C320A7"/>
    <w:rsid w:val="00C32444"/>
    <w:rsid w:val="00C3270A"/>
    <w:rsid w:val="00C32960"/>
    <w:rsid w:val="00C32B3A"/>
    <w:rsid w:val="00C32CDB"/>
    <w:rsid w:val="00C32D36"/>
    <w:rsid w:val="00C32DBE"/>
    <w:rsid w:val="00C32E0F"/>
    <w:rsid w:val="00C33132"/>
    <w:rsid w:val="00C33468"/>
    <w:rsid w:val="00C33A6E"/>
    <w:rsid w:val="00C33B09"/>
    <w:rsid w:val="00C33D58"/>
    <w:rsid w:val="00C33E72"/>
    <w:rsid w:val="00C343EE"/>
    <w:rsid w:val="00C347C0"/>
    <w:rsid w:val="00C3487B"/>
    <w:rsid w:val="00C34AC5"/>
    <w:rsid w:val="00C34BD6"/>
    <w:rsid w:val="00C34C4A"/>
    <w:rsid w:val="00C34DC2"/>
    <w:rsid w:val="00C35290"/>
    <w:rsid w:val="00C35970"/>
    <w:rsid w:val="00C35E30"/>
    <w:rsid w:val="00C35F0A"/>
    <w:rsid w:val="00C36445"/>
    <w:rsid w:val="00C3691D"/>
    <w:rsid w:val="00C37622"/>
    <w:rsid w:val="00C37AE0"/>
    <w:rsid w:val="00C37B7C"/>
    <w:rsid w:val="00C37E6F"/>
    <w:rsid w:val="00C4051C"/>
    <w:rsid w:val="00C408FB"/>
    <w:rsid w:val="00C40981"/>
    <w:rsid w:val="00C40A1A"/>
    <w:rsid w:val="00C40A28"/>
    <w:rsid w:val="00C40A6F"/>
    <w:rsid w:val="00C40CCF"/>
    <w:rsid w:val="00C40F05"/>
    <w:rsid w:val="00C4123A"/>
    <w:rsid w:val="00C412FB"/>
    <w:rsid w:val="00C41BE8"/>
    <w:rsid w:val="00C42987"/>
    <w:rsid w:val="00C42ADD"/>
    <w:rsid w:val="00C42DAE"/>
    <w:rsid w:val="00C42DE0"/>
    <w:rsid w:val="00C437C0"/>
    <w:rsid w:val="00C43858"/>
    <w:rsid w:val="00C43BEC"/>
    <w:rsid w:val="00C4458E"/>
    <w:rsid w:val="00C450EE"/>
    <w:rsid w:val="00C45744"/>
    <w:rsid w:val="00C45F48"/>
    <w:rsid w:val="00C45FD4"/>
    <w:rsid w:val="00C46079"/>
    <w:rsid w:val="00C46267"/>
    <w:rsid w:val="00C4630E"/>
    <w:rsid w:val="00C476C8"/>
    <w:rsid w:val="00C47ED2"/>
    <w:rsid w:val="00C5000C"/>
    <w:rsid w:val="00C50439"/>
    <w:rsid w:val="00C5050C"/>
    <w:rsid w:val="00C50604"/>
    <w:rsid w:val="00C50698"/>
    <w:rsid w:val="00C508F5"/>
    <w:rsid w:val="00C509F6"/>
    <w:rsid w:val="00C50B3B"/>
    <w:rsid w:val="00C51198"/>
    <w:rsid w:val="00C512A8"/>
    <w:rsid w:val="00C51684"/>
    <w:rsid w:val="00C51693"/>
    <w:rsid w:val="00C51B3E"/>
    <w:rsid w:val="00C51BDE"/>
    <w:rsid w:val="00C51C14"/>
    <w:rsid w:val="00C51D88"/>
    <w:rsid w:val="00C51DF5"/>
    <w:rsid w:val="00C520F3"/>
    <w:rsid w:val="00C52312"/>
    <w:rsid w:val="00C52BBA"/>
    <w:rsid w:val="00C532E8"/>
    <w:rsid w:val="00C533C8"/>
    <w:rsid w:val="00C536CB"/>
    <w:rsid w:val="00C539E7"/>
    <w:rsid w:val="00C53A20"/>
    <w:rsid w:val="00C53A23"/>
    <w:rsid w:val="00C53D87"/>
    <w:rsid w:val="00C541A3"/>
    <w:rsid w:val="00C5424F"/>
    <w:rsid w:val="00C54336"/>
    <w:rsid w:val="00C543C3"/>
    <w:rsid w:val="00C54DA4"/>
    <w:rsid w:val="00C55041"/>
    <w:rsid w:val="00C55049"/>
    <w:rsid w:val="00C55145"/>
    <w:rsid w:val="00C552CD"/>
    <w:rsid w:val="00C556AA"/>
    <w:rsid w:val="00C55882"/>
    <w:rsid w:val="00C55C83"/>
    <w:rsid w:val="00C55DA4"/>
    <w:rsid w:val="00C55F53"/>
    <w:rsid w:val="00C55FD1"/>
    <w:rsid w:val="00C56456"/>
    <w:rsid w:val="00C5655F"/>
    <w:rsid w:val="00C5675D"/>
    <w:rsid w:val="00C56D6A"/>
    <w:rsid w:val="00C56D86"/>
    <w:rsid w:val="00C56E28"/>
    <w:rsid w:val="00C5701E"/>
    <w:rsid w:val="00C570E8"/>
    <w:rsid w:val="00C57605"/>
    <w:rsid w:val="00C57A69"/>
    <w:rsid w:val="00C60055"/>
    <w:rsid w:val="00C60C28"/>
    <w:rsid w:val="00C60C9A"/>
    <w:rsid w:val="00C60D03"/>
    <w:rsid w:val="00C60D2C"/>
    <w:rsid w:val="00C60F59"/>
    <w:rsid w:val="00C6170B"/>
    <w:rsid w:val="00C61979"/>
    <w:rsid w:val="00C619B1"/>
    <w:rsid w:val="00C61CAD"/>
    <w:rsid w:val="00C61DB5"/>
    <w:rsid w:val="00C62250"/>
    <w:rsid w:val="00C62394"/>
    <w:rsid w:val="00C62587"/>
    <w:rsid w:val="00C62691"/>
    <w:rsid w:val="00C628F7"/>
    <w:rsid w:val="00C62906"/>
    <w:rsid w:val="00C62913"/>
    <w:rsid w:val="00C6311C"/>
    <w:rsid w:val="00C6314D"/>
    <w:rsid w:val="00C63183"/>
    <w:rsid w:val="00C636CA"/>
    <w:rsid w:val="00C63EE2"/>
    <w:rsid w:val="00C64432"/>
    <w:rsid w:val="00C646A4"/>
    <w:rsid w:val="00C647F2"/>
    <w:rsid w:val="00C648FA"/>
    <w:rsid w:val="00C64F31"/>
    <w:rsid w:val="00C654CE"/>
    <w:rsid w:val="00C65626"/>
    <w:rsid w:val="00C6564A"/>
    <w:rsid w:val="00C658FB"/>
    <w:rsid w:val="00C65E86"/>
    <w:rsid w:val="00C65F6C"/>
    <w:rsid w:val="00C66131"/>
    <w:rsid w:val="00C66A26"/>
    <w:rsid w:val="00C66ACB"/>
    <w:rsid w:val="00C66DC9"/>
    <w:rsid w:val="00C67C30"/>
    <w:rsid w:val="00C67DB9"/>
    <w:rsid w:val="00C67F81"/>
    <w:rsid w:val="00C67FDF"/>
    <w:rsid w:val="00C70161"/>
    <w:rsid w:val="00C7016A"/>
    <w:rsid w:val="00C70281"/>
    <w:rsid w:val="00C7031A"/>
    <w:rsid w:val="00C70AB4"/>
    <w:rsid w:val="00C70B63"/>
    <w:rsid w:val="00C70FCF"/>
    <w:rsid w:val="00C71166"/>
    <w:rsid w:val="00C71659"/>
    <w:rsid w:val="00C716D4"/>
    <w:rsid w:val="00C719C0"/>
    <w:rsid w:val="00C71C73"/>
    <w:rsid w:val="00C71F42"/>
    <w:rsid w:val="00C72034"/>
    <w:rsid w:val="00C721A6"/>
    <w:rsid w:val="00C722B6"/>
    <w:rsid w:val="00C7236B"/>
    <w:rsid w:val="00C72A20"/>
    <w:rsid w:val="00C72BE1"/>
    <w:rsid w:val="00C73295"/>
    <w:rsid w:val="00C73373"/>
    <w:rsid w:val="00C73539"/>
    <w:rsid w:val="00C73649"/>
    <w:rsid w:val="00C73703"/>
    <w:rsid w:val="00C74246"/>
    <w:rsid w:val="00C74F4E"/>
    <w:rsid w:val="00C750F9"/>
    <w:rsid w:val="00C752B0"/>
    <w:rsid w:val="00C75709"/>
    <w:rsid w:val="00C75875"/>
    <w:rsid w:val="00C75BF1"/>
    <w:rsid w:val="00C7602D"/>
    <w:rsid w:val="00C7660B"/>
    <w:rsid w:val="00C76696"/>
    <w:rsid w:val="00C769DC"/>
    <w:rsid w:val="00C76C67"/>
    <w:rsid w:val="00C76D36"/>
    <w:rsid w:val="00C76E2E"/>
    <w:rsid w:val="00C76E32"/>
    <w:rsid w:val="00C76F77"/>
    <w:rsid w:val="00C7722D"/>
    <w:rsid w:val="00C7731D"/>
    <w:rsid w:val="00C77595"/>
    <w:rsid w:val="00C775C1"/>
    <w:rsid w:val="00C776B5"/>
    <w:rsid w:val="00C77CD0"/>
    <w:rsid w:val="00C77E8E"/>
    <w:rsid w:val="00C802F5"/>
    <w:rsid w:val="00C803EA"/>
    <w:rsid w:val="00C80DAE"/>
    <w:rsid w:val="00C80EA0"/>
    <w:rsid w:val="00C80EBE"/>
    <w:rsid w:val="00C81EC8"/>
    <w:rsid w:val="00C82399"/>
    <w:rsid w:val="00C8269B"/>
    <w:rsid w:val="00C82AD9"/>
    <w:rsid w:val="00C82F2A"/>
    <w:rsid w:val="00C83507"/>
    <w:rsid w:val="00C8370B"/>
    <w:rsid w:val="00C838AB"/>
    <w:rsid w:val="00C83D27"/>
    <w:rsid w:val="00C84544"/>
    <w:rsid w:val="00C8501B"/>
    <w:rsid w:val="00C8564C"/>
    <w:rsid w:val="00C861CE"/>
    <w:rsid w:val="00C864C7"/>
    <w:rsid w:val="00C86957"/>
    <w:rsid w:val="00C873C5"/>
    <w:rsid w:val="00C877A7"/>
    <w:rsid w:val="00C87BAE"/>
    <w:rsid w:val="00C9055B"/>
    <w:rsid w:val="00C913FD"/>
    <w:rsid w:val="00C91E9D"/>
    <w:rsid w:val="00C9205A"/>
    <w:rsid w:val="00C9277D"/>
    <w:rsid w:val="00C92B65"/>
    <w:rsid w:val="00C92C82"/>
    <w:rsid w:val="00C93335"/>
    <w:rsid w:val="00C93DAC"/>
    <w:rsid w:val="00C9454B"/>
    <w:rsid w:val="00C949A9"/>
    <w:rsid w:val="00C94AE5"/>
    <w:rsid w:val="00C94F31"/>
    <w:rsid w:val="00C95CFD"/>
    <w:rsid w:val="00C95DB0"/>
    <w:rsid w:val="00C963C4"/>
    <w:rsid w:val="00C968E8"/>
    <w:rsid w:val="00C96D47"/>
    <w:rsid w:val="00C972AD"/>
    <w:rsid w:val="00C97519"/>
    <w:rsid w:val="00C978F7"/>
    <w:rsid w:val="00CA03E6"/>
    <w:rsid w:val="00CA1083"/>
    <w:rsid w:val="00CA12BE"/>
    <w:rsid w:val="00CA143F"/>
    <w:rsid w:val="00CA152F"/>
    <w:rsid w:val="00CA1815"/>
    <w:rsid w:val="00CA1860"/>
    <w:rsid w:val="00CA1A50"/>
    <w:rsid w:val="00CA1D75"/>
    <w:rsid w:val="00CA2634"/>
    <w:rsid w:val="00CA330A"/>
    <w:rsid w:val="00CA33D3"/>
    <w:rsid w:val="00CA3533"/>
    <w:rsid w:val="00CA3587"/>
    <w:rsid w:val="00CA35CF"/>
    <w:rsid w:val="00CA3CC6"/>
    <w:rsid w:val="00CA443F"/>
    <w:rsid w:val="00CA4C54"/>
    <w:rsid w:val="00CA4CD9"/>
    <w:rsid w:val="00CA57A7"/>
    <w:rsid w:val="00CA5A75"/>
    <w:rsid w:val="00CA60E6"/>
    <w:rsid w:val="00CA6100"/>
    <w:rsid w:val="00CA634D"/>
    <w:rsid w:val="00CA723A"/>
    <w:rsid w:val="00CA7255"/>
    <w:rsid w:val="00CA75D9"/>
    <w:rsid w:val="00CA7855"/>
    <w:rsid w:val="00CA7CE7"/>
    <w:rsid w:val="00CA7EB6"/>
    <w:rsid w:val="00CB01D7"/>
    <w:rsid w:val="00CB0273"/>
    <w:rsid w:val="00CB0D20"/>
    <w:rsid w:val="00CB0D46"/>
    <w:rsid w:val="00CB0EDA"/>
    <w:rsid w:val="00CB15BC"/>
    <w:rsid w:val="00CB1EC4"/>
    <w:rsid w:val="00CB2054"/>
    <w:rsid w:val="00CB2875"/>
    <w:rsid w:val="00CB2E12"/>
    <w:rsid w:val="00CB3113"/>
    <w:rsid w:val="00CB362D"/>
    <w:rsid w:val="00CB36F1"/>
    <w:rsid w:val="00CB376F"/>
    <w:rsid w:val="00CB39AD"/>
    <w:rsid w:val="00CB4130"/>
    <w:rsid w:val="00CB4C9E"/>
    <w:rsid w:val="00CB5A93"/>
    <w:rsid w:val="00CB61A0"/>
    <w:rsid w:val="00CB638E"/>
    <w:rsid w:val="00CB683F"/>
    <w:rsid w:val="00CB6922"/>
    <w:rsid w:val="00CB6F37"/>
    <w:rsid w:val="00CB6F39"/>
    <w:rsid w:val="00CB6F69"/>
    <w:rsid w:val="00CB7B02"/>
    <w:rsid w:val="00CB7CA4"/>
    <w:rsid w:val="00CC04B9"/>
    <w:rsid w:val="00CC0886"/>
    <w:rsid w:val="00CC0B46"/>
    <w:rsid w:val="00CC0C06"/>
    <w:rsid w:val="00CC1522"/>
    <w:rsid w:val="00CC16D1"/>
    <w:rsid w:val="00CC19AC"/>
    <w:rsid w:val="00CC2267"/>
    <w:rsid w:val="00CC241E"/>
    <w:rsid w:val="00CC2663"/>
    <w:rsid w:val="00CC269F"/>
    <w:rsid w:val="00CC2772"/>
    <w:rsid w:val="00CC2D23"/>
    <w:rsid w:val="00CC32DC"/>
    <w:rsid w:val="00CC39C7"/>
    <w:rsid w:val="00CC39EB"/>
    <w:rsid w:val="00CC3D00"/>
    <w:rsid w:val="00CC4A41"/>
    <w:rsid w:val="00CC4FF4"/>
    <w:rsid w:val="00CC5003"/>
    <w:rsid w:val="00CC52F6"/>
    <w:rsid w:val="00CC57D4"/>
    <w:rsid w:val="00CC58C5"/>
    <w:rsid w:val="00CC61B6"/>
    <w:rsid w:val="00CC61FC"/>
    <w:rsid w:val="00CC6581"/>
    <w:rsid w:val="00CC6736"/>
    <w:rsid w:val="00CC68CE"/>
    <w:rsid w:val="00CC6FA6"/>
    <w:rsid w:val="00CC717A"/>
    <w:rsid w:val="00CC76EC"/>
    <w:rsid w:val="00CC789F"/>
    <w:rsid w:val="00CC7A68"/>
    <w:rsid w:val="00CD0273"/>
    <w:rsid w:val="00CD0311"/>
    <w:rsid w:val="00CD041D"/>
    <w:rsid w:val="00CD05D5"/>
    <w:rsid w:val="00CD0936"/>
    <w:rsid w:val="00CD0B58"/>
    <w:rsid w:val="00CD0E7F"/>
    <w:rsid w:val="00CD10D3"/>
    <w:rsid w:val="00CD1415"/>
    <w:rsid w:val="00CD1532"/>
    <w:rsid w:val="00CD1727"/>
    <w:rsid w:val="00CD1CAF"/>
    <w:rsid w:val="00CD208A"/>
    <w:rsid w:val="00CD3933"/>
    <w:rsid w:val="00CD3986"/>
    <w:rsid w:val="00CD40C7"/>
    <w:rsid w:val="00CD44C3"/>
    <w:rsid w:val="00CD4567"/>
    <w:rsid w:val="00CD47D9"/>
    <w:rsid w:val="00CD5651"/>
    <w:rsid w:val="00CD59B9"/>
    <w:rsid w:val="00CD5BD4"/>
    <w:rsid w:val="00CD6163"/>
    <w:rsid w:val="00CD653E"/>
    <w:rsid w:val="00CD70BA"/>
    <w:rsid w:val="00CD735D"/>
    <w:rsid w:val="00CD74D6"/>
    <w:rsid w:val="00CD7820"/>
    <w:rsid w:val="00CD7950"/>
    <w:rsid w:val="00CD7A7F"/>
    <w:rsid w:val="00CE03DB"/>
    <w:rsid w:val="00CE0708"/>
    <w:rsid w:val="00CE0946"/>
    <w:rsid w:val="00CE09BC"/>
    <w:rsid w:val="00CE0DA5"/>
    <w:rsid w:val="00CE1087"/>
    <w:rsid w:val="00CE117F"/>
    <w:rsid w:val="00CE1192"/>
    <w:rsid w:val="00CE1573"/>
    <w:rsid w:val="00CE2127"/>
    <w:rsid w:val="00CE22D3"/>
    <w:rsid w:val="00CE28A1"/>
    <w:rsid w:val="00CE2BB3"/>
    <w:rsid w:val="00CE2CE5"/>
    <w:rsid w:val="00CE2E96"/>
    <w:rsid w:val="00CE2FD3"/>
    <w:rsid w:val="00CE30FD"/>
    <w:rsid w:val="00CE3104"/>
    <w:rsid w:val="00CE3107"/>
    <w:rsid w:val="00CE3176"/>
    <w:rsid w:val="00CE355E"/>
    <w:rsid w:val="00CE3922"/>
    <w:rsid w:val="00CE394A"/>
    <w:rsid w:val="00CE3FCC"/>
    <w:rsid w:val="00CE401E"/>
    <w:rsid w:val="00CE454D"/>
    <w:rsid w:val="00CE537D"/>
    <w:rsid w:val="00CE58C4"/>
    <w:rsid w:val="00CE621F"/>
    <w:rsid w:val="00CE62C5"/>
    <w:rsid w:val="00CE656C"/>
    <w:rsid w:val="00CE679E"/>
    <w:rsid w:val="00CE68C1"/>
    <w:rsid w:val="00CE69E9"/>
    <w:rsid w:val="00CE6A05"/>
    <w:rsid w:val="00CE712A"/>
    <w:rsid w:val="00CE718C"/>
    <w:rsid w:val="00CE75F7"/>
    <w:rsid w:val="00CE7A1F"/>
    <w:rsid w:val="00CE7D5C"/>
    <w:rsid w:val="00CF0245"/>
    <w:rsid w:val="00CF0473"/>
    <w:rsid w:val="00CF04A2"/>
    <w:rsid w:val="00CF068E"/>
    <w:rsid w:val="00CF0A23"/>
    <w:rsid w:val="00CF0F2A"/>
    <w:rsid w:val="00CF0F63"/>
    <w:rsid w:val="00CF1177"/>
    <w:rsid w:val="00CF19A9"/>
    <w:rsid w:val="00CF1E71"/>
    <w:rsid w:val="00CF20E1"/>
    <w:rsid w:val="00CF21E8"/>
    <w:rsid w:val="00CF27FB"/>
    <w:rsid w:val="00CF2AD6"/>
    <w:rsid w:val="00CF2ED4"/>
    <w:rsid w:val="00CF315F"/>
    <w:rsid w:val="00CF37A5"/>
    <w:rsid w:val="00CF389F"/>
    <w:rsid w:val="00CF3A4C"/>
    <w:rsid w:val="00CF3FFF"/>
    <w:rsid w:val="00CF4282"/>
    <w:rsid w:val="00CF48A2"/>
    <w:rsid w:val="00CF4A40"/>
    <w:rsid w:val="00CF4DA4"/>
    <w:rsid w:val="00CF520A"/>
    <w:rsid w:val="00CF5238"/>
    <w:rsid w:val="00CF5566"/>
    <w:rsid w:val="00CF563B"/>
    <w:rsid w:val="00CF6021"/>
    <w:rsid w:val="00CF606D"/>
    <w:rsid w:val="00CF62EB"/>
    <w:rsid w:val="00CF6563"/>
    <w:rsid w:val="00CF6781"/>
    <w:rsid w:val="00CF68EE"/>
    <w:rsid w:val="00CF6B12"/>
    <w:rsid w:val="00CF6BFC"/>
    <w:rsid w:val="00CF754B"/>
    <w:rsid w:val="00CF78B2"/>
    <w:rsid w:val="00CF7A17"/>
    <w:rsid w:val="00CF7CEF"/>
    <w:rsid w:val="00D0050F"/>
    <w:rsid w:val="00D006D3"/>
    <w:rsid w:val="00D00880"/>
    <w:rsid w:val="00D00BAB"/>
    <w:rsid w:val="00D00C00"/>
    <w:rsid w:val="00D015AF"/>
    <w:rsid w:val="00D01C3B"/>
    <w:rsid w:val="00D01F2F"/>
    <w:rsid w:val="00D02311"/>
    <w:rsid w:val="00D023A7"/>
    <w:rsid w:val="00D028F1"/>
    <w:rsid w:val="00D0309C"/>
    <w:rsid w:val="00D034BB"/>
    <w:rsid w:val="00D035FD"/>
    <w:rsid w:val="00D0427E"/>
    <w:rsid w:val="00D04556"/>
    <w:rsid w:val="00D045C2"/>
    <w:rsid w:val="00D047BE"/>
    <w:rsid w:val="00D0484A"/>
    <w:rsid w:val="00D0484B"/>
    <w:rsid w:val="00D0485A"/>
    <w:rsid w:val="00D04D0E"/>
    <w:rsid w:val="00D05276"/>
    <w:rsid w:val="00D05503"/>
    <w:rsid w:val="00D059B7"/>
    <w:rsid w:val="00D05BA6"/>
    <w:rsid w:val="00D06ADA"/>
    <w:rsid w:val="00D06BE9"/>
    <w:rsid w:val="00D06D6C"/>
    <w:rsid w:val="00D06FE1"/>
    <w:rsid w:val="00D07202"/>
    <w:rsid w:val="00D07289"/>
    <w:rsid w:val="00D07881"/>
    <w:rsid w:val="00D10002"/>
    <w:rsid w:val="00D10903"/>
    <w:rsid w:val="00D11369"/>
    <w:rsid w:val="00D11724"/>
    <w:rsid w:val="00D117BE"/>
    <w:rsid w:val="00D1189D"/>
    <w:rsid w:val="00D119CD"/>
    <w:rsid w:val="00D11A70"/>
    <w:rsid w:val="00D1214C"/>
    <w:rsid w:val="00D12443"/>
    <w:rsid w:val="00D12E98"/>
    <w:rsid w:val="00D12F40"/>
    <w:rsid w:val="00D130F3"/>
    <w:rsid w:val="00D1349F"/>
    <w:rsid w:val="00D13DA8"/>
    <w:rsid w:val="00D13DE8"/>
    <w:rsid w:val="00D13F4B"/>
    <w:rsid w:val="00D143F0"/>
    <w:rsid w:val="00D147E4"/>
    <w:rsid w:val="00D150EB"/>
    <w:rsid w:val="00D15539"/>
    <w:rsid w:val="00D1564F"/>
    <w:rsid w:val="00D158C3"/>
    <w:rsid w:val="00D15AC3"/>
    <w:rsid w:val="00D15B54"/>
    <w:rsid w:val="00D15BF1"/>
    <w:rsid w:val="00D15CA9"/>
    <w:rsid w:val="00D1611E"/>
    <w:rsid w:val="00D16207"/>
    <w:rsid w:val="00D1644A"/>
    <w:rsid w:val="00D16B6B"/>
    <w:rsid w:val="00D170EC"/>
    <w:rsid w:val="00D17242"/>
    <w:rsid w:val="00D178F0"/>
    <w:rsid w:val="00D17B35"/>
    <w:rsid w:val="00D17BE9"/>
    <w:rsid w:val="00D17C70"/>
    <w:rsid w:val="00D17E0B"/>
    <w:rsid w:val="00D17E3E"/>
    <w:rsid w:val="00D201FB"/>
    <w:rsid w:val="00D20AA2"/>
    <w:rsid w:val="00D20B4C"/>
    <w:rsid w:val="00D2106F"/>
    <w:rsid w:val="00D222FB"/>
    <w:rsid w:val="00D22848"/>
    <w:rsid w:val="00D22D12"/>
    <w:rsid w:val="00D22E2C"/>
    <w:rsid w:val="00D23245"/>
    <w:rsid w:val="00D23585"/>
    <w:rsid w:val="00D2362C"/>
    <w:rsid w:val="00D238EF"/>
    <w:rsid w:val="00D23BF2"/>
    <w:rsid w:val="00D23C8D"/>
    <w:rsid w:val="00D24066"/>
    <w:rsid w:val="00D241F8"/>
    <w:rsid w:val="00D242E7"/>
    <w:rsid w:val="00D244F1"/>
    <w:rsid w:val="00D24911"/>
    <w:rsid w:val="00D249C3"/>
    <w:rsid w:val="00D24A8C"/>
    <w:rsid w:val="00D24C1E"/>
    <w:rsid w:val="00D24E23"/>
    <w:rsid w:val="00D24E8B"/>
    <w:rsid w:val="00D251E7"/>
    <w:rsid w:val="00D2585E"/>
    <w:rsid w:val="00D25A83"/>
    <w:rsid w:val="00D25E0E"/>
    <w:rsid w:val="00D25F91"/>
    <w:rsid w:val="00D2629F"/>
    <w:rsid w:val="00D2679B"/>
    <w:rsid w:val="00D26849"/>
    <w:rsid w:val="00D26971"/>
    <w:rsid w:val="00D26DBB"/>
    <w:rsid w:val="00D26FC4"/>
    <w:rsid w:val="00D271C5"/>
    <w:rsid w:val="00D271E5"/>
    <w:rsid w:val="00D2730A"/>
    <w:rsid w:val="00D27351"/>
    <w:rsid w:val="00D27705"/>
    <w:rsid w:val="00D27743"/>
    <w:rsid w:val="00D27B0B"/>
    <w:rsid w:val="00D27C04"/>
    <w:rsid w:val="00D27D26"/>
    <w:rsid w:val="00D3027E"/>
    <w:rsid w:val="00D3098A"/>
    <w:rsid w:val="00D30A9B"/>
    <w:rsid w:val="00D31CE8"/>
    <w:rsid w:val="00D31D80"/>
    <w:rsid w:val="00D31E5A"/>
    <w:rsid w:val="00D322E0"/>
    <w:rsid w:val="00D323C3"/>
    <w:rsid w:val="00D324F9"/>
    <w:rsid w:val="00D32802"/>
    <w:rsid w:val="00D339CE"/>
    <w:rsid w:val="00D33B4C"/>
    <w:rsid w:val="00D33BF5"/>
    <w:rsid w:val="00D33E29"/>
    <w:rsid w:val="00D3407E"/>
    <w:rsid w:val="00D34A33"/>
    <w:rsid w:val="00D3527C"/>
    <w:rsid w:val="00D354F9"/>
    <w:rsid w:val="00D3563F"/>
    <w:rsid w:val="00D35955"/>
    <w:rsid w:val="00D359C6"/>
    <w:rsid w:val="00D36011"/>
    <w:rsid w:val="00D36243"/>
    <w:rsid w:val="00D363D5"/>
    <w:rsid w:val="00D36477"/>
    <w:rsid w:val="00D36830"/>
    <w:rsid w:val="00D36A99"/>
    <w:rsid w:val="00D36F37"/>
    <w:rsid w:val="00D37186"/>
    <w:rsid w:val="00D372A5"/>
    <w:rsid w:val="00D3765B"/>
    <w:rsid w:val="00D37665"/>
    <w:rsid w:val="00D37870"/>
    <w:rsid w:val="00D37C9B"/>
    <w:rsid w:val="00D37F8B"/>
    <w:rsid w:val="00D401FA"/>
    <w:rsid w:val="00D4065D"/>
    <w:rsid w:val="00D40668"/>
    <w:rsid w:val="00D4102F"/>
    <w:rsid w:val="00D41E77"/>
    <w:rsid w:val="00D4243B"/>
    <w:rsid w:val="00D42A63"/>
    <w:rsid w:val="00D43AA8"/>
    <w:rsid w:val="00D445DC"/>
    <w:rsid w:val="00D446F4"/>
    <w:rsid w:val="00D44D2E"/>
    <w:rsid w:val="00D45414"/>
    <w:rsid w:val="00D45449"/>
    <w:rsid w:val="00D461D4"/>
    <w:rsid w:val="00D463A5"/>
    <w:rsid w:val="00D4696E"/>
    <w:rsid w:val="00D47492"/>
    <w:rsid w:val="00D47515"/>
    <w:rsid w:val="00D47884"/>
    <w:rsid w:val="00D47FB2"/>
    <w:rsid w:val="00D5018B"/>
    <w:rsid w:val="00D50392"/>
    <w:rsid w:val="00D50446"/>
    <w:rsid w:val="00D50DFE"/>
    <w:rsid w:val="00D516B2"/>
    <w:rsid w:val="00D5190A"/>
    <w:rsid w:val="00D51B36"/>
    <w:rsid w:val="00D51D79"/>
    <w:rsid w:val="00D524D3"/>
    <w:rsid w:val="00D52572"/>
    <w:rsid w:val="00D52B21"/>
    <w:rsid w:val="00D52B7A"/>
    <w:rsid w:val="00D53316"/>
    <w:rsid w:val="00D535D1"/>
    <w:rsid w:val="00D537CD"/>
    <w:rsid w:val="00D53C0D"/>
    <w:rsid w:val="00D53CF5"/>
    <w:rsid w:val="00D53DD1"/>
    <w:rsid w:val="00D5429F"/>
    <w:rsid w:val="00D54E94"/>
    <w:rsid w:val="00D55014"/>
    <w:rsid w:val="00D55857"/>
    <w:rsid w:val="00D56F8D"/>
    <w:rsid w:val="00D57121"/>
    <w:rsid w:val="00D572FB"/>
    <w:rsid w:val="00D575B9"/>
    <w:rsid w:val="00D578DB"/>
    <w:rsid w:val="00D57CC2"/>
    <w:rsid w:val="00D57FC4"/>
    <w:rsid w:val="00D60A61"/>
    <w:rsid w:val="00D60EE7"/>
    <w:rsid w:val="00D61009"/>
    <w:rsid w:val="00D61492"/>
    <w:rsid w:val="00D61579"/>
    <w:rsid w:val="00D61678"/>
    <w:rsid w:val="00D62C2A"/>
    <w:rsid w:val="00D62E2B"/>
    <w:rsid w:val="00D62E62"/>
    <w:rsid w:val="00D6316E"/>
    <w:rsid w:val="00D63C4C"/>
    <w:rsid w:val="00D63F27"/>
    <w:rsid w:val="00D63F73"/>
    <w:rsid w:val="00D6413E"/>
    <w:rsid w:val="00D646C7"/>
    <w:rsid w:val="00D647C8"/>
    <w:rsid w:val="00D64848"/>
    <w:rsid w:val="00D64CE4"/>
    <w:rsid w:val="00D64E1C"/>
    <w:rsid w:val="00D6570D"/>
    <w:rsid w:val="00D658B7"/>
    <w:rsid w:val="00D662AF"/>
    <w:rsid w:val="00D66D0B"/>
    <w:rsid w:val="00D66D2A"/>
    <w:rsid w:val="00D6790D"/>
    <w:rsid w:val="00D7037F"/>
    <w:rsid w:val="00D7074F"/>
    <w:rsid w:val="00D70A96"/>
    <w:rsid w:val="00D70FF4"/>
    <w:rsid w:val="00D715ED"/>
    <w:rsid w:val="00D71827"/>
    <w:rsid w:val="00D71AA3"/>
    <w:rsid w:val="00D71C12"/>
    <w:rsid w:val="00D71C30"/>
    <w:rsid w:val="00D71C65"/>
    <w:rsid w:val="00D71C7F"/>
    <w:rsid w:val="00D71D53"/>
    <w:rsid w:val="00D71D8D"/>
    <w:rsid w:val="00D72049"/>
    <w:rsid w:val="00D72394"/>
    <w:rsid w:val="00D72575"/>
    <w:rsid w:val="00D72693"/>
    <w:rsid w:val="00D72701"/>
    <w:rsid w:val="00D7271B"/>
    <w:rsid w:val="00D72B51"/>
    <w:rsid w:val="00D72CBA"/>
    <w:rsid w:val="00D72DDC"/>
    <w:rsid w:val="00D73209"/>
    <w:rsid w:val="00D73693"/>
    <w:rsid w:val="00D73882"/>
    <w:rsid w:val="00D73C03"/>
    <w:rsid w:val="00D73C79"/>
    <w:rsid w:val="00D74156"/>
    <w:rsid w:val="00D741B5"/>
    <w:rsid w:val="00D74EC0"/>
    <w:rsid w:val="00D7528A"/>
    <w:rsid w:val="00D752A1"/>
    <w:rsid w:val="00D755F5"/>
    <w:rsid w:val="00D756B4"/>
    <w:rsid w:val="00D7578C"/>
    <w:rsid w:val="00D75B11"/>
    <w:rsid w:val="00D75B5A"/>
    <w:rsid w:val="00D760A0"/>
    <w:rsid w:val="00D7616B"/>
    <w:rsid w:val="00D763B8"/>
    <w:rsid w:val="00D763DE"/>
    <w:rsid w:val="00D764D2"/>
    <w:rsid w:val="00D76934"/>
    <w:rsid w:val="00D76B16"/>
    <w:rsid w:val="00D76CF6"/>
    <w:rsid w:val="00D77680"/>
    <w:rsid w:val="00D77829"/>
    <w:rsid w:val="00D80288"/>
    <w:rsid w:val="00D808D3"/>
    <w:rsid w:val="00D80B2B"/>
    <w:rsid w:val="00D80E23"/>
    <w:rsid w:val="00D81338"/>
    <w:rsid w:val="00D8188A"/>
    <w:rsid w:val="00D81E71"/>
    <w:rsid w:val="00D8232D"/>
    <w:rsid w:val="00D82566"/>
    <w:rsid w:val="00D82646"/>
    <w:rsid w:val="00D82C35"/>
    <w:rsid w:val="00D832AC"/>
    <w:rsid w:val="00D8366B"/>
    <w:rsid w:val="00D837E0"/>
    <w:rsid w:val="00D84220"/>
    <w:rsid w:val="00D844EB"/>
    <w:rsid w:val="00D8521E"/>
    <w:rsid w:val="00D857C9"/>
    <w:rsid w:val="00D85931"/>
    <w:rsid w:val="00D85E61"/>
    <w:rsid w:val="00D86633"/>
    <w:rsid w:val="00D86834"/>
    <w:rsid w:val="00D869F9"/>
    <w:rsid w:val="00D86DCA"/>
    <w:rsid w:val="00D86E42"/>
    <w:rsid w:val="00D872BE"/>
    <w:rsid w:val="00D87386"/>
    <w:rsid w:val="00D87401"/>
    <w:rsid w:val="00D8748B"/>
    <w:rsid w:val="00D87F4C"/>
    <w:rsid w:val="00D87FAC"/>
    <w:rsid w:val="00D901E6"/>
    <w:rsid w:val="00D90630"/>
    <w:rsid w:val="00D90BC4"/>
    <w:rsid w:val="00D90BF6"/>
    <w:rsid w:val="00D90C72"/>
    <w:rsid w:val="00D90CD5"/>
    <w:rsid w:val="00D90D04"/>
    <w:rsid w:val="00D915ED"/>
    <w:rsid w:val="00D9166B"/>
    <w:rsid w:val="00D91FF4"/>
    <w:rsid w:val="00D923FB"/>
    <w:rsid w:val="00D9281D"/>
    <w:rsid w:val="00D92D31"/>
    <w:rsid w:val="00D92E0D"/>
    <w:rsid w:val="00D92FBA"/>
    <w:rsid w:val="00D93256"/>
    <w:rsid w:val="00D93671"/>
    <w:rsid w:val="00D93AE2"/>
    <w:rsid w:val="00D93D87"/>
    <w:rsid w:val="00D93F18"/>
    <w:rsid w:val="00D944C0"/>
    <w:rsid w:val="00D94E9B"/>
    <w:rsid w:val="00D94FD3"/>
    <w:rsid w:val="00D9511D"/>
    <w:rsid w:val="00D95837"/>
    <w:rsid w:val="00D95AA3"/>
    <w:rsid w:val="00D95BC6"/>
    <w:rsid w:val="00D95C0D"/>
    <w:rsid w:val="00D95FA2"/>
    <w:rsid w:val="00D96196"/>
    <w:rsid w:val="00D96B45"/>
    <w:rsid w:val="00D96CBB"/>
    <w:rsid w:val="00D96DD3"/>
    <w:rsid w:val="00D96F9B"/>
    <w:rsid w:val="00D974C8"/>
    <w:rsid w:val="00D9757E"/>
    <w:rsid w:val="00D9770F"/>
    <w:rsid w:val="00D977A0"/>
    <w:rsid w:val="00D977CE"/>
    <w:rsid w:val="00D97B11"/>
    <w:rsid w:val="00DA008D"/>
    <w:rsid w:val="00DA019E"/>
    <w:rsid w:val="00DA031B"/>
    <w:rsid w:val="00DA03EB"/>
    <w:rsid w:val="00DA089A"/>
    <w:rsid w:val="00DA0931"/>
    <w:rsid w:val="00DA0D62"/>
    <w:rsid w:val="00DA121E"/>
    <w:rsid w:val="00DA150C"/>
    <w:rsid w:val="00DA19E9"/>
    <w:rsid w:val="00DA1B6D"/>
    <w:rsid w:val="00DA289D"/>
    <w:rsid w:val="00DA2A50"/>
    <w:rsid w:val="00DA2F03"/>
    <w:rsid w:val="00DA33ED"/>
    <w:rsid w:val="00DA3900"/>
    <w:rsid w:val="00DA3BE2"/>
    <w:rsid w:val="00DA3E56"/>
    <w:rsid w:val="00DA40DA"/>
    <w:rsid w:val="00DA42E2"/>
    <w:rsid w:val="00DA4344"/>
    <w:rsid w:val="00DA438B"/>
    <w:rsid w:val="00DA4985"/>
    <w:rsid w:val="00DA4C42"/>
    <w:rsid w:val="00DA4FCA"/>
    <w:rsid w:val="00DA4FDA"/>
    <w:rsid w:val="00DA52CE"/>
    <w:rsid w:val="00DA54DE"/>
    <w:rsid w:val="00DA5588"/>
    <w:rsid w:val="00DA562D"/>
    <w:rsid w:val="00DA5633"/>
    <w:rsid w:val="00DA596F"/>
    <w:rsid w:val="00DA6062"/>
    <w:rsid w:val="00DA639B"/>
    <w:rsid w:val="00DA63EC"/>
    <w:rsid w:val="00DA65F3"/>
    <w:rsid w:val="00DA6739"/>
    <w:rsid w:val="00DA673F"/>
    <w:rsid w:val="00DA6EA3"/>
    <w:rsid w:val="00DA71A7"/>
    <w:rsid w:val="00DA7375"/>
    <w:rsid w:val="00DA740E"/>
    <w:rsid w:val="00DA75AB"/>
    <w:rsid w:val="00DA7C50"/>
    <w:rsid w:val="00DB0037"/>
    <w:rsid w:val="00DB0545"/>
    <w:rsid w:val="00DB06B0"/>
    <w:rsid w:val="00DB09DE"/>
    <w:rsid w:val="00DB0F68"/>
    <w:rsid w:val="00DB0FEE"/>
    <w:rsid w:val="00DB1635"/>
    <w:rsid w:val="00DB1C6F"/>
    <w:rsid w:val="00DB1C79"/>
    <w:rsid w:val="00DB2EA5"/>
    <w:rsid w:val="00DB2FB9"/>
    <w:rsid w:val="00DB3030"/>
    <w:rsid w:val="00DB3219"/>
    <w:rsid w:val="00DB32EE"/>
    <w:rsid w:val="00DB366E"/>
    <w:rsid w:val="00DB3853"/>
    <w:rsid w:val="00DB3867"/>
    <w:rsid w:val="00DB403B"/>
    <w:rsid w:val="00DB517F"/>
    <w:rsid w:val="00DB5413"/>
    <w:rsid w:val="00DB5556"/>
    <w:rsid w:val="00DB57AA"/>
    <w:rsid w:val="00DB6CC0"/>
    <w:rsid w:val="00DB6E73"/>
    <w:rsid w:val="00DB702B"/>
    <w:rsid w:val="00DB7296"/>
    <w:rsid w:val="00DB73C6"/>
    <w:rsid w:val="00DB7A96"/>
    <w:rsid w:val="00DB7D0D"/>
    <w:rsid w:val="00DC03DC"/>
    <w:rsid w:val="00DC0EF4"/>
    <w:rsid w:val="00DC0EF7"/>
    <w:rsid w:val="00DC10AD"/>
    <w:rsid w:val="00DC1419"/>
    <w:rsid w:val="00DC179B"/>
    <w:rsid w:val="00DC196A"/>
    <w:rsid w:val="00DC1EF0"/>
    <w:rsid w:val="00DC20B2"/>
    <w:rsid w:val="00DC2116"/>
    <w:rsid w:val="00DC274A"/>
    <w:rsid w:val="00DC27B3"/>
    <w:rsid w:val="00DC2976"/>
    <w:rsid w:val="00DC2ECF"/>
    <w:rsid w:val="00DC2F7A"/>
    <w:rsid w:val="00DC3310"/>
    <w:rsid w:val="00DC35D5"/>
    <w:rsid w:val="00DC36CE"/>
    <w:rsid w:val="00DC3D50"/>
    <w:rsid w:val="00DC429C"/>
    <w:rsid w:val="00DC42B6"/>
    <w:rsid w:val="00DC449E"/>
    <w:rsid w:val="00DC44A5"/>
    <w:rsid w:val="00DC4560"/>
    <w:rsid w:val="00DC4612"/>
    <w:rsid w:val="00DC4640"/>
    <w:rsid w:val="00DC48B5"/>
    <w:rsid w:val="00DC535A"/>
    <w:rsid w:val="00DC540E"/>
    <w:rsid w:val="00DC55FE"/>
    <w:rsid w:val="00DC5914"/>
    <w:rsid w:val="00DC5DEB"/>
    <w:rsid w:val="00DC638D"/>
    <w:rsid w:val="00DC63DB"/>
    <w:rsid w:val="00DC7450"/>
    <w:rsid w:val="00DC7881"/>
    <w:rsid w:val="00DC7E99"/>
    <w:rsid w:val="00DC7F34"/>
    <w:rsid w:val="00DD007A"/>
    <w:rsid w:val="00DD075B"/>
    <w:rsid w:val="00DD0EF7"/>
    <w:rsid w:val="00DD13A8"/>
    <w:rsid w:val="00DD1719"/>
    <w:rsid w:val="00DD1E21"/>
    <w:rsid w:val="00DD1E8B"/>
    <w:rsid w:val="00DD241F"/>
    <w:rsid w:val="00DD281B"/>
    <w:rsid w:val="00DD2991"/>
    <w:rsid w:val="00DD2AD9"/>
    <w:rsid w:val="00DD2DF1"/>
    <w:rsid w:val="00DD32EA"/>
    <w:rsid w:val="00DD3473"/>
    <w:rsid w:val="00DD35BA"/>
    <w:rsid w:val="00DD37BC"/>
    <w:rsid w:val="00DD3E4C"/>
    <w:rsid w:val="00DD4297"/>
    <w:rsid w:val="00DD4506"/>
    <w:rsid w:val="00DD4537"/>
    <w:rsid w:val="00DD5D05"/>
    <w:rsid w:val="00DD609E"/>
    <w:rsid w:val="00DD6E78"/>
    <w:rsid w:val="00DD6F14"/>
    <w:rsid w:val="00DD71C4"/>
    <w:rsid w:val="00DD7F5D"/>
    <w:rsid w:val="00DE014D"/>
    <w:rsid w:val="00DE02EA"/>
    <w:rsid w:val="00DE08E2"/>
    <w:rsid w:val="00DE1039"/>
    <w:rsid w:val="00DE122E"/>
    <w:rsid w:val="00DE1280"/>
    <w:rsid w:val="00DE130C"/>
    <w:rsid w:val="00DE15D1"/>
    <w:rsid w:val="00DE1765"/>
    <w:rsid w:val="00DE19C4"/>
    <w:rsid w:val="00DE1AE5"/>
    <w:rsid w:val="00DE24C7"/>
    <w:rsid w:val="00DE2C87"/>
    <w:rsid w:val="00DE3083"/>
    <w:rsid w:val="00DE3085"/>
    <w:rsid w:val="00DE3524"/>
    <w:rsid w:val="00DE3CBD"/>
    <w:rsid w:val="00DE4416"/>
    <w:rsid w:val="00DE480D"/>
    <w:rsid w:val="00DE4B73"/>
    <w:rsid w:val="00DE4EAB"/>
    <w:rsid w:val="00DE52DF"/>
    <w:rsid w:val="00DE5579"/>
    <w:rsid w:val="00DE5B11"/>
    <w:rsid w:val="00DE6231"/>
    <w:rsid w:val="00DE6385"/>
    <w:rsid w:val="00DE68A4"/>
    <w:rsid w:val="00DE68FB"/>
    <w:rsid w:val="00DE6976"/>
    <w:rsid w:val="00DE70A8"/>
    <w:rsid w:val="00DE73E2"/>
    <w:rsid w:val="00DE78E1"/>
    <w:rsid w:val="00DF00D3"/>
    <w:rsid w:val="00DF02EC"/>
    <w:rsid w:val="00DF0911"/>
    <w:rsid w:val="00DF0D92"/>
    <w:rsid w:val="00DF0E2A"/>
    <w:rsid w:val="00DF111A"/>
    <w:rsid w:val="00DF1948"/>
    <w:rsid w:val="00DF1ADC"/>
    <w:rsid w:val="00DF1B12"/>
    <w:rsid w:val="00DF23F5"/>
    <w:rsid w:val="00DF249A"/>
    <w:rsid w:val="00DF2643"/>
    <w:rsid w:val="00DF2930"/>
    <w:rsid w:val="00DF2BEC"/>
    <w:rsid w:val="00DF3476"/>
    <w:rsid w:val="00DF34EC"/>
    <w:rsid w:val="00DF39C9"/>
    <w:rsid w:val="00DF3E64"/>
    <w:rsid w:val="00DF3E99"/>
    <w:rsid w:val="00DF4030"/>
    <w:rsid w:val="00DF4562"/>
    <w:rsid w:val="00DF45DE"/>
    <w:rsid w:val="00DF4823"/>
    <w:rsid w:val="00DF4E25"/>
    <w:rsid w:val="00DF4F88"/>
    <w:rsid w:val="00DF517C"/>
    <w:rsid w:val="00DF56DC"/>
    <w:rsid w:val="00DF5AD4"/>
    <w:rsid w:val="00DF69B7"/>
    <w:rsid w:val="00DF6ACA"/>
    <w:rsid w:val="00DF72CC"/>
    <w:rsid w:val="00DF7875"/>
    <w:rsid w:val="00DF790F"/>
    <w:rsid w:val="00E0009C"/>
    <w:rsid w:val="00E00417"/>
    <w:rsid w:val="00E00617"/>
    <w:rsid w:val="00E009CA"/>
    <w:rsid w:val="00E0144C"/>
    <w:rsid w:val="00E0184F"/>
    <w:rsid w:val="00E01984"/>
    <w:rsid w:val="00E019A1"/>
    <w:rsid w:val="00E01C0D"/>
    <w:rsid w:val="00E01CCC"/>
    <w:rsid w:val="00E01EAE"/>
    <w:rsid w:val="00E02254"/>
    <w:rsid w:val="00E02408"/>
    <w:rsid w:val="00E0275A"/>
    <w:rsid w:val="00E02A52"/>
    <w:rsid w:val="00E02BED"/>
    <w:rsid w:val="00E02EE7"/>
    <w:rsid w:val="00E0353E"/>
    <w:rsid w:val="00E03907"/>
    <w:rsid w:val="00E04483"/>
    <w:rsid w:val="00E047CA"/>
    <w:rsid w:val="00E048E0"/>
    <w:rsid w:val="00E04AA5"/>
    <w:rsid w:val="00E04F89"/>
    <w:rsid w:val="00E05297"/>
    <w:rsid w:val="00E05829"/>
    <w:rsid w:val="00E058D5"/>
    <w:rsid w:val="00E05DFA"/>
    <w:rsid w:val="00E05F8E"/>
    <w:rsid w:val="00E061E4"/>
    <w:rsid w:val="00E062C1"/>
    <w:rsid w:val="00E0664C"/>
    <w:rsid w:val="00E06ABA"/>
    <w:rsid w:val="00E06B8A"/>
    <w:rsid w:val="00E06D46"/>
    <w:rsid w:val="00E075EF"/>
    <w:rsid w:val="00E07944"/>
    <w:rsid w:val="00E103D4"/>
    <w:rsid w:val="00E106C4"/>
    <w:rsid w:val="00E10742"/>
    <w:rsid w:val="00E10A37"/>
    <w:rsid w:val="00E10BB2"/>
    <w:rsid w:val="00E114D3"/>
    <w:rsid w:val="00E119BD"/>
    <w:rsid w:val="00E11D05"/>
    <w:rsid w:val="00E11FA2"/>
    <w:rsid w:val="00E121AB"/>
    <w:rsid w:val="00E121BF"/>
    <w:rsid w:val="00E12416"/>
    <w:rsid w:val="00E1282B"/>
    <w:rsid w:val="00E128EF"/>
    <w:rsid w:val="00E12B42"/>
    <w:rsid w:val="00E12CE1"/>
    <w:rsid w:val="00E12E12"/>
    <w:rsid w:val="00E130FE"/>
    <w:rsid w:val="00E1328B"/>
    <w:rsid w:val="00E13B2E"/>
    <w:rsid w:val="00E13C5F"/>
    <w:rsid w:val="00E13C70"/>
    <w:rsid w:val="00E13D95"/>
    <w:rsid w:val="00E13E61"/>
    <w:rsid w:val="00E1420C"/>
    <w:rsid w:val="00E1457C"/>
    <w:rsid w:val="00E1471E"/>
    <w:rsid w:val="00E1493F"/>
    <w:rsid w:val="00E14B88"/>
    <w:rsid w:val="00E15174"/>
    <w:rsid w:val="00E15966"/>
    <w:rsid w:val="00E1649F"/>
    <w:rsid w:val="00E166AE"/>
    <w:rsid w:val="00E16ACE"/>
    <w:rsid w:val="00E16C0F"/>
    <w:rsid w:val="00E174A2"/>
    <w:rsid w:val="00E17ADF"/>
    <w:rsid w:val="00E17EE4"/>
    <w:rsid w:val="00E17F57"/>
    <w:rsid w:val="00E2074A"/>
    <w:rsid w:val="00E20760"/>
    <w:rsid w:val="00E20E5D"/>
    <w:rsid w:val="00E20E66"/>
    <w:rsid w:val="00E20FF0"/>
    <w:rsid w:val="00E2113A"/>
    <w:rsid w:val="00E2141C"/>
    <w:rsid w:val="00E2149E"/>
    <w:rsid w:val="00E21B06"/>
    <w:rsid w:val="00E21E98"/>
    <w:rsid w:val="00E22AAC"/>
    <w:rsid w:val="00E22C82"/>
    <w:rsid w:val="00E22E66"/>
    <w:rsid w:val="00E22EAC"/>
    <w:rsid w:val="00E22F1F"/>
    <w:rsid w:val="00E236C3"/>
    <w:rsid w:val="00E23A38"/>
    <w:rsid w:val="00E23B6B"/>
    <w:rsid w:val="00E241E5"/>
    <w:rsid w:val="00E248E4"/>
    <w:rsid w:val="00E253A0"/>
    <w:rsid w:val="00E25E4E"/>
    <w:rsid w:val="00E26249"/>
    <w:rsid w:val="00E2646A"/>
    <w:rsid w:val="00E269EF"/>
    <w:rsid w:val="00E26C8C"/>
    <w:rsid w:val="00E27460"/>
    <w:rsid w:val="00E2746C"/>
    <w:rsid w:val="00E27911"/>
    <w:rsid w:val="00E27AEB"/>
    <w:rsid w:val="00E27CBF"/>
    <w:rsid w:val="00E27D59"/>
    <w:rsid w:val="00E3098D"/>
    <w:rsid w:val="00E309A0"/>
    <w:rsid w:val="00E30D9A"/>
    <w:rsid w:val="00E30F90"/>
    <w:rsid w:val="00E3182A"/>
    <w:rsid w:val="00E319F0"/>
    <w:rsid w:val="00E31B3F"/>
    <w:rsid w:val="00E31D06"/>
    <w:rsid w:val="00E31D10"/>
    <w:rsid w:val="00E322E5"/>
    <w:rsid w:val="00E325ED"/>
    <w:rsid w:val="00E3266C"/>
    <w:rsid w:val="00E32DF0"/>
    <w:rsid w:val="00E32EBC"/>
    <w:rsid w:val="00E33421"/>
    <w:rsid w:val="00E33986"/>
    <w:rsid w:val="00E34267"/>
    <w:rsid w:val="00E34468"/>
    <w:rsid w:val="00E347C6"/>
    <w:rsid w:val="00E35101"/>
    <w:rsid w:val="00E3524D"/>
    <w:rsid w:val="00E35DCA"/>
    <w:rsid w:val="00E35DF5"/>
    <w:rsid w:val="00E36A7A"/>
    <w:rsid w:val="00E36C37"/>
    <w:rsid w:val="00E374FF"/>
    <w:rsid w:val="00E37859"/>
    <w:rsid w:val="00E379FA"/>
    <w:rsid w:val="00E40429"/>
    <w:rsid w:val="00E40999"/>
    <w:rsid w:val="00E41275"/>
    <w:rsid w:val="00E41BD5"/>
    <w:rsid w:val="00E42277"/>
    <w:rsid w:val="00E42290"/>
    <w:rsid w:val="00E42476"/>
    <w:rsid w:val="00E42758"/>
    <w:rsid w:val="00E428D4"/>
    <w:rsid w:val="00E42C84"/>
    <w:rsid w:val="00E42E41"/>
    <w:rsid w:val="00E42FE6"/>
    <w:rsid w:val="00E431F3"/>
    <w:rsid w:val="00E43459"/>
    <w:rsid w:val="00E43FAD"/>
    <w:rsid w:val="00E44004"/>
    <w:rsid w:val="00E442B2"/>
    <w:rsid w:val="00E44814"/>
    <w:rsid w:val="00E44B32"/>
    <w:rsid w:val="00E44C3A"/>
    <w:rsid w:val="00E44C8D"/>
    <w:rsid w:val="00E45085"/>
    <w:rsid w:val="00E46070"/>
    <w:rsid w:val="00E46204"/>
    <w:rsid w:val="00E467AD"/>
    <w:rsid w:val="00E4690D"/>
    <w:rsid w:val="00E46AA9"/>
    <w:rsid w:val="00E46BE1"/>
    <w:rsid w:val="00E470E9"/>
    <w:rsid w:val="00E4756D"/>
    <w:rsid w:val="00E47ACA"/>
    <w:rsid w:val="00E47CC9"/>
    <w:rsid w:val="00E47DB4"/>
    <w:rsid w:val="00E47EF8"/>
    <w:rsid w:val="00E50027"/>
    <w:rsid w:val="00E50A3F"/>
    <w:rsid w:val="00E50C54"/>
    <w:rsid w:val="00E51375"/>
    <w:rsid w:val="00E51511"/>
    <w:rsid w:val="00E52258"/>
    <w:rsid w:val="00E52416"/>
    <w:rsid w:val="00E52847"/>
    <w:rsid w:val="00E52BC1"/>
    <w:rsid w:val="00E52CDF"/>
    <w:rsid w:val="00E52E6F"/>
    <w:rsid w:val="00E53973"/>
    <w:rsid w:val="00E53C72"/>
    <w:rsid w:val="00E53D52"/>
    <w:rsid w:val="00E53E90"/>
    <w:rsid w:val="00E54863"/>
    <w:rsid w:val="00E54893"/>
    <w:rsid w:val="00E54922"/>
    <w:rsid w:val="00E54A09"/>
    <w:rsid w:val="00E54B07"/>
    <w:rsid w:val="00E54EB6"/>
    <w:rsid w:val="00E55038"/>
    <w:rsid w:val="00E55221"/>
    <w:rsid w:val="00E5532E"/>
    <w:rsid w:val="00E5536D"/>
    <w:rsid w:val="00E5543C"/>
    <w:rsid w:val="00E557C2"/>
    <w:rsid w:val="00E557EF"/>
    <w:rsid w:val="00E55E51"/>
    <w:rsid w:val="00E560EC"/>
    <w:rsid w:val="00E565C4"/>
    <w:rsid w:val="00E56715"/>
    <w:rsid w:val="00E568C2"/>
    <w:rsid w:val="00E56A26"/>
    <w:rsid w:val="00E56CA0"/>
    <w:rsid w:val="00E5739D"/>
    <w:rsid w:val="00E575F3"/>
    <w:rsid w:val="00E57665"/>
    <w:rsid w:val="00E57763"/>
    <w:rsid w:val="00E577A6"/>
    <w:rsid w:val="00E578D0"/>
    <w:rsid w:val="00E57961"/>
    <w:rsid w:val="00E57BCB"/>
    <w:rsid w:val="00E57BF7"/>
    <w:rsid w:val="00E57C19"/>
    <w:rsid w:val="00E57E2D"/>
    <w:rsid w:val="00E57E53"/>
    <w:rsid w:val="00E60026"/>
    <w:rsid w:val="00E6018F"/>
    <w:rsid w:val="00E60739"/>
    <w:rsid w:val="00E6075B"/>
    <w:rsid w:val="00E610CC"/>
    <w:rsid w:val="00E61356"/>
    <w:rsid w:val="00E61769"/>
    <w:rsid w:val="00E61D6E"/>
    <w:rsid w:val="00E620AA"/>
    <w:rsid w:val="00E62180"/>
    <w:rsid w:val="00E62301"/>
    <w:rsid w:val="00E62323"/>
    <w:rsid w:val="00E624C2"/>
    <w:rsid w:val="00E6267F"/>
    <w:rsid w:val="00E62B54"/>
    <w:rsid w:val="00E631C6"/>
    <w:rsid w:val="00E6380D"/>
    <w:rsid w:val="00E63B7E"/>
    <w:rsid w:val="00E63FCF"/>
    <w:rsid w:val="00E643ED"/>
    <w:rsid w:val="00E6457A"/>
    <w:rsid w:val="00E645D5"/>
    <w:rsid w:val="00E64632"/>
    <w:rsid w:val="00E64AFF"/>
    <w:rsid w:val="00E64C82"/>
    <w:rsid w:val="00E65182"/>
    <w:rsid w:val="00E653E8"/>
    <w:rsid w:val="00E65AC4"/>
    <w:rsid w:val="00E66812"/>
    <w:rsid w:val="00E6683F"/>
    <w:rsid w:val="00E67098"/>
    <w:rsid w:val="00E6709C"/>
    <w:rsid w:val="00E67A06"/>
    <w:rsid w:val="00E67E13"/>
    <w:rsid w:val="00E7040F"/>
    <w:rsid w:val="00E70883"/>
    <w:rsid w:val="00E7106C"/>
    <w:rsid w:val="00E710CA"/>
    <w:rsid w:val="00E71185"/>
    <w:rsid w:val="00E719CD"/>
    <w:rsid w:val="00E71A71"/>
    <w:rsid w:val="00E71D2B"/>
    <w:rsid w:val="00E71F2F"/>
    <w:rsid w:val="00E7223F"/>
    <w:rsid w:val="00E724E3"/>
    <w:rsid w:val="00E729C9"/>
    <w:rsid w:val="00E72A17"/>
    <w:rsid w:val="00E73F77"/>
    <w:rsid w:val="00E74133"/>
    <w:rsid w:val="00E7446F"/>
    <w:rsid w:val="00E744E8"/>
    <w:rsid w:val="00E74BB6"/>
    <w:rsid w:val="00E74FB6"/>
    <w:rsid w:val="00E75284"/>
    <w:rsid w:val="00E7534A"/>
    <w:rsid w:val="00E75495"/>
    <w:rsid w:val="00E75A9E"/>
    <w:rsid w:val="00E75BD1"/>
    <w:rsid w:val="00E75E87"/>
    <w:rsid w:val="00E75F94"/>
    <w:rsid w:val="00E7669D"/>
    <w:rsid w:val="00E766EC"/>
    <w:rsid w:val="00E76973"/>
    <w:rsid w:val="00E76C85"/>
    <w:rsid w:val="00E76CF4"/>
    <w:rsid w:val="00E76DFC"/>
    <w:rsid w:val="00E77150"/>
    <w:rsid w:val="00E775D7"/>
    <w:rsid w:val="00E7761B"/>
    <w:rsid w:val="00E77876"/>
    <w:rsid w:val="00E77DA4"/>
    <w:rsid w:val="00E80C55"/>
    <w:rsid w:val="00E80E5A"/>
    <w:rsid w:val="00E80EA5"/>
    <w:rsid w:val="00E812B5"/>
    <w:rsid w:val="00E815B6"/>
    <w:rsid w:val="00E818E4"/>
    <w:rsid w:val="00E819F8"/>
    <w:rsid w:val="00E81BC8"/>
    <w:rsid w:val="00E81FDD"/>
    <w:rsid w:val="00E820D4"/>
    <w:rsid w:val="00E82852"/>
    <w:rsid w:val="00E82F15"/>
    <w:rsid w:val="00E83323"/>
    <w:rsid w:val="00E8368E"/>
    <w:rsid w:val="00E83870"/>
    <w:rsid w:val="00E83A30"/>
    <w:rsid w:val="00E83C6D"/>
    <w:rsid w:val="00E83E5C"/>
    <w:rsid w:val="00E83F8A"/>
    <w:rsid w:val="00E840EF"/>
    <w:rsid w:val="00E842F7"/>
    <w:rsid w:val="00E855E9"/>
    <w:rsid w:val="00E85642"/>
    <w:rsid w:val="00E85776"/>
    <w:rsid w:val="00E85C84"/>
    <w:rsid w:val="00E85D8D"/>
    <w:rsid w:val="00E863EF"/>
    <w:rsid w:val="00E86768"/>
    <w:rsid w:val="00E869A3"/>
    <w:rsid w:val="00E86BAF"/>
    <w:rsid w:val="00E87230"/>
    <w:rsid w:val="00E87984"/>
    <w:rsid w:val="00E879A5"/>
    <w:rsid w:val="00E87FAB"/>
    <w:rsid w:val="00E903DE"/>
    <w:rsid w:val="00E90439"/>
    <w:rsid w:val="00E90590"/>
    <w:rsid w:val="00E90E84"/>
    <w:rsid w:val="00E91476"/>
    <w:rsid w:val="00E9170A"/>
    <w:rsid w:val="00E9183A"/>
    <w:rsid w:val="00E91A14"/>
    <w:rsid w:val="00E91BDE"/>
    <w:rsid w:val="00E92402"/>
    <w:rsid w:val="00E92554"/>
    <w:rsid w:val="00E92572"/>
    <w:rsid w:val="00E9266D"/>
    <w:rsid w:val="00E92901"/>
    <w:rsid w:val="00E92EA0"/>
    <w:rsid w:val="00E93004"/>
    <w:rsid w:val="00E93089"/>
    <w:rsid w:val="00E93E00"/>
    <w:rsid w:val="00E94A4C"/>
    <w:rsid w:val="00E94DE0"/>
    <w:rsid w:val="00E953ED"/>
    <w:rsid w:val="00E9546E"/>
    <w:rsid w:val="00E95A1F"/>
    <w:rsid w:val="00E968BA"/>
    <w:rsid w:val="00E96A55"/>
    <w:rsid w:val="00E96ED2"/>
    <w:rsid w:val="00E9718F"/>
    <w:rsid w:val="00E97204"/>
    <w:rsid w:val="00E97209"/>
    <w:rsid w:val="00E97928"/>
    <w:rsid w:val="00E97AFE"/>
    <w:rsid w:val="00E97B26"/>
    <w:rsid w:val="00EA0014"/>
    <w:rsid w:val="00EA00BB"/>
    <w:rsid w:val="00EA00DE"/>
    <w:rsid w:val="00EA0B80"/>
    <w:rsid w:val="00EA0F29"/>
    <w:rsid w:val="00EA10F1"/>
    <w:rsid w:val="00EA1738"/>
    <w:rsid w:val="00EA1872"/>
    <w:rsid w:val="00EA1A0A"/>
    <w:rsid w:val="00EA1FF7"/>
    <w:rsid w:val="00EA22A3"/>
    <w:rsid w:val="00EA2310"/>
    <w:rsid w:val="00EA2551"/>
    <w:rsid w:val="00EA286A"/>
    <w:rsid w:val="00EA2C06"/>
    <w:rsid w:val="00EA300C"/>
    <w:rsid w:val="00EA3891"/>
    <w:rsid w:val="00EA389F"/>
    <w:rsid w:val="00EA3A84"/>
    <w:rsid w:val="00EA3BF5"/>
    <w:rsid w:val="00EA3D60"/>
    <w:rsid w:val="00EA3E6E"/>
    <w:rsid w:val="00EA4035"/>
    <w:rsid w:val="00EA4212"/>
    <w:rsid w:val="00EA5F8D"/>
    <w:rsid w:val="00EA5FA2"/>
    <w:rsid w:val="00EA6847"/>
    <w:rsid w:val="00EA6B80"/>
    <w:rsid w:val="00EA7283"/>
    <w:rsid w:val="00EA7931"/>
    <w:rsid w:val="00EB0532"/>
    <w:rsid w:val="00EB0D93"/>
    <w:rsid w:val="00EB113D"/>
    <w:rsid w:val="00EB139C"/>
    <w:rsid w:val="00EB149E"/>
    <w:rsid w:val="00EB1556"/>
    <w:rsid w:val="00EB182E"/>
    <w:rsid w:val="00EB1A6B"/>
    <w:rsid w:val="00EB1DE1"/>
    <w:rsid w:val="00EB2363"/>
    <w:rsid w:val="00EB241D"/>
    <w:rsid w:val="00EB257C"/>
    <w:rsid w:val="00EB27F4"/>
    <w:rsid w:val="00EB3668"/>
    <w:rsid w:val="00EB36C6"/>
    <w:rsid w:val="00EB36D3"/>
    <w:rsid w:val="00EB36E5"/>
    <w:rsid w:val="00EB44F6"/>
    <w:rsid w:val="00EB44FB"/>
    <w:rsid w:val="00EB464B"/>
    <w:rsid w:val="00EB493C"/>
    <w:rsid w:val="00EB589C"/>
    <w:rsid w:val="00EB5D3A"/>
    <w:rsid w:val="00EB6086"/>
    <w:rsid w:val="00EB67F2"/>
    <w:rsid w:val="00EB7067"/>
    <w:rsid w:val="00EB7AB5"/>
    <w:rsid w:val="00EB7BB4"/>
    <w:rsid w:val="00EC0949"/>
    <w:rsid w:val="00EC09FD"/>
    <w:rsid w:val="00EC0B4B"/>
    <w:rsid w:val="00EC113C"/>
    <w:rsid w:val="00EC1AD1"/>
    <w:rsid w:val="00EC2206"/>
    <w:rsid w:val="00EC2322"/>
    <w:rsid w:val="00EC2368"/>
    <w:rsid w:val="00EC28BE"/>
    <w:rsid w:val="00EC2FD0"/>
    <w:rsid w:val="00EC3329"/>
    <w:rsid w:val="00EC3359"/>
    <w:rsid w:val="00EC3B60"/>
    <w:rsid w:val="00EC40B9"/>
    <w:rsid w:val="00EC4331"/>
    <w:rsid w:val="00EC4464"/>
    <w:rsid w:val="00EC4951"/>
    <w:rsid w:val="00EC4A24"/>
    <w:rsid w:val="00EC4D2E"/>
    <w:rsid w:val="00EC4DE9"/>
    <w:rsid w:val="00EC4E92"/>
    <w:rsid w:val="00EC5101"/>
    <w:rsid w:val="00EC5741"/>
    <w:rsid w:val="00EC57D9"/>
    <w:rsid w:val="00EC5881"/>
    <w:rsid w:val="00EC5889"/>
    <w:rsid w:val="00EC6525"/>
    <w:rsid w:val="00EC661E"/>
    <w:rsid w:val="00EC6661"/>
    <w:rsid w:val="00EC6B2D"/>
    <w:rsid w:val="00EC6C45"/>
    <w:rsid w:val="00EC7224"/>
    <w:rsid w:val="00EC74A1"/>
    <w:rsid w:val="00EC782F"/>
    <w:rsid w:val="00EC7C4C"/>
    <w:rsid w:val="00EC7F96"/>
    <w:rsid w:val="00ED05DB"/>
    <w:rsid w:val="00ED066C"/>
    <w:rsid w:val="00ED087A"/>
    <w:rsid w:val="00ED0B90"/>
    <w:rsid w:val="00ED0F11"/>
    <w:rsid w:val="00ED13FE"/>
    <w:rsid w:val="00ED1509"/>
    <w:rsid w:val="00ED1D6C"/>
    <w:rsid w:val="00ED2194"/>
    <w:rsid w:val="00ED261B"/>
    <w:rsid w:val="00ED27DA"/>
    <w:rsid w:val="00ED2902"/>
    <w:rsid w:val="00ED30F0"/>
    <w:rsid w:val="00ED32D1"/>
    <w:rsid w:val="00ED3348"/>
    <w:rsid w:val="00ED394D"/>
    <w:rsid w:val="00ED4279"/>
    <w:rsid w:val="00ED4433"/>
    <w:rsid w:val="00ED468E"/>
    <w:rsid w:val="00ED487A"/>
    <w:rsid w:val="00ED4AE0"/>
    <w:rsid w:val="00ED4E5F"/>
    <w:rsid w:val="00ED4F41"/>
    <w:rsid w:val="00ED4FD4"/>
    <w:rsid w:val="00ED501C"/>
    <w:rsid w:val="00ED5704"/>
    <w:rsid w:val="00ED5A52"/>
    <w:rsid w:val="00ED5A9B"/>
    <w:rsid w:val="00ED5F59"/>
    <w:rsid w:val="00ED6013"/>
    <w:rsid w:val="00ED61B7"/>
    <w:rsid w:val="00ED671D"/>
    <w:rsid w:val="00ED675F"/>
    <w:rsid w:val="00ED745C"/>
    <w:rsid w:val="00ED751B"/>
    <w:rsid w:val="00ED7F29"/>
    <w:rsid w:val="00ED7FDE"/>
    <w:rsid w:val="00EE0675"/>
    <w:rsid w:val="00EE0835"/>
    <w:rsid w:val="00EE0A2F"/>
    <w:rsid w:val="00EE0B9A"/>
    <w:rsid w:val="00EE0E3F"/>
    <w:rsid w:val="00EE141B"/>
    <w:rsid w:val="00EE1B0E"/>
    <w:rsid w:val="00EE2288"/>
    <w:rsid w:val="00EE2587"/>
    <w:rsid w:val="00EE27E6"/>
    <w:rsid w:val="00EE2C7F"/>
    <w:rsid w:val="00EE2E11"/>
    <w:rsid w:val="00EE3162"/>
    <w:rsid w:val="00EE3284"/>
    <w:rsid w:val="00EE3C5F"/>
    <w:rsid w:val="00EE3EBA"/>
    <w:rsid w:val="00EE4563"/>
    <w:rsid w:val="00EE46E3"/>
    <w:rsid w:val="00EE49C6"/>
    <w:rsid w:val="00EE4CE7"/>
    <w:rsid w:val="00EE50CF"/>
    <w:rsid w:val="00EE54EC"/>
    <w:rsid w:val="00EE5509"/>
    <w:rsid w:val="00EE5552"/>
    <w:rsid w:val="00EE5784"/>
    <w:rsid w:val="00EE593E"/>
    <w:rsid w:val="00EE6682"/>
    <w:rsid w:val="00EE6751"/>
    <w:rsid w:val="00EE67DF"/>
    <w:rsid w:val="00EE6A02"/>
    <w:rsid w:val="00EE6A03"/>
    <w:rsid w:val="00EE717A"/>
    <w:rsid w:val="00EE7466"/>
    <w:rsid w:val="00EE7479"/>
    <w:rsid w:val="00EF00B1"/>
    <w:rsid w:val="00EF0997"/>
    <w:rsid w:val="00EF0A91"/>
    <w:rsid w:val="00EF102D"/>
    <w:rsid w:val="00EF1074"/>
    <w:rsid w:val="00EF1170"/>
    <w:rsid w:val="00EF172D"/>
    <w:rsid w:val="00EF1850"/>
    <w:rsid w:val="00EF194D"/>
    <w:rsid w:val="00EF1E14"/>
    <w:rsid w:val="00EF269A"/>
    <w:rsid w:val="00EF2D42"/>
    <w:rsid w:val="00EF2D6D"/>
    <w:rsid w:val="00EF2E82"/>
    <w:rsid w:val="00EF2F03"/>
    <w:rsid w:val="00EF309E"/>
    <w:rsid w:val="00EF392A"/>
    <w:rsid w:val="00EF392E"/>
    <w:rsid w:val="00EF3938"/>
    <w:rsid w:val="00EF39A5"/>
    <w:rsid w:val="00EF3C59"/>
    <w:rsid w:val="00EF3CA3"/>
    <w:rsid w:val="00EF3D4A"/>
    <w:rsid w:val="00EF41B7"/>
    <w:rsid w:val="00EF462D"/>
    <w:rsid w:val="00EF4909"/>
    <w:rsid w:val="00EF4922"/>
    <w:rsid w:val="00EF4D00"/>
    <w:rsid w:val="00EF4EF5"/>
    <w:rsid w:val="00EF5155"/>
    <w:rsid w:val="00EF5424"/>
    <w:rsid w:val="00EF599E"/>
    <w:rsid w:val="00EF5E9D"/>
    <w:rsid w:val="00EF5FB8"/>
    <w:rsid w:val="00EF60E8"/>
    <w:rsid w:val="00EF70FA"/>
    <w:rsid w:val="00EF76C9"/>
    <w:rsid w:val="00EF7C21"/>
    <w:rsid w:val="00F00514"/>
    <w:rsid w:val="00F009D0"/>
    <w:rsid w:val="00F00D99"/>
    <w:rsid w:val="00F00E94"/>
    <w:rsid w:val="00F00F1D"/>
    <w:rsid w:val="00F010A7"/>
    <w:rsid w:val="00F01331"/>
    <w:rsid w:val="00F01431"/>
    <w:rsid w:val="00F0147C"/>
    <w:rsid w:val="00F01B58"/>
    <w:rsid w:val="00F01B75"/>
    <w:rsid w:val="00F01D4A"/>
    <w:rsid w:val="00F02436"/>
    <w:rsid w:val="00F02693"/>
    <w:rsid w:val="00F0312A"/>
    <w:rsid w:val="00F034B4"/>
    <w:rsid w:val="00F034DE"/>
    <w:rsid w:val="00F0377F"/>
    <w:rsid w:val="00F03890"/>
    <w:rsid w:val="00F038A5"/>
    <w:rsid w:val="00F038DB"/>
    <w:rsid w:val="00F03B85"/>
    <w:rsid w:val="00F03BB3"/>
    <w:rsid w:val="00F045E9"/>
    <w:rsid w:val="00F04BD3"/>
    <w:rsid w:val="00F04F72"/>
    <w:rsid w:val="00F04FE6"/>
    <w:rsid w:val="00F056B8"/>
    <w:rsid w:val="00F05C82"/>
    <w:rsid w:val="00F060EF"/>
    <w:rsid w:val="00F062EE"/>
    <w:rsid w:val="00F0658E"/>
    <w:rsid w:val="00F06D2D"/>
    <w:rsid w:val="00F0712B"/>
    <w:rsid w:val="00F071CC"/>
    <w:rsid w:val="00F072FF"/>
    <w:rsid w:val="00F07994"/>
    <w:rsid w:val="00F079E8"/>
    <w:rsid w:val="00F07A91"/>
    <w:rsid w:val="00F07C1D"/>
    <w:rsid w:val="00F07E1B"/>
    <w:rsid w:val="00F07E74"/>
    <w:rsid w:val="00F101A5"/>
    <w:rsid w:val="00F102DA"/>
    <w:rsid w:val="00F10584"/>
    <w:rsid w:val="00F1058A"/>
    <w:rsid w:val="00F10595"/>
    <w:rsid w:val="00F108F1"/>
    <w:rsid w:val="00F109B3"/>
    <w:rsid w:val="00F109BF"/>
    <w:rsid w:val="00F10BD2"/>
    <w:rsid w:val="00F10C66"/>
    <w:rsid w:val="00F10D16"/>
    <w:rsid w:val="00F10E32"/>
    <w:rsid w:val="00F110BC"/>
    <w:rsid w:val="00F11837"/>
    <w:rsid w:val="00F12085"/>
    <w:rsid w:val="00F1208E"/>
    <w:rsid w:val="00F124AF"/>
    <w:rsid w:val="00F12975"/>
    <w:rsid w:val="00F12D81"/>
    <w:rsid w:val="00F12DCA"/>
    <w:rsid w:val="00F13AE6"/>
    <w:rsid w:val="00F14446"/>
    <w:rsid w:val="00F14B52"/>
    <w:rsid w:val="00F1519E"/>
    <w:rsid w:val="00F158CA"/>
    <w:rsid w:val="00F158F6"/>
    <w:rsid w:val="00F15949"/>
    <w:rsid w:val="00F16004"/>
    <w:rsid w:val="00F170FF"/>
    <w:rsid w:val="00F17203"/>
    <w:rsid w:val="00F1728D"/>
    <w:rsid w:val="00F1733F"/>
    <w:rsid w:val="00F175D2"/>
    <w:rsid w:val="00F20230"/>
    <w:rsid w:val="00F203A3"/>
    <w:rsid w:val="00F20444"/>
    <w:rsid w:val="00F20670"/>
    <w:rsid w:val="00F20E6A"/>
    <w:rsid w:val="00F21182"/>
    <w:rsid w:val="00F2122B"/>
    <w:rsid w:val="00F21D21"/>
    <w:rsid w:val="00F21F56"/>
    <w:rsid w:val="00F22048"/>
    <w:rsid w:val="00F2237A"/>
    <w:rsid w:val="00F2267E"/>
    <w:rsid w:val="00F2271F"/>
    <w:rsid w:val="00F22887"/>
    <w:rsid w:val="00F228D1"/>
    <w:rsid w:val="00F22C07"/>
    <w:rsid w:val="00F23577"/>
    <w:rsid w:val="00F235EF"/>
    <w:rsid w:val="00F23BE0"/>
    <w:rsid w:val="00F24003"/>
    <w:rsid w:val="00F24F4A"/>
    <w:rsid w:val="00F251D2"/>
    <w:rsid w:val="00F254B5"/>
    <w:rsid w:val="00F2564D"/>
    <w:rsid w:val="00F25D2B"/>
    <w:rsid w:val="00F25EDB"/>
    <w:rsid w:val="00F2625A"/>
    <w:rsid w:val="00F26E6E"/>
    <w:rsid w:val="00F26EC8"/>
    <w:rsid w:val="00F278BC"/>
    <w:rsid w:val="00F27DD2"/>
    <w:rsid w:val="00F300C7"/>
    <w:rsid w:val="00F3077C"/>
    <w:rsid w:val="00F30AE9"/>
    <w:rsid w:val="00F30EB0"/>
    <w:rsid w:val="00F317E0"/>
    <w:rsid w:val="00F318B9"/>
    <w:rsid w:val="00F326A2"/>
    <w:rsid w:val="00F32849"/>
    <w:rsid w:val="00F328A8"/>
    <w:rsid w:val="00F32A5A"/>
    <w:rsid w:val="00F333DE"/>
    <w:rsid w:val="00F33406"/>
    <w:rsid w:val="00F33428"/>
    <w:rsid w:val="00F33BFA"/>
    <w:rsid w:val="00F33D66"/>
    <w:rsid w:val="00F33D71"/>
    <w:rsid w:val="00F3401B"/>
    <w:rsid w:val="00F34436"/>
    <w:rsid w:val="00F34F44"/>
    <w:rsid w:val="00F34FE7"/>
    <w:rsid w:val="00F35496"/>
    <w:rsid w:val="00F35685"/>
    <w:rsid w:val="00F35C6F"/>
    <w:rsid w:val="00F35F62"/>
    <w:rsid w:val="00F36635"/>
    <w:rsid w:val="00F3670E"/>
    <w:rsid w:val="00F37060"/>
    <w:rsid w:val="00F37673"/>
    <w:rsid w:val="00F37693"/>
    <w:rsid w:val="00F37701"/>
    <w:rsid w:val="00F37EC3"/>
    <w:rsid w:val="00F37F52"/>
    <w:rsid w:val="00F407AA"/>
    <w:rsid w:val="00F40AED"/>
    <w:rsid w:val="00F40C84"/>
    <w:rsid w:val="00F40D83"/>
    <w:rsid w:val="00F40F35"/>
    <w:rsid w:val="00F412A4"/>
    <w:rsid w:val="00F4134A"/>
    <w:rsid w:val="00F416B5"/>
    <w:rsid w:val="00F41DA3"/>
    <w:rsid w:val="00F42192"/>
    <w:rsid w:val="00F424AC"/>
    <w:rsid w:val="00F424E5"/>
    <w:rsid w:val="00F4259E"/>
    <w:rsid w:val="00F425EF"/>
    <w:rsid w:val="00F42829"/>
    <w:rsid w:val="00F429D5"/>
    <w:rsid w:val="00F43198"/>
    <w:rsid w:val="00F43365"/>
    <w:rsid w:val="00F43885"/>
    <w:rsid w:val="00F43DF6"/>
    <w:rsid w:val="00F43E15"/>
    <w:rsid w:val="00F43F09"/>
    <w:rsid w:val="00F43FA4"/>
    <w:rsid w:val="00F44001"/>
    <w:rsid w:val="00F444E2"/>
    <w:rsid w:val="00F44615"/>
    <w:rsid w:val="00F44768"/>
    <w:rsid w:val="00F45045"/>
    <w:rsid w:val="00F452F9"/>
    <w:rsid w:val="00F456CE"/>
    <w:rsid w:val="00F45A7E"/>
    <w:rsid w:val="00F45EC6"/>
    <w:rsid w:val="00F46145"/>
    <w:rsid w:val="00F4657A"/>
    <w:rsid w:val="00F467A2"/>
    <w:rsid w:val="00F46E88"/>
    <w:rsid w:val="00F472E4"/>
    <w:rsid w:val="00F47300"/>
    <w:rsid w:val="00F473D8"/>
    <w:rsid w:val="00F47CF7"/>
    <w:rsid w:val="00F5002E"/>
    <w:rsid w:val="00F508E2"/>
    <w:rsid w:val="00F50C1A"/>
    <w:rsid w:val="00F50FCE"/>
    <w:rsid w:val="00F5114B"/>
    <w:rsid w:val="00F5199B"/>
    <w:rsid w:val="00F51B17"/>
    <w:rsid w:val="00F51CE0"/>
    <w:rsid w:val="00F52013"/>
    <w:rsid w:val="00F522C9"/>
    <w:rsid w:val="00F525AD"/>
    <w:rsid w:val="00F52A68"/>
    <w:rsid w:val="00F52B30"/>
    <w:rsid w:val="00F52B74"/>
    <w:rsid w:val="00F52DC7"/>
    <w:rsid w:val="00F52E0F"/>
    <w:rsid w:val="00F53470"/>
    <w:rsid w:val="00F534B5"/>
    <w:rsid w:val="00F53829"/>
    <w:rsid w:val="00F54345"/>
    <w:rsid w:val="00F54572"/>
    <w:rsid w:val="00F553C3"/>
    <w:rsid w:val="00F55646"/>
    <w:rsid w:val="00F55B70"/>
    <w:rsid w:val="00F55BB9"/>
    <w:rsid w:val="00F55BED"/>
    <w:rsid w:val="00F56008"/>
    <w:rsid w:val="00F5606E"/>
    <w:rsid w:val="00F56197"/>
    <w:rsid w:val="00F5667E"/>
    <w:rsid w:val="00F566BC"/>
    <w:rsid w:val="00F5675C"/>
    <w:rsid w:val="00F569C0"/>
    <w:rsid w:val="00F56D42"/>
    <w:rsid w:val="00F57C3A"/>
    <w:rsid w:val="00F57E8C"/>
    <w:rsid w:val="00F60422"/>
    <w:rsid w:val="00F61042"/>
    <w:rsid w:val="00F61102"/>
    <w:rsid w:val="00F6156C"/>
    <w:rsid w:val="00F6157B"/>
    <w:rsid w:val="00F615BC"/>
    <w:rsid w:val="00F61AD5"/>
    <w:rsid w:val="00F61FF7"/>
    <w:rsid w:val="00F628D6"/>
    <w:rsid w:val="00F62C1B"/>
    <w:rsid w:val="00F632BB"/>
    <w:rsid w:val="00F63589"/>
    <w:rsid w:val="00F63813"/>
    <w:rsid w:val="00F6386B"/>
    <w:rsid w:val="00F6432B"/>
    <w:rsid w:val="00F6458B"/>
    <w:rsid w:val="00F647E6"/>
    <w:rsid w:val="00F648CD"/>
    <w:rsid w:val="00F64B93"/>
    <w:rsid w:val="00F65D9A"/>
    <w:rsid w:val="00F660E2"/>
    <w:rsid w:val="00F664D8"/>
    <w:rsid w:val="00F672FA"/>
    <w:rsid w:val="00F673BC"/>
    <w:rsid w:val="00F6782B"/>
    <w:rsid w:val="00F6795C"/>
    <w:rsid w:val="00F67DF3"/>
    <w:rsid w:val="00F7089D"/>
    <w:rsid w:val="00F708C1"/>
    <w:rsid w:val="00F70B90"/>
    <w:rsid w:val="00F70F47"/>
    <w:rsid w:val="00F71266"/>
    <w:rsid w:val="00F7139F"/>
    <w:rsid w:val="00F7143F"/>
    <w:rsid w:val="00F71476"/>
    <w:rsid w:val="00F714B1"/>
    <w:rsid w:val="00F71500"/>
    <w:rsid w:val="00F719D7"/>
    <w:rsid w:val="00F71A37"/>
    <w:rsid w:val="00F71C8F"/>
    <w:rsid w:val="00F722A9"/>
    <w:rsid w:val="00F72740"/>
    <w:rsid w:val="00F7316D"/>
    <w:rsid w:val="00F73341"/>
    <w:rsid w:val="00F73503"/>
    <w:rsid w:val="00F73663"/>
    <w:rsid w:val="00F738D8"/>
    <w:rsid w:val="00F742E8"/>
    <w:rsid w:val="00F74307"/>
    <w:rsid w:val="00F74813"/>
    <w:rsid w:val="00F74AE4"/>
    <w:rsid w:val="00F74E2D"/>
    <w:rsid w:val="00F74F2D"/>
    <w:rsid w:val="00F756E3"/>
    <w:rsid w:val="00F7574C"/>
    <w:rsid w:val="00F75B51"/>
    <w:rsid w:val="00F75B6A"/>
    <w:rsid w:val="00F75F49"/>
    <w:rsid w:val="00F76039"/>
    <w:rsid w:val="00F7639F"/>
    <w:rsid w:val="00F76427"/>
    <w:rsid w:val="00F766AF"/>
    <w:rsid w:val="00F76B13"/>
    <w:rsid w:val="00F76BD2"/>
    <w:rsid w:val="00F770D8"/>
    <w:rsid w:val="00F7736B"/>
    <w:rsid w:val="00F77B0D"/>
    <w:rsid w:val="00F81012"/>
    <w:rsid w:val="00F81A35"/>
    <w:rsid w:val="00F81E4D"/>
    <w:rsid w:val="00F81FD9"/>
    <w:rsid w:val="00F8244B"/>
    <w:rsid w:val="00F8263A"/>
    <w:rsid w:val="00F82DF6"/>
    <w:rsid w:val="00F83426"/>
    <w:rsid w:val="00F839AF"/>
    <w:rsid w:val="00F83BD7"/>
    <w:rsid w:val="00F84102"/>
    <w:rsid w:val="00F84840"/>
    <w:rsid w:val="00F85069"/>
    <w:rsid w:val="00F857C8"/>
    <w:rsid w:val="00F85835"/>
    <w:rsid w:val="00F85B5D"/>
    <w:rsid w:val="00F85CB6"/>
    <w:rsid w:val="00F85FF6"/>
    <w:rsid w:val="00F86383"/>
    <w:rsid w:val="00F866B0"/>
    <w:rsid w:val="00F8699C"/>
    <w:rsid w:val="00F86B16"/>
    <w:rsid w:val="00F86FDB"/>
    <w:rsid w:val="00F870A9"/>
    <w:rsid w:val="00F874D1"/>
    <w:rsid w:val="00F903FC"/>
    <w:rsid w:val="00F905E7"/>
    <w:rsid w:val="00F906EF"/>
    <w:rsid w:val="00F90A08"/>
    <w:rsid w:val="00F90E05"/>
    <w:rsid w:val="00F90F9D"/>
    <w:rsid w:val="00F9158D"/>
    <w:rsid w:val="00F915D7"/>
    <w:rsid w:val="00F918E8"/>
    <w:rsid w:val="00F9194C"/>
    <w:rsid w:val="00F91E57"/>
    <w:rsid w:val="00F929EA"/>
    <w:rsid w:val="00F92B3E"/>
    <w:rsid w:val="00F92F1F"/>
    <w:rsid w:val="00F93838"/>
    <w:rsid w:val="00F93AA1"/>
    <w:rsid w:val="00F93F98"/>
    <w:rsid w:val="00F94022"/>
    <w:rsid w:val="00F9479F"/>
    <w:rsid w:val="00F94CB5"/>
    <w:rsid w:val="00F9501D"/>
    <w:rsid w:val="00F951D9"/>
    <w:rsid w:val="00F956A5"/>
    <w:rsid w:val="00F95CA7"/>
    <w:rsid w:val="00F96442"/>
    <w:rsid w:val="00F964EB"/>
    <w:rsid w:val="00F96B22"/>
    <w:rsid w:val="00F96FB7"/>
    <w:rsid w:val="00F97455"/>
    <w:rsid w:val="00F97467"/>
    <w:rsid w:val="00F97646"/>
    <w:rsid w:val="00F97B86"/>
    <w:rsid w:val="00F97D62"/>
    <w:rsid w:val="00F97DC7"/>
    <w:rsid w:val="00FA0234"/>
    <w:rsid w:val="00FA02E3"/>
    <w:rsid w:val="00FA05E8"/>
    <w:rsid w:val="00FA0E21"/>
    <w:rsid w:val="00FA13BE"/>
    <w:rsid w:val="00FA1461"/>
    <w:rsid w:val="00FA1851"/>
    <w:rsid w:val="00FA1B04"/>
    <w:rsid w:val="00FA1DC0"/>
    <w:rsid w:val="00FA1DF8"/>
    <w:rsid w:val="00FA265D"/>
    <w:rsid w:val="00FA2A81"/>
    <w:rsid w:val="00FA2E94"/>
    <w:rsid w:val="00FA307F"/>
    <w:rsid w:val="00FA3173"/>
    <w:rsid w:val="00FA3197"/>
    <w:rsid w:val="00FA320D"/>
    <w:rsid w:val="00FA38B8"/>
    <w:rsid w:val="00FA4BA5"/>
    <w:rsid w:val="00FA4D7D"/>
    <w:rsid w:val="00FA4E0F"/>
    <w:rsid w:val="00FA4E87"/>
    <w:rsid w:val="00FA5065"/>
    <w:rsid w:val="00FA5069"/>
    <w:rsid w:val="00FA513C"/>
    <w:rsid w:val="00FA5B64"/>
    <w:rsid w:val="00FA5BDA"/>
    <w:rsid w:val="00FA5CF8"/>
    <w:rsid w:val="00FA5FC1"/>
    <w:rsid w:val="00FA60B1"/>
    <w:rsid w:val="00FA64F7"/>
    <w:rsid w:val="00FA6B86"/>
    <w:rsid w:val="00FA6BA2"/>
    <w:rsid w:val="00FA6EBB"/>
    <w:rsid w:val="00FA6F66"/>
    <w:rsid w:val="00FA7129"/>
    <w:rsid w:val="00FA7A99"/>
    <w:rsid w:val="00FA7C40"/>
    <w:rsid w:val="00FA7DC7"/>
    <w:rsid w:val="00FA7F0A"/>
    <w:rsid w:val="00FB0072"/>
    <w:rsid w:val="00FB055A"/>
    <w:rsid w:val="00FB075C"/>
    <w:rsid w:val="00FB0783"/>
    <w:rsid w:val="00FB0A4E"/>
    <w:rsid w:val="00FB0DA7"/>
    <w:rsid w:val="00FB1134"/>
    <w:rsid w:val="00FB12B1"/>
    <w:rsid w:val="00FB1399"/>
    <w:rsid w:val="00FB1C09"/>
    <w:rsid w:val="00FB1EFC"/>
    <w:rsid w:val="00FB27D8"/>
    <w:rsid w:val="00FB2A9E"/>
    <w:rsid w:val="00FB2DDC"/>
    <w:rsid w:val="00FB2F06"/>
    <w:rsid w:val="00FB315D"/>
    <w:rsid w:val="00FB342C"/>
    <w:rsid w:val="00FB3431"/>
    <w:rsid w:val="00FB384C"/>
    <w:rsid w:val="00FB3886"/>
    <w:rsid w:val="00FB4107"/>
    <w:rsid w:val="00FB4300"/>
    <w:rsid w:val="00FB438D"/>
    <w:rsid w:val="00FB4578"/>
    <w:rsid w:val="00FB46B9"/>
    <w:rsid w:val="00FB48FC"/>
    <w:rsid w:val="00FB492D"/>
    <w:rsid w:val="00FB4CFF"/>
    <w:rsid w:val="00FB4DC0"/>
    <w:rsid w:val="00FB5218"/>
    <w:rsid w:val="00FB5407"/>
    <w:rsid w:val="00FB5515"/>
    <w:rsid w:val="00FB61DF"/>
    <w:rsid w:val="00FB678D"/>
    <w:rsid w:val="00FB6B7C"/>
    <w:rsid w:val="00FB7076"/>
    <w:rsid w:val="00FB7218"/>
    <w:rsid w:val="00FB7391"/>
    <w:rsid w:val="00FB75EE"/>
    <w:rsid w:val="00FB780C"/>
    <w:rsid w:val="00FB7AFB"/>
    <w:rsid w:val="00FB7D57"/>
    <w:rsid w:val="00FC0652"/>
    <w:rsid w:val="00FC0717"/>
    <w:rsid w:val="00FC13DD"/>
    <w:rsid w:val="00FC1ABA"/>
    <w:rsid w:val="00FC1CD8"/>
    <w:rsid w:val="00FC1DB2"/>
    <w:rsid w:val="00FC1E71"/>
    <w:rsid w:val="00FC256D"/>
    <w:rsid w:val="00FC2906"/>
    <w:rsid w:val="00FC2C48"/>
    <w:rsid w:val="00FC2C8A"/>
    <w:rsid w:val="00FC2ED5"/>
    <w:rsid w:val="00FC3074"/>
    <w:rsid w:val="00FC37FA"/>
    <w:rsid w:val="00FC3A3C"/>
    <w:rsid w:val="00FC3AB8"/>
    <w:rsid w:val="00FC3D3B"/>
    <w:rsid w:val="00FC3E3B"/>
    <w:rsid w:val="00FC3F3F"/>
    <w:rsid w:val="00FC3F68"/>
    <w:rsid w:val="00FC4053"/>
    <w:rsid w:val="00FC415E"/>
    <w:rsid w:val="00FC4627"/>
    <w:rsid w:val="00FC4C91"/>
    <w:rsid w:val="00FC4D83"/>
    <w:rsid w:val="00FC4FA6"/>
    <w:rsid w:val="00FC5082"/>
    <w:rsid w:val="00FC5831"/>
    <w:rsid w:val="00FC5C01"/>
    <w:rsid w:val="00FC5C6E"/>
    <w:rsid w:val="00FC625A"/>
    <w:rsid w:val="00FC67AE"/>
    <w:rsid w:val="00FC6ACA"/>
    <w:rsid w:val="00FC6C9C"/>
    <w:rsid w:val="00FC6D71"/>
    <w:rsid w:val="00FC6FEE"/>
    <w:rsid w:val="00FC770B"/>
    <w:rsid w:val="00FD0093"/>
    <w:rsid w:val="00FD00B2"/>
    <w:rsid w:val="00FD034F"/>
    <w:rsid w:val="00FD0466"/>
    <w:rsid w:val="00FD04C7"/>
    <w:rsid w:val="00FD0639"/>
    <w:rsid w:val="00FD078A"/>
    <w:rsid w:val="00FD0938"/>
    <w:rsid w:val="00FD0CCB"/>
    <w:rsid w:val="00FD0F32"/>
    <w:rsid w:val="00FD0F66"/>
    <w:rsid w:val="00FD13B3"/>
    <w:rsid w:val="00FD1DF6"/>
    <w:rsid w:val="00FD2185"/>
    <w:rsid w:val="00FD23B8"/>
    <w:rsid w:val="00FD2488"/>
    <w:rsid w:val="00FD28A9"/>
    <w:rsid w:val="00FD2997"/>
    <w:rsid w:val="00FD2A5C"/>
    <w:rsid w:val="00FD2BB9"/>
    <w:rsid w:val="00FD2FFF"/>
    <w:rsid w:val="00FD342A"/>
    <w:rsid w:val="00FD34F2"/>
    <w:rsid w:val="00FD351D"/>
    <w:rsid w:val="00FD3A16"/>
    <w:rsid w:val="00FD3A53"/>
    <w:rsid w:val="00FD3C7F"/>
    <w:rsid w:val="00FD3F5D"/>
    <w:rsid w:val="00FD4D86"/>
    <w:rsid w:val="00FD4EFD"/>
    <w:rsid w:val="00FD532A"/>
    <w:rsid w:val="00FD538C"/>
    <w:rsid w:val="00FD5413"/>
    <w:rsid w:val="00FD551F"/>
    <w:rsid w:val="00FD5536"/>
    <w:rsid w:val="00FD5B04"/>
    <w:rsid w:val="00FD5BA6"/>
    <w:rsid w:val="00FD6349"/>
    <w:rsid w:val="00FD637F"/>
    <w:rsid w:val="00FD6401"/>
    <w:rsid w:val="00FD6EE5"/>
    <w:rsid w:val="00FD734E"/>
    <w:rsid w:val="00FD751A"/>
    <w:rsid w:val="00FD76A3"/>
    <w:rsid w:val="00FD7C1F"/>
    <w:rsid w:val="00FE01A9"/>
    <w:rsid w:val="00FE02D7"/>
    <w:rsid w:val="00FE0420"/>
    <w:rsid w:val="00FE05C9"/>
    <w:rsid w:val="00FE0769"/>
    <w:rsid w:val="00FE0DAE"/>
    <w:rsid w:val="00FE0FA6"/>
    <w:rsid w:val="00FE1153"/>
    <w:rsid w:val="00FE125B"/>
    <w:rsid w:val="00FE16F5"/>
    <w:rsid w:val="00FE1952"/>
    <w:rsid w:val="00FE1DA0"/>
    <w:rsid w:val="00FE21B9"/>
    <w:rsid w:val="00FE2252"/>
    <w:rsid w:val="00FE2A18"/>
    <w:rsid w:val="00FE2DC5"/>
    <w:rsid w:val="00FE35E8"/>
    <w:rsid w:val="00FE3BC3"/>
    <w:rsid w:val="00FE3BDA"/>
    <w:rsid w:val="00FE3F7F"/>
    <w:rsid w:val="00FE4383"/>
    <w:rsid w:val="00FE48B4"/>
    <w:rsid w:val="00FE5061"/>
    <w:rsid w:val="00FE5283"/>
    <w:rsid w:val="00FE5769"/>
    <w:rsid w:val="00FE5A05"/>
    <w:rsid w:val="00FE6B7B"/>
    <w:rsid w:val="00FE6CE9"/>
    <w:rsid w:val="00FF04AC"/>
    <w:rsid w:val="00FF0ADC"/>
    <w:rsid w:val="00FF1339"/>
    <w:rsid w:val="00FF16C1"/>
    <w:rsid w:val="00FF1A04"/>
    <w:rsid w:val="00FF1B87"/>
    <w:rsid w:val="00FF1D12"/>
    <w:rsid w:val="00FF2313"/>
    <w:rsid w:val="00FF2347"/>
    <w:rsid w:val="00FF25BF"/>
    <w:rsid w:val="00FF25F1"/>
    <w:rsid w:val="00FF2F49"/>
    <w:rsid w:val="00FF3103"/>
    <w:rsid w:val="00FF32F3"/>
    <w:rsid w:val="00FF35F2"/>
    <w:rsid w:val="00FF3954"/>
    <w:rsid w:val="00FF3E4E"/>
    <w:rsid w:val="00FF3FDF"/>
    <w:rsid w:val="00FF433F"/>
    <w:rsid w:val="00FF4482"/>
    <w:rsid w:val="00FF4757"/>
    <w:rsid w:val="00FF49BD"/>
    <w:rsid w:val="00FF4A00"/>
    <w:rsid w:val="00FF4D28"/>
    <w:rsid w:val="00FF58BA"/>
    <w:rsid w:val="00FF58EA"/>
    <w:rsid w:val="00FF5C5C"/>
    <w:rsid w:val="00FF5EF3"/>
    <w:rsid w:val="00FF6028"/>
    <w:rsid w:val="00FF61E0"/>
    <w:rsid w:val="00FF63A2"/>
    <w:rsid w:val="00FF6B98"/>
    <w:rsid w:val="00FF7424"/>
    <w:rsid w:val="00FF7654"/>
    <w:rsid w:val="00FF79B7"/>
    <w:rsid w:val="00FF7D91"/>
    <w:rsid w:val="0BDFE4C7"/>
    <w:rsid w:val="24303D79"/>
    <w:rsid w:val="2EBED1DF"/>
    <w:rsid w:val="37089F34"/>
    <w:rsid w:val="3E9241E4"/>
    <w:rsid w:val="46CF8C2C"/>
    <w:rsid w:val="476E7E2F"/>
    <w:rsid w:val="4CEFFA01"/>
    <w:rsid w:val="520B7A64"/>
    <w:rsid w:val="55CF11EF"/>
    <w:rsid w:val="55E6A5F6"/>
    <w:rsid w:val="5A9289D3"/>
    <w:rsid w:val="637DA8B4"/>
    <w:rsid w:val="69AEC024"/>
    <w:rsid w:val="6B5F13ED"/>
    <w:rsid w:val="6D992B63"/>
    <w:rsid w:val="7A6F7D65"/>
    <w:rsid w:val="7FFD55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1E1B60EA"/>
  <w14:defaultImageDpi w14:val="96"/>
  <w15:docId w15:val="{9EC30A5F-120E-429B-B956-9E237DFD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E17ADF"/>
  </w:style>
  <w:style w:type="paragraph" w:styleId="Heading1">
    <w:name w:val="heading 1"/>
    <w:basedOn w:val="STPR2Heading1"/>
    <w:next w:val="Normal"/>
    <w:link w:val="Heading1Char"/>
    <w:uiPriority w:val="9"/>
    <w:rsid w:val="00E17ADF"/>
    <w:pPr>
      <w:ind w:left="567" w:hanging="567"/>
      <w:outlineLvl w:val="0"/>
    </w:pPr>
    <w:rPr>
      <w:lang w:val="en-GB"/>
    </w:rPr>
  </w:style>
  <w:style w:type="paragraph" w:styleId="Heading2">
    <w:name w:val="heading 2"/>
    <w:basedOn w:val="STPR2Heading2"/>
    <w:next w:val="Normal"/>
    <w:link w:val="Heading2Char"/>
    <w:uiPriority w:val="9"/>
    <w:qFormat/>
    <w:rsid w:val="0033560A"/>
    <w:pPr>
      <w:ind w:left="567" w:hanging="567"/>
      <w:outlineLvl w:val="1"/>
    </w:pPr>
    <w:rPr>
      <w:color w:val="414144"/>
      <w:lang w:val="en-GB"/>
    </w:rPr>
  </w:style>
  <w:style w:type="paragraph" w:styleId="Heading3">
    <w:name w:val="heading 3"/>
    <w:basedOn w:val="STPR2Heading3"/>
    <w:next w:val="Normal"/>
    <w:link w:val="Heading3Char"/>
    <w:autoRedefine/>
    <w:uiPriority w:val="9"/>
    <w:qFormat/>
    <w:rsid w:val="00115E65"/>
    <w:pPr>
      <w:ind w:left="1224" w:hanging="504"/>
    </w:pPr>
  </w:style>
  <w:style w:type="paragraph" w:styleId="Heading4">
    <w:name w:val="heading 4"/>
    <w:basedOn w:val="Normal"/>
    <w:next w:val="Normal"/>
    <w:link w:val="Heading4Char"/>
    <w:qFormat/>
    <w:rsid w:val="000C6958"/>
    <w:pPr>
      <w:keepNext/>
      <w:keepLines/>
      <w:spacing w:before="240" w:after="120" w:line="240" w:lineRule="atLeast"/>
      <w:ind w:left="851" w:hanging="851"/>
      <w:outlineLvl w:val="3"/>
    </w:pPr>
    <w:rPr>
      <w:rFonts w:ascii="Arial" w:eastAsiaTheme="majorEastAsia" w:hAnsi="Arial" w:cstheme="majorBidi"/>
      <w:b/>
      <w:bCs/>
      <w:iCs/>
      <w:sz w:val="20"/>
      <w:szCs w:val="24"/>
      <w:lang w:eastAsia="en-US"/>
    </w:rPr>
  </w:style>
  <w:style w:type="paragraph" w:styleId="Heading5">
    <w:name w:val="heading 5"/>
    <w:basedOn w:val="Normal"/>
    <w:next w:val="Normal"/>
    <w:link w:val="Heading5Char"/>
    <w:rsid w:val="000C6958"/>
    <w:pPr>
      <w:keepNext/>
      <w:keepLines/>
      <w:spacing w:before="240" w:after="120" w:line="240" w:lineRule="atLeast"/>
      <w:ind w:left="851" w:hanging="851"/>
      <w:outlineLvl w:val="4"/>
    </w:pPr>
    <w:rPr>
      <w:rFonts w:ascii="Arial" w:eastAsiaTheme="majorEastAsia" w:hAnsi="Arial" w:cstheme="majorBidi"/>
      <w:b/>
      <w:sz w:val="20"/>
      <w:szCs w:val="24"/>
      <w:lang w:eastAsia="en-US"/>
    </w:rPr>
  </w:style>
  <w:style w:type="paragraph" w:styleId="Heading6">
    <w:name w:val="heading 6"/>
    <w:basedOn w:val="Normal"/>
    <w:next w:val="Normal"/>
    <w:link w:val="Heading6Char"/>
    <w:rsid w:val="000C6958"/>
    <w:pPr>
      <w:keepNext/>
      <w:keepLines/>
      <w:spacing w:before="240" w:after="120" w:line="240" w:lineRule="atLeast"/>
      <w:ind w:left="851" w:hanging="851"/>
      <w:outlineLvl w:val="5"/>
    </w:pPr>
    <w:rPr>
      <w:rFonts w:ascii="Arial" w:eastAsiaTheme="majorEastAsia" w:hAnsi="Arial" w:cstheme="majorBidi"/>
      <w:b/>
      <w:iCs/>
      <w:sz w:val="20"/>
      <w:szCs w:val="24"/>
      <w:lang w:eastAsia="en-US"/>
    </w:rPr>
  </w:style>
  <w:style w:type="paragraph" w:styleId="Heading7">
    <w:name w:val="heading 7"/>
    <w:basedOn w:val="Normal"/>
    <w:next w:val="Normal"/>
    <w:link w:val="Heading7Char"/>
    <w:rsid w:val="000C6958"/>
    <w:pPr>
      <w:spacing w:before="240" w:after="120" w:line="360" w:lineRule="exact"/>
      <w:ind w:left="851" w:hanging="851"/>
      <w:outlineLvl w:val="6"/>
    </w:pPr>
    <w:rPr>
      <w:rFonts w:ascii="Arial" w:hAnsi="Arial"/>
      <w:b/>
      <w:color w:val="00338D"/>
      <w:sz w:val="20"/>
      <w:szCs w:val="24"/>
      <w:lang w:eastAsia="en-US"/>
    </w:rPr>
  </w:style>
  <w:style w:type="paragraph" w:styleId="Heading8">
    <w:name w:val="heading 8"/>
    <w:basedOn w:val="Heading2"/>
    <w:next w:val="Normal"/>
    <w:link w:val="Heading8Char"/>
    <w:qFormat/>
    <w:rsid w:val="000C6958"/>
    <w:pPr>
      <w:keepNext/>
      <w:keepLines/>
      <w:widowControl/>
      <w:numPr>
        <w:ilvl w:val="0"/>
        <w:numId w:val="0"/>
      </w:numPr>
      <w:suppressAutoHyphens w:val="0"/>
      <w:autoSpaceDE/>
      <w:autoSpaceDN/>
      <w:adjustRightInd/>
      <w:spacing w:before="240" w:after="120" w:line="240" w:lineRule="atLeast"/>
      <w:ind w:left="851" w:hanging="851"/>
      <w:textAlignment w:val="auto"/>
      <w:outlineLvl w:val="7"/>
    </w:pPr>
    <w:rPr>
      <w:rFonts w:eastAsiaTheme="majorEastAsia" w:cstheme="majorBidi"/>
      <w:color w:val="00338D"/>
      <w:sz w:val="24"/>
      <w:szCs w:val="26"/>
      <w:lang w:eastAsia="en-US"/>
    </w:rPr>
  </w:style>
  <w:style w:type="paragraph" w:styleId="Heading9">
    <w:name w:val="heading 9"/>
    <w:basedOn w:val="Normal"/>
    <w:next w:val="Normal"/>
    <w:link w:val="Heading9Char"/>
    <w:uiPriority w:val="9"/>
    <w:semiHidden/>
    <w:unhideWhenUsed/>
    <w:qFormat/>
    <w:rsid w:val="000C69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24"/>
    <w:rsid w:val="00E17ADF"/>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link w:val="STPR2BodyTextChar"/>
    <w:autoRedefine/>
    <w:qFormat/>
    <w:rsid w:val="00D93256"/>
    <w:pPr>
      <w:suppressAutoHyphens/>
      <w:spacing w:before="120" w:after="160" w:line="240" w:lineRule="auto"/>
    </w:pPr>
    <w:rPr>
      <w:rFonts w:ascii="Arial" w:hAnsi="Arial" w:cs="Arial"/>
      <w:szCs w:val="22"/>
      <w:lang w:val="en-GB"/>
    </w:rPr>
  </w:style>
  <w:style w:type="paragraph" w:customStyle="1" w:styleId="STPR2BodyBold">
    <w:name w:val="STPR2_Body Bold"/>
    <w:basedOn w:val="STPR2BodyText"/>
    <w:uiPriority w:val="1"/>
    <w:rsid w:val="00E17ADF"/>
    <w:rPr>
      <w:b/>
      <w:bCs/>
    </w:rPr>
  </w:style>
  <w:style w:type="paragraph" w:customStyle="1" w:styleId="STPR2BodyItalics">
    <w:name w:val="STPR2_Body Italics"/>
    <w:basedOn w:val="STPR2BodyText"/>
    <w:uiPriority w:val="2"/>
    <w:rsid w:val="00E17ADF"/>
    <w:rPr>
      <w:i/>
      <w:iCs/>
    </w:rPr>
  </w:style>
  <w:style w:type="paragraph" w:customStyle="1" w:styleId="STPR2BodyItalicsBold">
    <w:name w:val="STPR2_Body Italics Bold"/>
    <w:basedOn w:val="STPR2BodyItalics"/>
    <w:uiPriority w:val="3"/>
    <w:rsid w:val="00E17ADF"/>
    <w:rPr>
      <w:b/>
      <w:bCs/>
    </w:rPr>
  </w:style>
  <w:style w:type="paragraph" w:customStyle="1" w:styleId="STPR2Heading1">
    <w:name w:val="STPR2_Heading 1"/>
    <w:basedOn w:val="NoParagraphStyle"/>
    <w:link w:val="STPR2Heading1Char"/>
    <w:uiPriority w:val="4"/>
    <w:qFormat/>
    <w:rsid w:val="00E17ADF"/>
    <w:pPr>
      <w:numPr>
        <w:numId w:val="17"/>
      </w:num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link w:val="STPR2Heading2Char"/>
    <w:uiPriority w:val="5"/>
    <w:qFormat/>
    <w:rsid w:val="00E17ADF"/>
    <w:pPr>
      <w:numPr>
        <w:ilvl w:val="1"/>
      </w:numPr>
      <w:spacing w:after="160"/>
    </w:pPr>
    <w:rPr>
      <w:color w:val="626266"/>
      <w:sz w:val="28"/>
      <w:szCs w:val="28"/>
    </w:rPr>
  </w:style>
  <w:style w:type="paragraph" w:customStyle="1" w:styleId="STPR2Heading3">
    <w:name w:val="STPR2_Heading 3"/>
    <w:basedOn w:val="Normal"/>
    <w:autoRedefine/>
    <w:uiPriority w:val="6"/>
    <w:rsid w:val="00115E65"/>
    <w:pPr>
      <w:widowControl w:val="0"/>
      <w:numPr>
        <w:ilvl w:val="2"/>
        <w:numId w:val="17"/>
      </w:numPr>
      <w:suppressAutoHyphens/>
      <w:autoSpaceDE w:val="0"/>
      <w:autoSpaceDN w:val="0"/>
      <w:adjustRightInd w:val="0"/>
      <w:spacing w:after="60" w:line="240" w:lineRule="auto"/>
      <w:ind w:left="851" w:hanging="851"/>
      <w:textAlignment w:val="center"/>
      <w:outlineLvl w:val="2"/>
    </w:pPr>
    <w:rPr>
      <w:rFonts w:ascii="Arial" w:hAnsi="Arial" w:cs="Arial"/>
      <w:b/>
      <w:bCs/>
      <w:i/>
      <w:color w:val="626266"/>
      <w:sz w:val="24"/>
      <w:szCs w:val="20"/>
    </w:rPr>
  </w:style>
  <w:style w:type="paragraph" w:customStyle="1" w:styleId="STPR2BulletsLevel1">
    <w:name w:val="STPR2_Bullets Level 1"/>
    <w:basedOn w:val="STPR2BodyText"/>
    <w:uiPriority w:val="7"/>
    <w:qFormat/>
    <w:rsid w:val="00E17ADF"/>
    <w:pPr>
      <w:numPr>
        <w:numId w:val="11"/>
      </w:numPr>
      <w:contextualSpacing/>
    </w:pPr>
  </w:style>
  <w:style w:type="paragraph" w:customStyle="1" w:styleId="STPR2BulletsLevel2">
    <w:name w:val="STPR2_Bullets Level 2"/>
    <w:basedOn w:val="STPR2BulletsLevel1"/>
    <w:uiPriority w:val="7"/>
    <w:rsid w:val="006D1943"/>
    <w:pPr>
      <w:numPr>
        <w:numId w:val="12"/>
      </w:numPr>
      <w:ind w:left="720"/>
    </w:pPr>
    <w:rPr>
      <w:rFonts w:cs="Jacobs Chronos"/>
    </w:rPr>
  </w:style>
  <w:style w:type="paragraph" w:customStyle="1" w:styleId="STPR2NumberList">
    <w:name w:val="STPR2_Number List"/>
    <w:basedOn w:val="STPR2BodyText"/>
    <w:uiPriority w:val="9"/>
    <w:rsid w:val="00E17ADF"/>
    <w:pPr>
      <w:numPr>
        <w:numId w:val="14"/>
      </w:numPr>
      <w:contextualSpacing/>
    </w:pPr>
  </w:style>
  <w:style w:type="paragraph" w:customStyle="1" w:styleId="STPR2LetterList">
    <w:name w:val="STPR2_Letter List"/>
    <w:basedOn w:val="STPR2BodyText"/>
    <w:uiPriority w:val="10"/>
    <w:rsid w:val="00E17ADF"/>
    <w:pPr>
      <w:numPr>
        <w:numId w:val="13"/>
      </w:numPr>
      <w:tabs>
        <w:tab w:val="left" w:pos="283"/>
      </w:tabs>
      <w:contextualSpacing/>
    </w:pPr>
  </w:style>
  <w:style w:type="paragraph" w:customStyle="1" w:styleId="STPR2TableBody">
    <w:name w:val="STPR2_Table Body"/>
    <w:basedOn w:val="STPR2BodyText"/>
    <w:uiPriority w:val="11"/>
    <w:rsid w:val="00E17ADF"/>
    <w:pPr>
      <w:spacing w:before="80" w:after="80"/>
    </w:pPr>
    <w:rPr>
      <w:szCs w:val="18"/>
    </w:rPr>
  </w:style>
  <w:style w:type="paragraph" w:customStyle="1" w:styleId="STPR2TableHeading">
    <w:name w:val="STPR2_Table Heading"/>
    <w:basedOn w:val="STPR2TableBody"/>
    <w:uiPriority w:val="12"/>
    <w:rsid w:val="00E17ADF"/>
    <w:rPr>
      <w:b/>
      <w:bCs/>
      <w:caps/>
      <w:color w:val="000000" w:themeColor="text1"/>
    </w:rPr>
  </w:style>
  <w:style w:type="paragraph" w:customStyle="1" w:styleId="STPR2TableBullets">
    <w:name w:val="STPR2_Table Bullets"/>
    <w:basedOn w:val="STPR2TableBody"/>
    <w:uiPriority w:val="13"/>
    <w:rsid w:val="000C5C26"/>
    <w:pPr>
      <w:numPr>
        <w:numId w:val="15"/>
      </w:numPr>
      <w:spacing w:before="20" w:after="20" w:line="216" w:lineRule="auto"/>
      <w:ind w:left="360"/>
      <w:contextualSpacing/>
    </w:pPr>
    <w:rPr>
      <w:rFonts w:cs="Jacobs Chronos"/>
    </w:rPr>
  </w:style>
  <w:style w:type="paragraph" w:customStyle="1" w:styleId="STPR2TableNumberList">
    <w:name w:val="STPR2_Table Number List"/>
    <w:basedOn w:val="STPR2TableBullets"/>
    <w:uiPriority w:val="14"/>
    <w:rsid w:val="00E17ADF"/>
    <w:pPr>
      <w:numPr>
        <w:numId w:val="16"/>
      </w:numPr>
    </w:pPr>
  </w:style>
  <w:style w:type="paragraph" w:customStyle="1" w:styleId="STPR2BodyCentred">
    <w:name w:val="STPR2_Body Centred"/>
    <w:basedOn w:val="STPR2BodyText"/>
    <w:uiPriority w:val="16"/>
    <w:rsid w:val="00E17ADF"/>
    <w:pPr>
      <w:jc w:val="center"/>
    </w:pPr>
  </w:style>
  <w:style w:type="paragraph" w:customStyle="1" w:styleId="STPR2BodyCentredBold">
    <w:name w:val="STPR2_Body Centred Bold"/>
    <w:basedOn w:val="STPR2BodyCentred"/>
    <w:uiPriority w:val="17"/>
    <w:rsid w:val="00E17ADF"/>
    <w:rPr>
      <w:b/>
      <w:bCs/>
    </w:rPr>
  </w:style>
  <w:style w:type="paragraph" w:customStyle="1" w:styleId="STPR2BodyCentredItalic">
    <w:name w:val="STPR2_Body Centred Italic"/>
    <w:basedOn w:val="STPR2BodyText"/>
    <w:uiPriority w:val="18"/>
    <w:rsid w:val="00E17ADF"/>
    <w:pPr>
      <w:jc w:val="center"/>
    </w:pPr>
    <w:rPr>
      <w:i/>
      <w:iCs/>
    </w:rPr>
  </w:style>
  <w:style w:type="paragraph" w:customStyle="1" w:styleId="STPR2Caption">
    <w:name w:val="STPR2_Caption"/>
    <w:basedOn w:val="STPR2BodyText"/>
    <w:uiPriority w:val="19"/>
    <w:rsid w:val="00E17ADF"/>
    <w:rPr>
      <w:i/>
      <w:iCs/>
      <w:szCs w:val="16"/>
    </w:rPr>
  </w:style>
  <w:style w:type="paragraph" w:customStyle="1" w:styleId="STPR2Footnote">
    <w:name w:val="STPR2_Footnote"/>
    <w:basedOn w:val="STPR2BodyText"/>
    <w:uiPriority w:val="20"/>
    <w:rsid w:val="00E17ADF"/>
    <w:pPr>
      <w:spacing w:line="200" w:lineRule="atLeast"/>
    </w:pPr>
    <w:rPr>
      <w:sz w:val="16"/>
      <w:szCs w:val="16"/>
    </w:rPr>
  </w:style>
  <w:style w:type="paragraph" w:customStyle="1" w:styleId="STPR2Title1">
    <w:name w:val="STPR2_Title 1"/>
    <w:basedOn w:val="NoParagraphStyle"/>
    <w:autoRedefine/>
    <w:uiPriority w:val="21"/>
    <w:rsid w:val="00E17ADF"/>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E17ADF"/>
    <w:pPr>
      <w:spacing w:after="360" w:line="240" w:lineRule="auto"/>
    </w:pPr>
    <w:rPr>
      <w:color w:val="626266"/>
      <w:szCs w:val="36"/>
    </w:rPr>
  </w:style>
  <w:style w:type="paragraph" w:styleId="NormalWeb">
    <w:name w:val="Normal (Web)"/>
    <w:basedOn w:val="Normal"/>
    <w:uiPriority w:val="99"/>
    <w:unhideWhenUsed/>
    <w:rsid w:val="00E17AD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17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ADF"/>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E17ADF"/>
    <w:rPr>
      <w:rFonts w:ascii="Arial" w:hAnsi="Arial" w:cs="Arial"/>
      <w:b/>
      <w:color w:val="626266"/>
      <w:sz w:val="18"/>
      <w:szCs w:val="18"/>
    </w:rPr>
  </w:style>
  <w:style w:type="paragraph" w:styleId="Footer">
    <w:name w:val="footer"/>
    <w:basedOn w:val="Normal"/>
    <w:link w:val="FooterChar"/>
    <w:autoRedefine/>
    <w:uiPriority w:val="99"/>
    <w:unhideWhenUsed/>
    <w:rsid w:val="00E17ADF"/>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E17ADF"/>
    <w:rPr>
      <w:rFonts w:ascii="Arial" w:hAnsi="Arial" w:cs="Arial"/>
      <w:color w:val="626266"/>
      <w:sz w:val="18"/>
      <w:szCs w:val="18"/>
    </w:rPr>
  </w:style>
  <w:style w:type="table" w:styleId="GridTable1Light">
    <w:name w:val="Grid Table 1 Light"/>
    <w:basedOn w:val="TableNormal"/>
    <w:uiPriority w:val="46"/>
    <w:rsid w:val="00E17A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17ADF"/>
    <w:rPr>
      <w:rFonts w:ascii="Arial" w:hAnsi="Arial" w:cs="Arial"/>
      <w:b/>
      <w:bCs/>
      <w:color w:val="B06900"/>
      <w:sz w:val="36"/>
      <w:szCs w:val="36"/>
    </w:rPr>
  </w:style>
  <w:style w:type="paragraph" w:styleId="TOCHeading">
    <w:name w:val="TOC Heading"/>
    <w:basedOn w:val="Heading1"/>
    <w:next w:val="Normal"/>
    <w:uiPriority w:val="39"/>
    <w:unhideWhenUsed/>
    <w:qFormat/>
    <w:rsid w:val="00E17ADF"/>
    <w:pPr>
      <w:outlineLvl w:val="9"/>
    </w:pPr>
    <w:rPr>
      <w:b w:val="0"/>
      <w:color w:val="7E4B00"/>
      <w:lang w:val="en-US" w:eastAsia="en-US"/>
    </w:rPr>
  </w:style>
  <w:style w:type="character" w:customStyle="1" w:styleId="Heading2Char">
    <w:name w:val="Heading 2 Char"/>
    <w:basedOn w:val="DefaultParagraphFont"/>
    <w:link w:val="Heading2"/>
    <w:uiPriority w:val="9"/>
    <w:rsid w:val="00573D94"/>
    <w:rPr>
      <w:rFonts w:ascii="Arial" w:hAnsi="Arial" w:cs="Arial"/>
      <w:b/>
      <w:bCs/>
      <w:color w:val="414144"/>
      <w:sz w:val="28"/>
      <w:szCs w:val="28"/>
    </w:rPr>
  </w:style>
  <w:style w:type="character" w:customStyle="1" w:styleId="Heading3Char">
    <w:name w:val="Heading 3 Char"/>
    <w:basedOn w:val="DefaultParagraphFont"/>
    <w:link w:val="Heading3"/>
    <w:uiPriority w:val="9"/>
    <w:rsid w:val="00E17ADF"/>
    <w:rPr>
      <w:rFonts w:ascii="Arial" w:hAnsi="Arial" w:cs="Arial"/>
      <w:b/>
      <w:bCs/>
      <w:i/>
      <w:color w:val="626266"/>
      <w:sz w:val="24"/>
      <w:szCs w:val="20"/>
    </w:rPr>
  </w:style>
  <w:style w:type="paragraph" w:styleId="TOC1">
    <w:name w:val="toc 1"/>
    <w:basedOn w:val="Normal"/>
    <w:next w:val="Normal"/>
    <w:autoRedefine/>
    <w:uiPriority w:val="39"/>
    <w:unhideWhenUsed/>
    <w:rsid w:val="006D1943"/>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573D94"/>
    <w:pPr>
      <w:tabs>
        <w:tab w:val="left" w:pos="1320"/>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6D1943"/>
    <w:pPr>
      <w:tabs>
        <w:tab w:val="right" w:leader="dot" w:pos="9628"/>
      </w:tabs>
      <w:spacing w:after="100"/>
      <w:ind w:left="1134" w:hanging="567"/>
      <w:contextualSpacing/>
    </w:pPr>
    <w:rPr>
      <w:rFonts w:ascii="Arial" w:hAnsi="Arial" w:cs="Arial"/>
      <w:i/>
      <w:noProof/>
      <w:color w:val="626266"/>
      <w:sz w:val="24"/>
      <w:szCs w:val="20"/>
    </w:rPr>
  </w:style>
  <w:style w:type="character" w:styleId="Hyperlink">
    <w:name w:val="Hyperlink"/>
    <w:basedOn w:val="DefaultParagraphFont"/>
    <w:uiPriority w:val="99"/>
    <w:unhideWhenUsed/>
    <w:rsid w:val="00E17ADF"/>
    <w:rPr>
      <w:color w:val="0563C1" w:themeColor="hyperlink"/>
      <w:u w:val="single"/>
    </w:rPr>
  </w:style>
  <w:style w:type="paragraph" w:customStyle="1" w:styleId="STPR2Heading1Nonumbering">
    <w:name w:val="STPR2_Heading 1_No numbering"/>
    <w:basedOn w:val="STPR2Heading1"/>
    <w:uiPriority w:val="23"/>
    <w:qFormat/>
    <w:rsid w:val="00E17ADF"/>
    <w:pPr>
      <w:numPr>
        <w:numId w:val="0"/>
      </w:numPr>
    </w:pPr>
  </w:style>
  <w:style w:type="paragraph" w:customStyle="1" w:styleId="AppendicesHeading">
    <w:name w:val="Appendices Heading"/>
    <w:basedOn w:val="STPR2Heading1Nonumbering"/>
    <w:autoRedefine/>
    <w:uiPriority w:val="23"/>
    <w:qFormat/>
    <w:rsid w:val="00E17ADF"/>
  </w:style>
  <w:style w:type="paragraph" w:customStyle="1" w:styleId="STPR2AppendicesHeading2">
    <w:name w:val="STPR2_Appendices_Heading 2"/>
    <w:basedOn w:val="STPR2Heading2"/>
    <w:autoRedefine/>
    <w:uiPriority w:val="23"/>
    <w:qFormat/>
    <w:rsid w:val="00E17ADF"/>
    <w:pPr>
      <w:numPr>
        <w:ilvl w:val="0"/>
        <w:numId w:val="0"/>
      </w:numPr>
      <w:ind w:left="567" w:hanging="567"/>
    </w:pPr>
  </w:style>
  <w:style w:type="paragraph" w:customStyle="1" w:styleId="STPR2Title3">
    <w:name w:val="STPR2_Title 3"/>
    <w:basedOn w:val="STPR2Title1"/>
    <w:autoRedefine/>
    <w:uiPriority w:val="23"/>
    <w:qFormat/>
    <w:rsid w:val="00E17ADF"/>
    <w:pPr>
      <w:spacing w:after="0" w:line="240" w:lineRule="auto"/>
    </w:pPr>
    <w:rPr>
      <w:color w:val="626266"/>
      <w:sz w:val="28"/>
      <w:szCs w:val="28"/>
    </w:rPr>
  </w:style>
  <w:style w:type="character" w:styleId="UnresolvedMention">
    <w:name w:val="Unresolved Mention"/>
    <w:basedOn w:val="DefaultParagraphFont"/>
    <w:uiPriority w:val="99"/>
    <w:unhideWhenUsed/>
    <w:rsid w:val="00E17ADF"/>
    <w:rPr>
      <w:color w:val="808080"/>
      <w:shd w:val="clear" w:color="auto" w:fill="E6E6E6"/>
    </w:rPr>
  </w:style>
  <w:style w:type="paragraph" w:customStyle="1" w:styleId="STPR2ProofBoxHeader">
    <w:name w:val="STPR2_Proof Box_Header"/>
    <w:basedOn w:val="STPR2BodyBold"/>
    <w:uiPriority w:val="3"/>
    <w:rsid w:val="00E17ADF"/>
    <w:pPr>
      <w:spacing w:after="80"/>
    </w:pPr>
    <w:rPr>
      <w:i/>
      <w:color w:val="231EDC"/>
    </w:rPr>
  </w:style>
  <w:style w:type="paragraph" w:customStyle="1" w:styleId="STPR2ProofBoxNormal">
    <w:name w:val="STPR2_Proof Box_Normal"/>
    <w:basedOn w:val="STPR2BodyText"/>
    <w:uiPriority w:val="3"/>
    <w:qFormat/>
    <w:rsid w:val="00E17ADF"/>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17ADF"/>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E17A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ADF"/>
    <w:rPr>
      <w:rFonts w:ascii="Segoe UI" w:hAnsi="Segoe UI" w:cs="Segoe UI"/>
      <w:sz w:val="18"/>
      <w:szCs w:val="18"/>
    </w:rPr>
  </w:style>
  <w:style w:type="character" w:customStyle="1" w:styleId="STPR2Proofboxheading">
    <w:name w:val="STPR2_Proof_box_heading"/>
    <w:basedOn w:val="DefaultParagraphFont"/>
    <w:uiPriority w:val="1"/>
    <w:qFormat/>
    <w:rsid w:val="00E17ADF"/>
    <w:rPr>
      <w:rFonts w:ascii="Arial" w:hAnsi="Arial"/>
      <w:b/>
      <w:color w:val="0070C0"/>
    </w:rPr>
  </w:style>
  <w:style w:type="paragraph" w:styleId="BodyText">
    <w:name w:val="Body Text"/>
    <w:basedOn w:val="Normal"/>
    <w:link w:val="BodyTextChar"/>
    <w:uiPriority w:val="99"/>
    <w:unhideWhenUsed/>
    <w:rsid w:val="00E17ADF"/>
    <w:pPr>
      <w:spacing w:after="120"/>
    </w:pPr>
  </w:style>
  <w:style w:type="character" w:customStyle="1" w:styleId="BodyTextChar">
    <w:name w:val="Body Text Char"/>
    <w:basedOn w:val="DefaultParagraphFont"/>
    <w:link w:val="BodyText"/>
    <w:uiPriority w:val="99"/>
    <w:rsid w:val="00E17ADF"/>
  </w:style>
  <w:style w:type="paragraph" w:customStyle="1" w:styleId="AppendixHeading2">
    <w:name w:val="Appendix Heading 2"/>
    <w:basedOn w:val="Heading2"/>
    <w:autoRedefine/>
    <w:uiPriority w:val="23"/>
    <w:qFormat/>
    <w:rsid w:val="00E17ADF"/>
    <w:pPr>
      <w:numPr>
        <w:numId w:val="10"/>
      </w:numPr>
    </w:pPr>
  </w:style>
  <w:style w:type="table" w:styleId="TableGridLight">
    <w:name w:val="Grid Table Light"/>
    <w:basedOn w:val="TableNormal"/>
    <w:uiPriority w:val="40"/>
    <w:rsid w:val="00E17A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0C6958"/>
    <w:rPr>
      <w:rFonts w:ascii="Arial" w:eastAsiaTheme="majorEastAsia" w:hAnsi="Arial" w:cstheme="majorBidi"/>
      <w:b/>
      <w:bCs/>
      <w:iCs/>
      <w:sz w:val="20"/>
      <w:szCs w:val="24"/>
      <w:lang w:eastAsia="en-US"/>
    </w:rPr>
  </w:style>
  <w:style w:type="character" w:customStyle="1" w:styleId="Heading5Char">
    <w:name w:val="Heading 5 Char"/>
    <w:basedOn w:val="DefaultParagraphFont"/>
    <w:link w:val="Heading5"/>
    <w:rsid w:val="000C6958"/>
    <w:rPr>
      <w:rFonts w:ascii="Arial" w:eastAsiaTheme="majorEastAsia" w:hAnsi="Arial" w:cstheme="majorBidi"/>
      <w:b/>
      <w:sz w:val="20"/>
      <w:szCs w:val="24"/>
      <w:lang w:eastAsia="en-US"/>
    </w:rPr>
  </w:style>
  <w:style w:type="character" w:customStyle="1" w:styleId="Heading6Char">
    <w:name w:val="Heading 6 Char"/>
    <w:basedOn w:val="DefaultParagraphFont"/>
    <w:link w:val="Heading6"/>
    <w:rsid w:val="000C6958"/>
    <w:rPr>
      <w:rFonts w:ascii="Arial" w:eastAsiaTheme="majorEastAsia" w:hAnsi="Arial" w:cstheme="majorBidi"/>
      <w:b/>
      <w:iCs/>
      <w:sz w:val="20"/>
      <w:szCs w:val="24"/>
      <w:lang w:eastAsia="en-US"/>
    </w:rPr>
  </w:style>
  <w:style w:type="character" w:customStyle="1" w:styleId="Heading7Char">
    <w:name w:val="Heading 7 Char"/>
    <w:basedOn w:val="DefaultParagraphFont"/>
    <w:link w:val="Heading7"/>
    <w:rsid w:val="000C6958"/>
    <w:rPr>
      <w:rFonts w:ascii="Arial" w:hAnsi="Arial"/>
      <w:b/>
      <w:color w:val="00338D"/>
      <w:sz w:val="20"/>
      <w:szCs w:val="24"/>
      <w:lang w:eastAsia="en-US"/>
    </w:rPr>
  </w:style>
  <w:style w:type="character" w:customStyle="1" w:styleId="Heading8Char">
    <w:name w:val="Heading 8 Char"/>
    <w:basedOn w:val="DefaultParagraphFont"/>
    <w:link w:val="Heading8"/>
    <w:rsid w:val="000C6958"/>
    <w:rPr>
      <w:rFonts w:ascii="Arial" w:eastAsiaTheme="majorEastAsia" w:hAnsi="Arial" w:cstheme="majorBidi"/>
      <w:b/>
      <w:bCs/>
      <w:color w:val="00338D"/>
      <w:sz w:val="24"/>
      <w:szCs w:val="26"/>
      <w:lang w:eastAsia="en-US"/>
    </w:rPr>
  </w:style>
  <w:style w:type="character" w:customStyle="1" w:styleId="Heading9Char">
    <w:name w:val="Heading 9 Char"/>
    <w:basedOn w:val="DefaultParagraphFont"/>
    <w:link w:val="Heading9"/>
    <w:uiPriority w:val="9"/>
    <w:semiHidden/>
    <w:rsid w:val="000C6958"/>
    <w:rPr>
      <w:rFonts w:asciiTheme="majorHAnsi" w:eastAsiaTheme="majorEastAsia" w:hAnsiTheme="majorHAnsi" w:cstheme="majorBidi"/>
      <w:i/>
      <w:iCs/>
      <w:color w:val="272727" w:themeColor="text1" w:themeTint="D8"/>
      <w:sz w:val="21"/>
      <w:szCs w:val="21"/>
    </w:rPr>
  </w:style>
  <w:style w:type="paragraph" w:customStyle="1" w:styleId="STPR2AppendicesHeading1">
    <w:name w:val="STPR2_Appendices_Heading 1"/>
    <w:basedOn w:val="STPR2Heading1Nonumbering"/>
    <w:uiPriority w:val="23"/>
    <w:qFormat/>
    <w:rsid w:val="000C6958"/>
    <w:rPr>
      <w:color w:val="F38B33"/>
    </w:rPr>
  </w:style>
  <w:style w:type="character" w:styleId="CommentReference">
    <w:name w:val="annotation reference"/>
    <w:basedOn w:val="DefaultParagraphFont"/>
    <w:uiPriority w:val="99"/>
    <w:unhideWhenUsed/>
    <w:rsid w:val="000C6958"/>
    <w:rPr>
      <w:sz w:val="16"/>
      <w:szCs w:val="16"/>
    </w:rPr>
  </w:style>
  <w:style w:type="paragraph" w:styleId="CommentText">
    <w:name w:val="annotation text"/>
    <w:basedOn w:val="Normal"/>
    <w:link w:val="CommentTextChar"/>
    <w:uiPriority w:val="99"/>
    <w:unhideWhenUsed/>
    <w:rsid w:val="000C6958"/>
    <w:pPr>
      <w:spacing w:line="240" w:lineRule="auto"/>
    </w:pPr>
    <w:rPr>
      <w:sz w:val="20"/>
      <w:szCs w:val="20"/>
    </w:rPr>
  </w:style>
  <w:style w:type="character" w:customStyle="1" w:styleId="CommentTextChar">
    <w:name w:val="Comment Text Char"/>
    <w:basedOn w:val="DefaultParagraphFont"/>
    <w:link w:val="CommentText"/>
    <w:uiPriority w:val="99"/>
    <w:rsid w:val="000C6958"/>
    <w:rPr>
      <w:sz w:val="20"/>
      <w:szCs w:val="20"/>
    </w:rPr>
  </w:style>
  <w:style w:type="paragraph" w:styleId="ListParagraph">
    <w:name w:val="List Paragraph"/>
    <w:basedOn w:val="Normal"/>
    <w:uiPriority w:val="34"/>
    <w:qFormat/>
    <w:rsid w:val="008B527D"/>
    <w:pPr>
      <w:numPr>
        <w:numId w:val="7"/>
      </w:numPr>
      <w:ind w:left="360"/>
      <w:contextualSpacing/>
    </w:pPr>
    <w:rPr>
      <w:rFonts w:ascii="Arial" w:hAnsi="Arial" w:cs="Jacobs Chronos"/>
      <w:sz w:val="24"/>
      <w:szCs w:val="24"/>
    </w:rPr>
  </w:style>
  <w:style w:type="paragraph" w:styleId="FootnoteText">
    <w:name w:val="footnote text"/>
    <w:aliases w:val=" Char1 Char Char, Char1 Char,Char1 Char Char,Char1 Char, Char5,Char5,fn,footnote text,Footnotes,Footnote ak,Char,Footnote Text Char1,Footnote Text Char Char,Footnote Text Char1 Char Char,Footnote Text Char Char Char Char"/>
    <w:basedOn w:val="Normal"/>
    <w:link w:val="FootnoteTextChar"/>
    <w:uiPriority w:val="99"/>
    <w:unhideWhenUsed/>
    <w:qFormat/>
    <w:rsid w:val="000C6958"/>
    <w:pPr>
      <w:spacing w:after="0" w:line="240" w:lineRule="auto"/>
    </w:pPr>
    <w:rPr>
      <w:rFonts w:ascii="Arial" w:hAnsi="Arial" w:cs="Arial"/>
      <w:sz w:val="18"/>
      <w:szCs w:val="18"/>
    </w:rPr>
  </w:style>
  <w:style w:type="character" w:customStyle="1" w:styleId="FootnoteTextChar">
    <w:name w:val="Footnote Text Char"/>
    <w:aliases w:val=" Char1 Char Char Char, Char1 Char Char1,Char1 Char Char Char,Char1 Char Char1, Char5 Char,Char5 Char,fn Char,footnote text Char,Footnotes Char,Footnote ak Char,Char Char,Footnote Text Char1 Char,Footnote Text Char Char Char"/>
    <w:basedOn w:val="DefaultParagraphFont"/>
    <w:link w:val="FootnoteText"/>
    <w:uiPriority w:val="99"/>
    <w:rsid w:val="000C6958"/>
    <w:rPr>
      <w:rFonts w:ascii="Arial" w:hAnsi="Arial" w:cs="Arial"/>
      <w:sz w:val="18"/>
      <w:szCs w:val="18"/>
    </w:rPr>
  </w:style>
  <w:style w:type="character" w:styleId="FootnoteReference">
    <w:name w:val="footnote reference"/>
    <w:aliases w:val="stylish,SUPERS,Footnote Reference - Carlos,BVI fnr,RSC_WP (footnote reference),number,Footnote reference number,Footnote symbol,note TESI,-E Fußnotenzeichen,Footnote,Times 10 Point,Exposant 3 Point,Fußnotenzeichen,Footnote number,No"/>
    <w:basedOn w:val="DefaultParagraphFont"/>
    <w:uiPriority w:val="99"/>
    <w:unhideWhenUsed/>
    <w:qFormat/>
    <w:rsid w:val="000C6958"/>
    <w:rPr>
      <w:vertAlign w:val="superscript"/>
    </w:rPr>
  </w:style>
  <w:style w:type="paragraph" w:customStyle="1" w:styleId="BulletLevel1">
    <w:name w:val="Bullet Level 1"/>
    <w:basedOn w:val="BodyText"/>
    <w:qFormat/>
    <w:rsid w:val="000C6958"/>
    <w:pPr>
      <w:numPr>
        <w:numId w:val="1"/>
      </w:numPr>
      <w:spacing w:line="240" w:lineRule="auto"/>
    </w:pPr>
    <w:rPr>
      <w:rFonts w:ascii="Arial" w:eastAsia="Times New Roman" w:hAnsi="Arial" w:cs="Times New Roman"/>
      <w:sz w:val="20"/>
      <w:szCs w:val="20"/>
      <w:lang w:val="en-US" w:eastAsia="en-US"/>
    </w:rPr>
  </w:style>
  <w:style w:type="character" w:styleId="Strong">
    <w:name w:val="Strong"/>
    <w:rsid w:val="000C6958"/>
    <w:rPr>
      <w:b/>
      <w:bCs/>
    </w:rPr>
  </w:style>
  <w:style w:type="paragraph" w:customStyle="1" w:styleId="Report-Heading1">
    <w:name w:val="Report - Heading 1"/>
    <w:basedOn w:val="Heading1"/>
    <w:next w:val="Report-Heading2"/>
    <w:autoRedefine/>
    <w:qFormat/>
    <w:rsid w:val="000C6958"/>
    <w:pPr>
      <w:keepNext/>
      <w:keepLines/>
      <w:widowControl/>
      <w:numPr>
        <w:numId w:val="2"/>
      </w:numPr>
      <w:autoSpaceDE/>
      <w:adjustRightInd/>
      <w:spacing w:after="360"/>
      <w:textAlignment w:val="baseline"/>
    </w:pPr>
    <w:rPr>
      <w:rFonts w:eastAsia="Times New Roman"/>
      <w:b w:val="0"/>
      <w:color w:val="44546A" w:themeColor="text2"/>
      <w:sz w:val="40"/>
      <w:szCs w:val="40"/>
    </w:rPr>
  </w:style>
  <w:style w:type="paragraph" w:customStyle="1" w:styleId="Report-Heading2">
    <w:name w:val="Report - Heading 2"/>
    <w:basedOn w:val="Report-Heading1"/>
    <w:autoRedefine/>
    <w:qFormat/>
    <w:rsid w:val="000C6958"/>
    <w:pPr>
      <w:keepNext w:val="0"/>
      <w:keepLines w:val="0"/>
      <w:numPr>
        <w:ilvl w:val="1"/>
      </w:numPr>
      <w:spacing w:before="240" w:after="240" w:line="240" w:lineRule="atLeast"/>
    </w:pPr>
    <w:rPr>
      <w:sz w:val="32"/>
      <w:szCs w:val="32"/>
    </w:rPr>
  </w:style>
  <w:style w:type="paragraph" w:customStyle="1" w:styleId="Report-Bodytext">
    <w:name w:val="Report - Body text"/>
    <w:basedOn w:val="Report-Heading2"/>
    <w:autoRedefine/>
    <w:qFormat/>
    <w:rsid w:val="000C6958"/>
    <w:pPr>
      <w:numPr>
        <w:ilvl w:val="0"/>
        <w:numId w:val="0"/>
      </w:numPr>
      <w:tabs>
        <w:tab w:val="left" w:pos="851"/>
      </w:tabs>
      <w:spacing w:before="0" w:after="160" w:line="240" w:lineRule="auto"/>
      <w:jc w:val="both"/>
      <w:textAlignment w:val="auto"/>
    </w:pPr>
    <w:rPr>
      <w:rFonts w:asciiTheme="minorHAnsi" w:hAnsiTheme="minorHAnsi" w:cstheme="minorHAnsi"/>
      <w:color w:val="auto"/>
      <w:sz w:val="22"/>
      <w:szCs w:val="22"/>
    </w:rPr>
  </w:style>
  <w:style w:type="paragraph" w:customStyle="1" w:styleId="Report-TablesDescription">
    <w:name w:val="Report - Tables Description"/>
    <w:basedOn w:val="Normal"/>
    <w:rsid w:val="000C6958"/>
    <w:pPr>
      <w:numPr>
        <w:ilvl w:val="4"/>
        <w:numId w:val="2"/>
      </w:numPr>
      <w:suppressAutoHyphens/>
      <w:autoSpaceDN w:val="0"/>
      <w:spacing w:before="240" w:after="120" w:line="264" w:lineRule="auto"/>
      <w:textAlignment w:val="baseline"/>
    </w:pPr>
    <w:rPr>
      <w:rFonts w:ascii="Arial" w:eastAsia="Times New Roman" w:hAnsi="Arial" w:cs="Arial"/>
      <w:b/>
      <w:color w:val="FF0000"/>
      <w:sz w:val="24"/>
      <w:szCs w:val="24"/>
    </w:rPr>
  </w:style>
  <w:style w:type="paragraph" w:customStyle="1" w:styleId="Report-FiguresDescription">
    <w:name w:val="Report - Figures Description"/>
    <w:basedOn w:val="Report-TablesDescription"/>
    <w:rsid w:val="000C6958"/>
    <w:pPr>
      <w:numPr>
        <w:ilvl w:val="3"/>
      </w:numPr>
    </w:pPr>
  </w:style>
  <w:style w:type="paragraph" w:customStyle="1" w:styleId="Report-footnote">
    <w:name w:val="Report - footnote"/>
    <w:basedOn w:val="FootnoteText"/>
    <w:qFormat/>
    <w:rsid w:val="000C6958"/>
    <w:pPr>
      <w:suppressAutoHyphens/>
      <w:autoSpaceDN w:val="0"/>
      <w:spacing w:before="60" w:after="60"/>
      <w:textAlignment w:val="baseline"/>
    </w:pPr>
    <w:rPr>
      <w:rFonts w:eastAsia="Times New Roman"/>
      <w:szCs w:val="24"/>
    </w:rPr>
  </w:style>
  <w:style w:type="paragraph" w:styleId="CommentSubject">
    <w:name w:val="annotation subject"/>
    <w:basedOn w:val="CommentText"/>
    <w:next w:val="CommentText"/>
    <w:link w:val="CommentSubjectChar"/>
    <w:uiPriority w:val="99"/>
    <w:semiHidden/>
    <w:unhideWhenUsed/>
    <w:rsid w:val="000C6958"/>
    <w:rPr>
      <w:b/>
      <w:bCs/>
    </w:rPr>
  </w:style>
  <w:style w:type="character" w:customStyle="1" w:styleId="CommentSubjectChar">
    <w:name w:val="Comment Subject Char"/>
    <w:basedOn w:val="CommentTextChar"/>
    <w:link w:val="CommentSubject"/>
    <w:uiPriority w:val="99"/>
    <w:semiHidden/>
    <w:rsid w:val="000C6958"/>
    <w:rPr>
      <w:b/>
      <w:bCs/>
      <w:sz w:val="20"/>
      <w:szCs w:val="20"/>
    </w:rPr>
  </w:style>
  <w:style w:type="paragraph" w:customStyle="1" w:styleId="Default">
    <w:name w:val="Default"/>
    <w:rsid w:val="000C6958"/>
    <w:pPr>
      <w:autoSpaceDE w:val="0"/>
      <w:autoSpaceDN w:val="0"/>
      <w:adjustRightInd w:val="0"/>
      <w:spacing w:after="0" w:line="240" w:lineRule="auto"/>
    </w:pPr>
    <w:rPr>
      <w:rFonts w:ascii="Arial" w:hAnsi="Arial" w:cs="Arial"/>
      <w:color w:val="000000"/>
      <w:sz w:val="24"/>
      <w:szCs w:val="24"/>
    </w:rPr>
  </w:style>
  <w:style w:type="paragraph" w:styleId="NormalIndent">
    <w:name w:val="Normal Indent"/>
    <w:aliases w:val="Normal Indent Char Char Char Char,SSR Requirement Response,Normal Indent Char Char Char Char Cha,Normal Indent Char Char Char Char Char Char,Normal Indent Char Char Char Char Char Char Char Char,YF normal indent, Char,Body,Body Char Char"/>
    <w:basedOn w:val="Normal"/>
    <w:link w:val="NormalIndentChar"/>
    <w:rsid w:val="000C6958"/>
    <w:pPr>
      <w:spacing w:after="220" w:line="240" w:lineRule="atLeast"/>
      <w:ind w:left="720"/>
    </w:pPr>
    <w:rPr>
      <w:rFonts w:ascii="Arial" w:hAnsi="Arial"/>
      <w:sz w:val="20"/>
      <w:szCs w:val="24"/>
      <w:lang w:eastAsia="en-US"/>
    </w:rPr>
  </w:style>
  <w:style w:type="character" w:customStyle="1" w:styleId="NormalIndentChar">
    <w:name w:val="Normal Indent Char"/>
    <w:aliases w:val="Normal Indent Char Char Char Char Char,SSR Requirement Response Char,Normal Indent Char Char Char Char Cha Char,Normal Indent Char Char Char Char Char Char Char,Normal Indent Char Char Char Char Char Char Char Char Char, Char Char"/>
    <w:basedOn w:val="DefaultParagraphFont"/>
    <w:link w:val="NormalIndent"/>
    <w:rsid w:val="000C6958"/>
    <w:rPr>
      <w:rFonts w:ascii="Arial" w:hAnsi="Arial"/>
      <w:sz w:val="20"/>
      <w:szCs w:val="24"/>
      <w:lang w:eastAsia="en-US"/>
    </w:rPr>
  </w:style>
  <w:style w:type="paragraph" w:customStyle="1" w:styleId="Report-NTSBodytext">
    <w:name w:val="Report - NTS Body text"/>
    <w:basedOn w:val="Report-Bodytext"/>
    <w:rsid w:val="000C6958"/>
    <w:pPr>
      <w:tabs>
        <w:tab w:val="clear" w:pos="851"/>
      </w:tabs>
      <w:spacing w:before="120"/>
      <w:textAlignment w:val="baseline"/>
      <w:outlineLvl w:val="9"/>
    </w:pPr>
    <w:rPr>
      <w:rFonts w:eastAsiaTheme="minorHAnsi"/>
      <w:lang w:eastAsia="en-US"/>
    </w:rPr>
  </w:style>
  <w:style w:type="paragraph" w:customStyle="1" w:styleId="Report-Bulleted1">
    <w:name w:val="Report - Bulleted 1"/>
    <w:basedOn w:val="Normal"/>
    <w:autoRedefine/>
    <w:qFormat/>
    <w:rsid w:val="000C6958"/>
    <w:pPr>
      <w:numPr>
        <w:numId w:val="3"/>
      </w:numPr>
      <w:tabs>
        <w:tab w:val="left" w:pos="0"/>
        <w:tab w:val="left" w:pos="1418"/>
        <w:tab w:val="left" w:pos="2160"/>
        <w:tab w:val="left" w:pos="3960"/>
        <w:tab w:val="left" w:pos="4680"/>
        <w:tab w:val="right" w:pos="8280"/>
      </w:tabs>
      <w:suppressAutoHyphens/>
      <w:autoSpaceDN w:val="0"/>
      <w:spacing w:before="60" w:after="60" w:line="264" w:lineRule="auto"/>
      <w:textAlignment w:val="baseline"/>
    </w:pPr>
    <w:rPr>
      <w:rFonts w:ascii="Arial" w:eastAsia="Arial" w:hAnsi="Arial" w:cs="Arial"/>
      <w:sz w:val="24"/>
      <w:szCs w:val="24"/>
      <w:lang w:eastAsia="en-US"/>
    </w:rPr>
  </w:style>
  <w:style w:type="paragraph" w:customStyle="1" w:styleId="Report-AppCHeading1">
    <w:name w:val="Report - App C Heading 1"/>
    <w:rsid w:val="000C6958"/>
    <w:pPr>
      <w:autoSpaceDN w:val="0"/>
      <w:spacing w:after="200" w:line="276" w:lineRule="auto"/>
      <w:ind w:left="851" w:hanging="851"/>
      <w:textAlignment w:val="baseline"/>
    </w:pPr>
    <w:rPr>
      <w:rFonts w:ascii="Arial" w:eastAsia="Times New Roman" w:hAnsi="Arial" w:cs="Arial"/>
      <w:bCs/>
      <w:color w:val="44546A" w:themeColor="text2"/>
      <w:sz w:val="32"/>
      <w:szCs w:val="32"/>
    </w:rPr>
  </w:style>
  <w:style w:type="paragraph" w:customStyle="1" w:styleId="paragraph">
    <w:name w:val="paragraph"/>
    <w:basedOn w:val="Normal"/>
    <w:rsid w:val="000C6958"/>
    <w:pPr>
      <w:spacing w:after="0"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C6958"/>
  </w:style>
  <w:style w:type="character" w:customStyle="1" w:styleId="normaltextrun1">
    <w:name w:val="normaltextrun1"/>
    <w:basedOn w:val="DefaultParagraphFont"/>
    <w:rsid w:val="000C6958"/>
  </w:style>
  <w:style w:type="character" w:customStyle="1" w:styleId="eop">
    <w:name w:val="eop"/>
    <w:basedOn w:val="DefaultParagraphFont"/>
    <w:rsid w:val="000C6958"/>
  </w:style>
  <w:style w:type="character" w:customStyle="1" w:styleId="contextualspellingandgrammarerror">
    <w:name w:val="contextualspellingandgrammarerror"/>
    <w:basedOn w:val="DefaultParagraphFont"/>
    <w:rsid w:val="000C6958"/>
  </w:style>
  <w:style w:type="paragraph" w:styleId="Revision">
    <w:name w:val="Revision"/>
    <w:hidden/>
    <w:uiPriority w:val="99"/>
    <w:semiHidden/>
    <w:rsid w:val="000C6958"/>
    <w:pPr>
      <w:spacing w:after="0" w:line="240" w:lineRule="auto"/>
    </w:pPr>
  </w:style>
  <w:style w:type="table" w:styleId="GridTable4-Accent5">
    <w:name w:val="Grid Table 4 Accent 5"/>
    <w:basedOn w:val="TableNormal"/>
    <w:uiPriority w:val="49"/>
    <w:rsid w:val="000C6958"/>
    <w:pPr>
      <w:spacing w:after="0" w:line="240" w:lineRule="auto"/>
    </w:pPr>
    <w:rPr>
      <w:rFonts w:eastAsiaTheme="minorHAnsi"/>
      <w:lang w:val="en-US"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HeaderSpacer">
    <w:name w:val="Header Spacer"/>
    <w:basedOn w:val="Header"/>
    <w:rsid w:val="000C6958"/>
    <w:pPr>
      <w:tabs>
        <w:tab w:val="clear" w:pos="4513"/>
        <w:tab w:val="clear" w:pos="9026"/>
      </w:tabs>
      <w:suppressAutoHyphens/>
      <w:autoSpaceDN w:val="0"/>
      <w:spacing w:line="480" w:lineRule="exact"/>
      <w:textAlignment w:val="baseline"/>
    </w:pPr>
    <w:rPr>
      <w:rFonts w:eastAsia="Arial" w:cs="Times New Roman"/>
      <w:color w:val="666666"/>
      <w:sz w:val="22"/>
      <w:szCs w:val="24"/>
      <w:lang w:eastAsia="en-US"/>
    </w:rPr>
  </w:style>
  <w:style w:type="paragraph" w:customStyle="1" w:styleId="Tablesmalltext">
    <w:name w:val="Table small text"/>
    <w:basedOn w:val="Normal"/>
    <w:uiPriority w:val="15"/>
    <w:qFormat/>
    <w:rsid w:val="000C6958"/>
    <w:pPr>
      <w:spacing w:before="40" w:after="40" w:line="240" w:lineRule="atLeast"/>
    </w:pPr>
    <w:rPr>
      <w:rFonts w:ascii="Arial" w:hAnsi="Arial"/>
      <w:sz w:val="16"/>
      <w:szCs w:val="24"/>
      <w:lang w:eastAsia="en-US"/>
    </w:rPr>
  </w:style>
  <w:style w:type="paragraph" w:customStyle="1" w:styleId="Table2number">
    <w:name w:val="Table 2 number"/>
    <w:basedOn w:val="Normal"/>
    <w:uiPriority w:val="15"/>
    <w:rsid w:val="000C6958"/>
    <w:pPr>
      <w:numPr>
        <w:numId w:val="4"/>
      </w:numPr>
      <w:spacing w:before="60" w:after="60" w:line="240" w:lineRule="atLeast"/>
    </w:pPr>
    <w:rPr>
      <w:rFonts w:ascii="Arial" w:hAnsi="Arial"/>
      <w:sz w:val="20"/>
      <w:szCs w:val="24"/>
      <w:lang w:val="en-US" w:eastAsia="en-US"/>
    </w:rPr>
  </w:style>
  <w:style w:type="paragraph" w:customStyle="1" w:styleId="Para0bullet">
    <w:name w:val="Para 0 bullet"/>
    <w:basedOn w:val="Normal"/>
    <w:uiPriority w:val="4"/>
    <w:rsid w:val="004B3264"/>
    <w:pPr>
      <w:numPr>
        <w:numId w:val="5"/>
      </w:numPr>
      <w:tabs>
        <w:tab w:val="left" w:pos="851"/>
      </w:tabs>
      <w:spacing w:after="120" w:line="240" w:lineRule="atLeast"/>
    </w:pPr>
    <w:rPr>
      <w:rFonts w:ascii="Arial" w:hAnsi="Arial"/>
      <w:sz w:val="20"/>
      <w:szCs w:val="24"/>
      <w:lang w:eastAsia="en-US"/>
    </w:rPr>
  </w:style>
  <w:style w:type="paragraph" w:customStyle="1" w:styleId="Para1narrowarrow">
    <w:name w:val="Para 1 narrow arrow"/>
    <w:basedOn w:val="Normal"/>
    <w:uiPriority w:val="5"/>
    <w:semiHidden/>
    <w:rsid w:val="000C6958"/>
    <w:pPr>
      <w:numPr>
        <w:ilvl w:val="1"/>
        <w:numId w:val="5"/>
      </w:numPr>
      <w:tabs>
        <w:tab w:val="left" w:pos="851"/>
      </w:tabs>
      <w:spacing w:after="120" w:line="240" w:lineRule="atLeast"/>
    </w:pPr>
    <w:rPr>
      <w:rFonts w:ascii="Arial" w:hAnsi="Arial"/>
      <w:sz w:val="20"/>
      <w:szCs w:val="24"/>
      <w:lang w:eastAsia="en-US"/>
    </w:rPr>
  </w:style>
  <w:style w:type="numbering" w:customStyle="1" w:styleId="JacobsBulletList1">
    <w:name w:val="Jacobs Bullet List 1"/>
    <w:uiPriority w:val="99"/>
    <w:rsid w:val="000C6958"/>
    <w:pPr>
      <w:numPr>
        <w:numId w:val="5"/>
      </w:numPr>
    </w:pPr>
  </w:style>
  <w:style w:type="paragraph" w:customStyle="1" w:styleId="AppendixHeading1">
    <w:name w:val="Appendix Heading 1"/>
    <w:basedOn w:val="Heading9"/>
    <w:next w:val="BodyText"/>
    <w:rsid w:val="000C6958"/>
    <w:pPr>
      <w:keepLines w:val="0"/>
      <w:spacing w:before="240" w:after="120" w:line="240" w:lineRule="auto"/>
      <w:ind w:left="1004" w:hanging="360"/>
      <w:outlineLvl w:val="0"/>
    </w:pPr>
    <w:rPr>
      <w:rFonts w:ascii="Arial" w:eastAsiaTheme="minorEastAsia" w:hAnsi="Arial" w:cstheme="minorBidi"/>
      <w:b/>
      <w:i w:val="0"/>
      <w:iCs w:val="0"/>
      <w:noProof/>
      <w:color w:val="00338D"/>
      <w:sz w:val="32"/>
      <w:szCs w:val="24"/>
      <w:lang w:val="en-US" w:eastAsia="en-US"/>
    </w:rPr>
  </w:style>
  <w:style w:type="paragraph" w:customStyle="1" w:styleId="AppendixHeading3">
    <w:name w:val="Appendix Heading 3"/>
    <w:basedOn w:val="Normal"/>
    <w:next w:val="BodyText"/>
    <w:uiPriority w:val="2"/>
    <w:qFormat/>
    <w:rsid w:val="000C6958"/>
    <w:pPr>
      <w:keepNext/>
      <w:spacing w:before="240" w:after="120" w:line="240" w:lineRule="auto"/>
      <w:ind w:left="907" w:hanging="907"/>
      <w:outlineLvl w:val="2"/>
    </w:pPr>
    <w:rPr>
      <w:rFonts w:ascii="Arial" w:hAnsi="Arial"/>
      <w:b/>
      <w:color w:val="00338D"/>
      <w:sz w:val="20"/>
      <w:szCs w:val="24"/>
      <w:lang w:val="en-US" w:eastAsia="en-US"/>
    </w:rPr>
  </w:style>
  <w:style w:type="paragraph" w:customStyle="1" w:styleId="AppendixHeading4">
    <w:name w:val="Appendix Heading 4"/>
    <w:basedOn w:val="AppendixHeading3"/>
    <w:next w:val="BodyText"/>
    <w:uiPriority w:val="2"/>
    <w:rsid w:val="000C6958"/>
    <w:pPr>
      <w:outlineLvl w:val="3"/>
    </w:pPr>
    <w:rPr>
      <w:color w:val="auto"/>
    </w:rPr>
  </w:style>
  <w:style w:type="paragraph" w:customStyle="1" w:styleId="STPRHeading2">
    <w:name w:val="STPR Heading 2+"/>
    <w:basedOn w:val="STPR2Heading2"/>
    <w:link w:val="STPRHeading2Char"/>
    <w:uiPriority w:val="23"/>
    <w:qFormat/>
    <w:rsid w:val="000C6958"/>
    <w:pPr>
      <w:numPr>
        <w:ilvl w:val="0"/>
        <w:numId w:val="0"/>
      </w:numPr>
      <w:ind w:left="1440" w:hanging="360"/>
    </w:pPr>
  </w:style>
  <w:style w:type="character" w:customStyle="1" w:styleId="NoParagraphStyleChar">
    <w:name w:val="[No Paragraph Style] Char"/>
    <w:basedOn w:val="DefaultParagraphFont"/>
    <w:link w:val="NoParagraphStyle"/>
    <w:uiPriority w:val="24"/>
    <w:rsid w:val="000C6958"/>
    <w:rPr>
      <w:rFonts w:ascii="Minion Pro" w:hAnsi="Minion Pro" w:cs="Minion Pro"/>
      <w:color w:val="000000"/>
      <w:sz w:val="24"/>
      <w:szCs w:val="24"/>
      <w:lang w:val="en-US"/>
    </w:rPr>
  </w:style>
  <w:style w:type="character" w:customStyle="1" w:styleId="STPR2Heading1Char">
    <w:name w:val="STPR2_Heading 1 Char"/>
    <w:basedOn w:val="NoParagraphStyleChar"/>
    <w:link w:val="STPR2Heading1"/>
    <w:uiPriority w:val="4"/>
    <w:rsid w:val="000C6958"/>
    <w:rPr>
      <w:rFonts w:ascii="Arial" w:hAnsi="Arial" w:cs="Arial"/>
      <w:b/>
      <w:bCs/>
      <w:color w:val="B06900"/>
      <w:sz w:val="36"/>
      <w:szCs w:val="36"/>
      <w:lang w:val="en-US"/>
    </w:rPr>
  </w:style>
  <w:style w:type="character" w:customStyle="1" w:styleId="STPR2Heading2Char">
    <w:name w:val="STPR2_Heading 2 Char"/>
    <w:basedOn w:val="STPR2Heading1Char"/>
    <w:link w:val="STPR2Heading2"/>
    <w:uiPriority w:val="5"/>
    <w:rsid w:val="000C6958"/>
    <w:rPr>
      <w:rFonts w:ascii="Arial" w:hAnsi="Arial" w:cs="Arial"/>
      <w:b/>
      <w:bCs/>
      <w:color w:val="626266"/>
      <w:sz w:val="28"/>
      <w:szCs w:val="28"/>
      <w:lang w:val="en-US"/>
    </w:rPr>
  </w:style>
  <w:style w:type="character" w:customStyle="1" w:styleId="STPRHeading2Char">
    <w:name w:val="STPR Heading 2+ Char"/>
    <w:basedOn w:val="STPR2Heading2Char"/>
    <w:link w:val="STPRHeading2"/>
    <w:uiPriority w:val="23"/>
    <w:rsid w:val="000C6958"/>
    <w:rPr>
      <w:rFonts w:ascii="Arial" w:hAnsi="Arial" w:cs="Arial"/>
      <w:b/>
      <w:bCs/>
      <w:color w:val="626266"/>
      <w:sz w:val="28"/>
      <w:szCs w:val="28"/>
      <w:lang w:val="en-US"/>
    </w:rPr>
  </w:style>
  <w:style w:type="paragraph" w:styleId="ListBullet">
    <w:name w:val="List Bullet"/>
    <w:basedOn w:val="Normal"/>
    <w:uiPriority w:val="99"/>
    <w:qFormat/>
    <w:rsid w:val="000C6958"/>
    <w:pPr>
      <w:numPr>
        <w:numId w:val="6"/>
      </w:numPr>
      <w:spacing w:after="120" w:line="240" w:lineRule="atLeast"/>
      <w:jc w:val="both"/>
    </w:pPr>
    <w:rPr>
      <w:rFonts w:eastAsiaTheme="minorHAnsi"/>
      <w:kern w:val="18"/>
      <w:sz w:val="20"/>
      <w:szCs w:val="18"/>
      <w:lang w:eastAsia="en-US"/>
    </w:rPr>
  </w:style>
  <w:style w:type="paragraph" w:styleId="ListBullet2">
    <w:name w:val="List Bullet 2"/>
    <w:basedOn w:val="Normal"/>
    <w:uiPriority w:val="10"/>
    <w:qFormat/>
    <w:rsid w:val="000C6958"/>
    <w:pPr>
      <w:numPr>
        <w:ilvl w:val="1"/>
        <w:numId w:val="6"/>
      </w:numPr>
      <w:spacing w:after="120" w:line="240" w:lineRule="atLeast"/>
    </w:pPr>
    <w:rPr>
      <w:rFonts w:eastAsiaTheme="minorHAnsi"/>
      <w:kern w:val="18"/>
      <w:sz w:val="20"/>
      <w:szCs w:val="18"/>
      <w:lang w:eastAsia="en-US"/>
    </w:rPr>
  </w:style>
  <w:style w:type="paragraph" w:styleId="ListBullet3">
    <w:name w:val="List Bullet 3"/>
    <w:basedOn w:val="Normal"/>
    <w:uiPriority w:val="11"/>
    <w:qFormat/>
    <w:rsid w:val="000C6958"/>
    <w:pPr>
      <w:numPr>
        <w:ilvl w:val="2"/>
        <w:numId w:val="6"/>
      </w:numPr>
      <w:spacing w:after="120" w:line="240" w:lineRule="atLeast"/>
    </w:pPr>
    <w:rPr>
      <w:rFonts w:eastAsiaTheme="minorHAnsi"/>
      <w:kern w:val="18"/>
      <w:sz w:val="20"/>
      <w:szCs w:val="18"/>
      <w:lang w:eastAsia="en-US"/>
    </w:rPr>
  </w:style>
  <w:style w:type="paragraph" w:customStyle="1" w:styleId="Sidebartext">
    <w:name w:val="Sidebar text"/>
    <w:basedOn w:val="Normal"/>
    <w:uiPriority w:val="12"/>
    <w:qFormat/>
    <w:rsid w:val="000C6958"/>
    <w:pPr>
      <w:framePr w:hSpace="181" w:wrap="around" w:hAnchor="margin" w:x="109" w:y="182"/>
      <w:spacing w:before="40" w:after="120" w:line="240" w:lineRule="atLeast"/>
    </w:pPr>
    <w:rPr>
      <w:rFonts w:ascii="Arial" w:hAnsi="Arial"/>
      <w:sz w:val="18"/>
      <w:szCs w:val="24"/>
      <w:lang w:val="en-US" w:eastAsia="en-US"/>
    </w:rPr>
  </w:style>
  <w:style w:type="paragraph" w:styleId="Caption">
    <w:name w:val="caption"/>
    <w:basedOn w:val="Normal"/>
    <w:next w:val="Normal"/>
    <w:uiPriority w:val="24"/>
    <w:unhideWhenUsed/>
    <w:qFormat/>
    <w:rsid w:val="00E17ADF"/>
    <w:pPr>
      <w:spacing w:after="200" w:line="240" w:lineRule="auto"/>
    </w:pPr>
    <w:rPr>
      <w:i/>
      <w:iCs/>
      <w:color w:val="44546A" w:themeColor="text2"/>
      <w:sz w:val="18"/>
      <w:szCs w:val="18"/>
    </w:rPr>
  </w:style>
  <w:style w:type="paragraph" w:customStyle="1" w:styleId="CopyrightInfo">
    <w:name w:val="Copyright Info"/>
    <w:basedOn w:val="Normal"/>
    <w:rsid w:val="000C6958"/>
    <w:pPr>
      <w:spacing w:before="200" w:after="30" w:line="180" w:lineRule="exact"/>
      <w:ind w:right="851"/>
      <w:jc w:val="both"/>
    </w:pPr>
    <w:rPr>
      <w:rFonts w:ascii="Arial" w:eastAsiaTheme="minorHAnsi" w:hAnsi="Arial" w:cs="Arial"/>
      <w:sz w:val="14"/>
      <w:szCs w:val="14"/>
      <w:lang w:eastAsia="en-US"/>
    </w:rPr>
  </w:style>
  <w:style w:type="character" w:customStyle="1" w:styleId="STPR2BodyTextChar">
    <w:name w:val="STPR2_Body Text Char"/>
    <w:basedOn w:val="NoParagraphStyleChar"/>
    <w:link w:val="STPR2BodyText"/>
    <w:rsid w:val="00D93256"/>
    <w:rPr>
      <w:rFonts w:ascii="Arial" w:hAnsi="Arial" w:cs="Arial"/>
      <w:color w:val="000000"/>
      <w:sz w:val="24"/>
      <w:szCs w:val="24"/>
      <w:lang w:val="en-US"/>
    </w:rPr>
  </w:style>
  <w:style w:type="table" w:customStyle="1" w:styleId="TableGrid1">
    <w:name w:val="Table Grid1"/>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6958"/>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styleId="FollowedHyperlink">
    <w:name w:val="FollowedHyperlink"/>
    <w:basedOn w:val="DefaultParagraphFont"/>
    <w:uiPriority w:val="99"/>
    <w:semiHidden/>
    <w:unhideWhenUsed/>
    <w:rsid w:val="000C6958"/>
    <w:rPr>
      <w:color w:val="954F72" w:themeColor="followedHyperlink"/>
      <w:u w:val="single"/>
    </w:rPr>
  </w:style>
  <w:style w:type="paragraph" w:customStyle="1" w:styleId="Tabletext">
    <w:name w:val="Table text"/>
    <w:basedOn w:val="BodyText"/>
    <w:uiPriority w:val="14"/>
    <w:qFormat/>
    <w:rsid w:val="000C6958"/>
    <w:pPr>
      <w:spacing w:before="40" w:after="40" w:line="240" w:lineRule="auto"/>
    </w:pPr>
    <w:rPr>
      <w:rFonts w:eastAsiaTheme="minorHAnsi"/>
      <w:kern w:val="18"/>
      <w:sz w:val="16"/>
      <w:szCs w:val="18"/>
      <w:lang w:eastAsia="en-US"/>
    </w:rPr>
  </w:style>
  <w:style w:type="paragraph" w:customStyle="1" w:styleId="Tableheading">
    <w:name w:val="Table heading"/>
    <w:basedOn w:val="Normal"/>
    <w:uiPriority w:val="14"/>
    <w:qFormat/>
    <w:rsid w:val="000C6958"/>
    <w:pPr>
      <w:keepNext/>
      <w:spacing w:before="100" w:after="100" w:line="240" w:lineRule="atLeast"/>
    </w:pPr>
    <w:rPr>
      <w:rFonts w:ascii="Arial" w:hAnsi="Arial" w:cs="Arial"/>
      <w:b/>
      <w:sz w:val="20"/>
      <w:szCs w:val="24"/>
      <w:lang w:eastAsia="en-US"/>
    </w:rPr>
  </w:style>
  <w:style w:type="table" w:customStyle="1" w:styleId="TableGrid5">
    <w:name w:val="Table Grid5"/>
    <w:basedOn w:val="TableNormal"/>
    <w:next w:val="TableGrid"/>
    <w:uiPriority w:val="5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semiHidden/>
    <w:rsid w:val="000C6958"/>
    <w:pPr>
      <w:spacing w:after="0" w:line="240" w:lineRule="auto"/>
      <w:ind w:left="3402"/>
    </w:pPr>
    <w:rPr>
      <w:rFonts w:ascii="Arial" w:hAnsi="Arial" w:cs="Arial"/>
      <w:b/>
      <w:color w:val="999999"/>
      <w:sz w:val="24"/>
      <w:szCs w:val="24"/>
      <w:lang w:eastAsia="en-US"/>
    </w:rPr>
  </w:style>
  <w:style w:type="paragraph" w:customStyle="1" w:styleId="DocumentTitle">
    <w:name w:val="Document Title"/>
    <w:basedOn w:val="Normal"/>
    <w:uiPriority w:val="19"/>
    <w:rsid w:val="00D763DE"/>
    <w:pPr>
      <w:spacing w:after="60" w:line="240" w:lineRule="atLeast"/>
    </w:pPr>
    <w:rPr>
      <w:rFonts w:ascii="Arial" w:hAnsi="Arial" w:cs="Arial"/>
      <w:sz w:val="20"/>
      <w:szCs w:val="24"/>
      <w:lang w:val="en-US" w:eastAsia="en-US"/>
    </w:rPr>
  </w:style>
  <w:style w:type="paragraph" w:customStyle="1" w:styleId="STPR2CaptionFigures">
    <w:name w:val="STPR2_Caption_Figures"/>
    <w:basedOn w:val="STPR2TableHeading"/>
    <w:autoRedefine/>
    <w:uiPriority w:val="19"/>
    <w:rsid w:val="006F565E"/>
    <w:pPr>
      <w:keepNext/>
      <w:spacing w:after="120"/>
    </w:pPr>
    <w:rPr>
      <w:rFonts w:cs="Jacobs Chronos"/>
      <w:caps w:val="0"/>
      <w:color w:val="44546A" w:themeColor="text2"/>
      <w:szCs w:val="20"/>
    </w:rPr>
  </w:style>
  <w:style w:type="paragraph" w:customStyle="1" w:styleId="TABLEHEADINGWHITE">
    <w:name w:val="TABLE HEADING WHITE"/>
    <w:basedOn w:val="STPR2TableHeading"/>
    <w:uiPriority w:val="23"/>
    <w:qFormat/>
    <w:rsid w:val="001512EF"/>
    <w:rPr>
      <w:bCs w:val="0"/>
      <w:color w:val="FFFFFF" w:themeColor="background1"/>
    </w:rPr>
  </w:style>
  <w:style w:type="character" w:customStyle="1" w:styleId="normaltextrun">
    <w:name w:val="normaltextrun"/>
    <w:basedOn w:val="DefaultParagraphFont"/>
    <w:rsid w:val="0023602C"/>
  </w:style>
  <w:style w:type="paragraph" w:styleId="NoSpacing">
    <w:name w:val="No Spacing"/>
    <w:link w:val="NoSpacingChar"/>
    <w:uiPriority w:val="1"/>
    <w:qFormat/>
    <w:rsid w:val="00C752B0"/>
    <w:pPr>
      <w:spacing w:after="0" w:line="240" w:lineRule="auto"/>
    </w:pPr>
    <w:rPr>
      <w:lang w:val="en-US" w:eastAsia="en-US"/>
    </w:rPr>
  </w:style>
  <w:style w:type="character" w:customStyle="1" w:styleId="NoSpacingChar">
    <w:name w:val="No Spacing Char"/>
    <w:basedOn w:val="DefaultParagraphFont"/>
    <w:link w:val="NoSpacing"/>
    <w:uiPriority w:val="1"/>
    <w:rsid w:val="00C752B0"/>
    <w:rPr>
      <w:lang w:val="en-US" w:eastAsia="en-US"/>
    </w:rPr>
  </w:style>
  <w:style w:type="character" w:styleId="Mention">
    <w:name w:val="Mention"/>
    <w:basedOn w:val="DefaultParagraphFont"/>
    <w:uiPriority w:val="99"/>
    <w:unhideWhenUsed/>
    <w:rsid w:val="008949C6"/>
    <w:rPr>
      <w:color w:val="2B579A"/>
      <w:shd w:val="clear" w:color="auto" w:fill="E1DFDD"/>
    </w:rPr>
  </w:style>
  <w:style w:type="paragraph" w:styleId="TableofFigures">
    <w:name w:val="table of figures"/>
    <w:basedOn w:val="Normal"/>
    <w:next w:val="Normal"/>
    <w:uiPriority w:val="99"/>
    <w:unhideWhenUsed/>
    <w:rsid w:val="006D1943"/>
    <w:pPr>
      <w:spacing w:after="0"/>
    </w:pPr>
    <w:rPr>
      <w:rFonts w:ascii="Arial" w:hAnsi="Arial"/>
      <w:sz w:val="24"/>
    </w:rPr>
  </w:style>
  <w:style w:type="paragraph" w:styleId="TOC4">
    <w:name w:val="toc 4"/>
    <w:basedOn w:val="Normal"/>
    <w:next w:val="Normal"/>
    <w:autoRedefine/>
    <w:uiPriority w:val="39"/>
    <w:unhideWhenUsed/>
    <w:rsid w:val="00DE52DF"/>
    <w:pPr>
      <w:spacing w:after="100"/>
      <w:ind w:left="660"/>
    </w:pPr>
  </w:style>
  <w:style w:type="paragraph" w:styleId="TOC5">
    <w:name w:val="toc 5"/>
    <w:basedOn w:val="Normal"/>
    <w:next w:val="Normal"/>
    <w:autoRedefine/>
    <w:uiPriority w:val="39"/>
    <w:unhideWhenUsed/>
    <w:rsid w:val="00DE52DF"/>
    <w:pPr>
      <w:spacing w:after="100"/>
      <w:ind w:left="880"/>
    </w:pPr>
  </w:style>
  <w:style w:type="paragraph" w:styleId="TOC6">
    <w:name w:val="toc 6"/>
    <w:basedOn w:val="Normal"/>
    <w:next w:val="Normal"/>
    <w:autoRedefine/>
    <w:uiPriority w:val="39"/>
    <w:unhideWhenUsed/>
    <w:rsid w:val="00DE52DF"/>
    <w:pPr>
      <w:spacing w:after="100"/>
      <w:ind w:left="1100"/>
    </w:pPr>
  </w:style>
  <w:style w:type="paragraph" w:styleId="TOC7">
    <w:name w:val="toc 7"/>
    <w:basedOn w:val="Normal"/>
    <w:next w:val="Normal"/>
    <w:autoRedefine/>
    <w:uiPriority w:val="39"/>
    <w:unhideWhenUsed/>
    <w:rsid w:val="00DE52DF"/>
    <w:pPr>
      <w:spacing w:after="100"/>
      <w:ind w:left="1320"/>
    </w:pPr>
  </w:style>
  <w:style w:type="paragraph" w:styleId="TOC8">
    <w:name w:val="toc 8"/>
    <w:basedOn w:val="Normal"/>
    <w:next w:val="Normal"/>
    <w:autoRedefine/>
    <w:uiPriority w:val="39"/>
    <w:unhideWhenUsed/>
    <w:rsid w:val="00DE52DF"/>
    <w:pPr>
      <w:spacing w:after="100"/>
      <w:ind w:left="1540"/>
    </w:pPr>
  </w:style>
  <w:style w:type="paragraph" w:styleId="TOC9">
    <w:name w:val="toc 9"/>
    <w:basedOn w:val="Normal"/>
    <w:next w:val="Normal"/>
    <w:autoRedefine/>
    <w:uiPriority w:val="39"/>
    <w:unhideWhenUsed/>
    <w:rsid w:val="00DE52DF"/>
    <w:pPr>
      <w:spacing w:after="100"/>
      <w:ind w:left="1760"/>
    </w:pPr>
  </w:style>
  <w:style w:type="table" w:customStyle="1" w:styleId="TableGrid4">
    <w:name w:val="Table Grid4"/>
    <w:basedOn w:val="TableNormal"/>
    <w:next w:val="TableGrid"/>
    <w:uiPriority w:val="39"/>
    <w:rsid w:val="003F0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C2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PR2BulletsLevel10">
    <w:name w:val="STPR2 Bullets Level 1"/>
    <w:basedOn w:val="STPR2BodyText"/>
    <w:uiPriority w:val="23"/>
    <w:qFormat/>
    <w:rsid w:val="00211446"/>
    <w:pPr>
      <w:ind w:left="360" w:hanging="360"/>
    </w:pPr>
    <w:rPr>
      <w:rFonts w:cs="Jacobs Chronos"/>
      <w:szCs w:val="24"/>
    </w:rPr>
  </w:style>
  <w:style w:type="paragraph" w:styleId="EndnoteText">
    <w:name w:val="endnote text"/>
    <w:basedOn w:val="Normal"/>
    <w:link w:val="EndnoteTextChar"/>
    <w:uiPriority w:val="99"/>
    <w:semiHidden/>
    <w:unhideWhenUsed/>
    <w:rsid w:val="00C542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424F"/>
    <w:rPr>
      <w:sz w:val="20"/>
      <w:szCs w:val="20"/>
    </w:rPr>
  </w:style>
  <w:style w:type="character" w:styleId="EndnoteReference">
    <w:name w:val="endnote reference"/>
    <w:basedOn w:val="DefaultParagraphFont"/>
    <w:uiPriority w:val="99"/>
    <w:semiHidden/>
    <w:unhideWhenUsed/>
    <w:rsid w:val="00C5424F"/>
    <w:rPr>
      <w:vertAlign w:val="superscript"/>
    </w:rPr>
  </w:style>
  <w:style w:type="paragraph" w:customStyle="1" w:styleId="STPR2WhiteTableHeading">
    <w:name w:val="STPR2_White Table Heading"/>
    <w:basedOn w:val="STPR2TableHeading"/>
    <w:uiPriority w:val="23"/>
    <w:qFormat/>
    <w:rsid w:val="00E17ADF"/>
    <w:rPr>
      <w:color w:val="FFFFFF" w:themeColor="background1"/>
    </w:rPr>
  </w:style>
  <w:style w:type="paragraph" w:customStyle="1" w:styleId="Appendix">
    <w:name w:val="Appendix"/>
    <w:basedOn w:val="Heading1"/>
    <w:next w:val="BodyText"/>
    <w:autoRedefine/>
    <w:uiPriority w:val="7"/>
    <w:qFormat/>
    <w:rsid w:val="00E17ADF"/>
    <w:pPr>
      <w:keepNext/>
      <w:keepLines/>
      <w:pageBreakBefore/>
      <w:widowControl/>
      <w:numPr>
        <w:numId w:val="10"/>
      </w:numPr>
      <w:suppressAutoHyphens w:val="0"/>
      <w:autoSpaceDE/>
      <w:autoSpaceDN/>
      <w:adjustRightInd/>
      <w:spacing w:before="480"/>
      <w:textAlignment w:val="auto"/>
    </w:pPr>
    <w:rPr>
      <w:rFonts w:eastAsiaTheme="majorEastAsia" w:cstheme="majorBidi"/>
      <w:kern w:val="18"/>
      <w:szCs w:val="28"/>
      <w:lang w:eastAsia="en-US"/>
    </w:rPr>
  </w:style>
  <w:style w:type="paragraph" w:customStyle="1" w:styleId="TableHeading0">
    <w:name w:val="Table Heading"/>
    <w:basedOn w:val="Caption"/>
    <w:autoRedefine/>
    <w:uiPriority w:val="23"/>
    <w:qFormat/>
    <w:rsid w:val="00E17ADF"/>
    <w:pPr>
      <w:keepNext/>
    </w:pPr>
    <w:rPr>
      <w:rFonts w:ascii="Arial" w:hAnsi="Arial"/>
      <w:b/>
      <w:i w:val="0"/>
      <w:color w:val="925700"/>
      <w:sz w:val="24"/>
    </w:rPr>
  </w:style>
  <w:style w:type="paragraph" w:customStyle="1" w:styleId="FigureHeading">
    <w:name w:val="Figure Heading"/>
    <w:basedOn w:val="TableHeading0"/>
    <w:autoRedefine/>
    <w:uiPriority w:val="23"/>
    <w:qFormat/>
    <w:rsid w:val="00E17ADF"/>
    <w:pPr>
      <w:keepNext w:val="0"/>
    </w:pPr>
  </w:style>
  <w:style w:type="paragraph" w:customStyle="1" w:styleId="Tablesmallheading">
    <w:name w:val="Table small heading"/>
    <w:basedOn w:val="Tableheading"/>
    <w:uiPriority w:val="15"/>
    <w:qFormat/>
    <w:rsid w:val="00BE17C4"/>
    <w:pPr>
      <w:spacing w:before="60" w:after="60"/>
    </w:pPr>
    <w:rPr>
      <w:rFonts w:ascii="Jacobs Chronos" w:hAnsi="Jacobs Chronos" w:cs="Jacobs Chronos"/>
    </w:rPr>
  </w:style>
  <w:style w:type="table" w:customStyle="1" w:styleId="Table11">
    <w:name w:val="Table11"/>
    <w:basedOn w:val="TableNormal"/>
    <w:uiPriority w:val="99"/>
    <w:rsid w:val="00BE17C4"/>
    <w:pPr>
      <w:spacing w:after="0" w:line="240" w:lineRule="auto"/>
    </w:pPr>
    <w:rPr>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Condensed" w:hAnsi="Bahnschrift SemiLight Condensed"/>
        <w:b/>
        <w:color w:val="000000"/>
        <w:sz w:val="50"/>
      </w:rPr>
      <w:tblPr/>
      <w:tcPr>
        <w:shd w:val="clear" w:color="auto" w:fill="CFCAC7"/>
      </w:tcPr>
    </w:tblStylePr>
    <w:tblStylePr w:type="firstCol">
      <w:tblPr/>
      <w:tcPr>
        <w:shd w:val="clear" w:color="auto" w:fill="E6E5E3"/>
      </w:tcPr>
    </w:tblStylePr>
  </w:style>
  <w:style w:type="numbering" w:customStyle="1" w:styleId="AECOMBullets">
    <w:name w:val="AECOM_Bullets"/>
    <w:basedOn w:val="NoList"/>
    <w:uiPriority w:val="99"/>
    <w:semiHidden/>
    <w:unhideWhenUsed/>
    <w:rsid w:val="005812CF"/>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09080405">
      <w:bodyDiv w:val="1"/>
      <w:marLeft w:val="0"/>
      <w:marRight w:val="0"/>
      <w:marTop w:val="0"/>
      <w:marBottom w:val="0"/>
      <w:divBdr>
        <w:top w:val="none" w:sz="0" w:space="0" w:color="auto"/>
        <w:left w:val="none" w:sz="0" w:space="0" w:color="auto"/>
        <w:bottom w:val="none" w:sz="0" w:space="0" w:color="auto"/>
        <w:right w:val="none" w:sz="0" w:space="0" w:color="auto"/>
      </w:divBdr>
      <w:divsChild>
        <w:div w:id="1536768078">
          <w:marLeft w:val="806"/>
          <w:marRight w:val="0"/>
          <w:marTop w:val="200"/>
          <w:marBottom w:val="0"/>
          <w:divBdr>
            <w:top w:val="none" w:sz="0" w:space="0" w:color="auto"/>
            <w:left w:val="none" w:sz="0" w:space="0" w:color="auto"/>
            <w:bottom w:val="none" w:sz="0" w:space="0" w:color="auto"/>
            <w:right w:val="none" w:sz="0" w:space="0" w:color="auto"/>
          </w:divBdr>
        </w:div>
        <w:div w:id="1860897654">
          <w:marLeft w:val="806"/>
          <w:marRight w:val="0"/>
          <w:marTop w:val="200"/>
          <w:marBottom w:val="0"/>
          <w:divBdr>
            <w:top w:val="none" w:sz="0" w:space="0" w:color="auto"/>
            <w:left w:val="none" w:sz="0" w:space="0" w:color="auto"/>
            <w:bottom w:val="none" w:sz="0" w:space="0" w:color="auto"/>
            <w:right w:val="none" w:sz="0" w:space="0" w:color="auto"/>
          </w:divBdr>
        </w:div>
      </w:divsChild>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440251050">
      <w:bodyDiv w:val="1"/>
      <w:marLeft w:val="0"/>
      <w:marRight w:val="0"/>
      <w:marTop w:val="0"/>
      <w:marBottom w:val="0"/>
      <w:divBdr>
        <w:top w:val="none" w:sz="0" w:space="0" w:color="auto"/>
        <w:left w:val="none" w:sz="0" w:space="0" w:color="auto"/>
        <w:bottom w:val="none" w:sz="0" w:space="0" w:color="auto"/>
        <w:right w:val="none" w:sz="0" w:space="0" w:color="auto"/>
      </w:divBdr>
    </w:div>
    <w:div w:id="190946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nsport.gov.scot/media/33663/j279083.pdf" TargetMode="External"/><Relationship Id="rId21" Type="http://schemas.openxmlformats.org/officeDocument/2006/relationships/image" Target="media/image6.jpg"/><Relationship Id="rId42" Type="http://schemas.openxmlformats.org/officeDocument/2006/relationships/hyperlink" Target="https://www.transport.gov.scot/media/33649/long-term-vison-for-active-travel-in-scotland-2030.pdf" TargetMode="External"/><Relationship Id="rId47" Type="http://schemas.openxmlformats.org/officeDocument/2006/relationships/header" Target="header7.xml"/><Relationship Id="rId63" Type="http://schemas.openxmlformats.org/officeDocument/2006/relationships/hyperlink" Target="https://www.transport.gov.scot/media/50908/equality-impact-assessment-draft-report-january-2022-stpr2.pdf" TargetMode="External"/><Relationship Id="rId68" Type="http://schemas.openxmlformats.org/officeDocument/2006/relationships/hyperlink" Target="https://www.nature.scot/professional-advice/protected-areas-and-species/protected-areas/site-condition-monitoring/how-we-monitor-features" TargetMode="External"/><Relationship Id="rId84" Type="http://schemas.openxmlformats.org/officeDocument/2006/relationships/hyperlink" Target="https://www.gov.scot/publications/cleaner-air-scotland-2-towards-better-place-everyone/" TargetMode="External"/><Relationship Id="rId89" Type="http://schemas.openxmlformats.org/officeDocument/2006/relationships/hyperlink" Target="https://www.gov.scot/publications/investing-jobs-capital-spending-review-2021-22-2025-26/" TargetMode="External"/><Relationship Id="rId16" Type="http://schemas.openxmlformats.org/officeDocument/2006/relationships/header" Target="header3.xml"/><Relationship Id="rId107" Type="http://schemas.openxmlformats.org/officeDocument/2006/relationships/header" Target="header8.xml"/><Relationship Id="rId11" Type="http://schemas.openxmlformats.org/officeDocument/2006/relationships/image" Target="media/image1.jpg"/><Relationship Id="rId32" Type="http://schemas.openxmlformats.org/officeDocument/2006/relationships/image" Target="media/image8.png"/><Relationship Id="rId37" Type="http://schemas.openxmlformats.org/officeDocument/2006/relationships/hyperlink" Target="file:///C:/Users/BegbieL/Downloads/00475466%20(8).pdf" TargetMode="External"/><Relationship Id="rId53" Type="http://schemas.openxmlformats.org/officeDocument/2006/relationships/hyperlink" Target="https://www.constructionleadershipcouncil.co.uk/wp-content/uploads/2019/06/Guidance-Document-for-PAS2080_vFinal.pdf" TargetMode="External"/><Relationship Id="rId58" Type="http://schemas.openxmlformats.org/officeDocument/2006/relationships/hyperlink" Target="https://www.historicenvironment.scot/archives-and-research/publications/publication/?publicationId=94dd22c9-5d32-4e91-9a46-ab6600b6c1dd" TargetMode="External"/><Relationship Id="rId74" Type="http://schemas.openxmlformats.org/officeDocument/2006/relationships/hyperlink" Target="https://assets.publishing.service.gov.uk/government/uploads/system/uploads/attachment_data/file/7657/practicalguidesea.pdf" TargetMode="External"/><Relationship Id="rId79" Type="http://schemas.openxmlformats.org/officeDocument/2006/relationships/hyperlink" Target="http://www.gov.scot/Resource/0048/00488493.pdf" TargetMode="External"/><Relationship Id="rId102" Type="http://schemas.openxmlformats.org/officeDocument/2006/relationships/hyperlink" Target="https://www.transport.gov.scot/our-approach/statistics/" TargetMode="External"/><Relationship Id="rId5" Type="http://schemas.openxmlformats.org/officeDocument/2006/relationships/numbering" Target="numbering.xml"/><Relationship Id="rId90" Type="http://schemas.openxmlformats.org/officeDocument/2006/relationships/hyperlink" Target="https://www.gov.scot/publications/scottish-government-response-scotlands-climate-assembly-recommendations-action/pages/3/" TargetMode="External"/><Relationship Id="rId95" Type="http://schemas.openxmlformats.org/officeDocument/2006/relationships/hyperlink" Target="https://www.skillsdevelopmentscotland.co.uk/media/45467/historic-environment-sip.pdf" TargetMode="External"/><Relationship Id="rId22" Type="http://schemas.openxmlformats.org/officeDocument/2006/relationships/image" Target="media/image7.PNG"/><Relationship Id="rId27" Type="http://schemas.openxmlformats.org/officeDocument/2006/relationships/hyperlink" Target="https://www.nature.scot/scotlands-biodiversity-progress-2020-aichi-targets-conserving-genetic-diversity-development-national" TargetMode="External"/><Relationship Id="rId43" Type="http://schemas.openxmlformats.org/officeDocument/2006/relationships/hyperlink" Target="https://www.transport.gov.scot/media/10311/transport-scotland-policy-cycling-action-plan-for-scotland-january-2017.pdf" TargetMode="External"/><Relationship Id="rId48" Type="http://schemas.openxmlformats.org/officeDocument/2006/relationships/image" Target="media/image9.png"/><Relationship Id="rId64" Type="http://schemas.openxmlformats.org/officeDocument/2006/relationships/hyperlink" Target="https://www.transport.gov.scot/media/50946/draft-technical-report-january-2022-stpr2.pdf" TargetMode="External"/><Relationship Id="rId69" Type="http://schemas.openxmlformats.org/officeDocument/2006/relationships/hyperlink" Target="https://www.environment.gov.scot/our-environment/state-of-the-environment/ecosystem-health-indicators/function-indicators/indicator-8-connectivity/" TargetMode="External"/><Relationship Id="rId80" Type="http://schemas.openxmlformats.org/officeDocument/2006/relationships/hyperlink" Target="https://www.gov.scot/publications/national-plan-scotlands-islands/pages/7/" TargetMode="External"/><Relationship Id="rId85" Type="http://schemas.openxmlformats.org/officeDocument/2006/relationships/hyperlink" Target="https://www.gov.scot/publications/transition-commission-national-mission-fairer-greener-scotland/pages/5/"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5.xml"/><Relationship Id="rId38" Type="http://schemas.openxmlformats.org/officeDocument/2006/relationships/hyperlink" Target="https://www.transport.gov.scot/media/20113/j448711.pdf" TargetMode="External"/><Relationship Id="rId59" Type="http://schemas.openxmlformats.org/officeDocument/2006/relationships/hyperlink" Target="https://infrastructurecommission.scot/storage/261/Phase2_Appendix_A.pdf" TargetMode="External"/><Relationship Id="rId103" Type="http://schemas.openxmlformats.org/officeDocument/2006/relationships/hyperlink" Target="https://www.transport.gov.scot/publication/national-transport-strategy-nts2-second-delivery-plan-2022-2023/" TargetMode="External"/><Relationship Id="rId108" Type="http://schemas.openxmlformats.org/officeDocument/2006/relationships/header" Target="header9.xml"/><Relationship Id="rId54" Type="http://schemas.openxmlformats.org/officeDocument/2006/relationships/hyperlink" Target="http://eur-lex.europa.eu/LexUriServ/LexUriServ.do?uri=OJ:L:2001:197:0030:0037:EN:PDF" TargetMode="External"/><Relationship Id="rId70" Type="http://schemas.openxmlformats.org/officeDocument/2006/relationships/hyperlink" Target="https://www.nature.scot/sites/default/files/2019-10/State-of-nature-Report-2019-Scotland-full-report.pdf" TargetMode="External"/><Relationship Id="rId75" Type="http://schemas.openxmlformats.org/officeDocument/2006/relationships/hyperlink" Target="http://www.scottishairquality.scot/" TargetMode="External"/><Relationship Id="rId91" Type="http://schemas.openxmlformats.org/officeDocument/2006/relationships/hyperlink" Target="https://www.gov.scot/publications/scottish-government-scottish-green-party-shared-policy-programme/documents/" TargetMode="External"/><Relationship Id="rId96" Type="http://schemas.openxmlformats.org/officeDocument/2006/relationships/hyperlink" Target="https://www.transport.gov.scot/publication/stag-technical-databa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adaptationscotland.org/why-adapt/legislation/uk-climate-change-risk-assessment" TargetMode="External"/><Relationship Id="rId28" Type="http://schemas.openxmlformats.org/officeDocument/2006/relationships/hyperlink" Target="https://www.nature.scot/wild-land-area-descriptions" TargetMode="External"/><Relationship Id="rId36" Type="http://schemas.openxmlformats.org/officeDocument/2006/relationships/hyperlink" Target="https://assets.publishing.service.gov.uk/government/uploads/system/uploads/attachment_data/file/69336/pb12654-air-quality-strategy-vol1-070712.pdf" TargetMode="External"/><Relationship Id="rId49" Type="http://schemas.openxmlformats.org/officeDocument/2006/relationships/image" Target="media/image10.png"/><Relationship Id="rId57" Type="http://schemas.openxmlformats.org/officeDocument/2006/relationships/hyperlink" Target="https://www.historicenvironment.scot/archives-and-research/publications/publication/?publicationId=bb46bde1-518e-4590-8fca-a882010e711f" TargetMode="External"/><Relationship Id="rId106" Type="http://schemas.openxmlformats.org/officeDocument/2006/relationships/hyperlink" Target="https://www.theclimategroup.org/further-faster-together-under2-leaders-actions-cop26"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file:///C:/Users/BegbieL/Downloads/00475466%20(8).pdf" TargetMode="External"/><Relationship Id="rId52" Type="http://schemas.openxmlformats.org/officeDocument/2006/relationships/hyperlink" Target="https://carbonleadershipforum.org/looking-ahead-to-embodied-carbon-policy-action-in-2021/" TargetMode="External"/><Relationship Id="rId60" Type="http://schemas.openxmlformats.org/officeDocument/2006/relationships/hyperlink" Target="https://www.strategicenvironmentalassessment.gov.scot/PublicSearch.aspx" TargetMode="External"/><Relationship Id="rId65" Type="http://schemas.openxmlformats.org/officeDocument/2006/relationships/hyperlink" Target="https://www.transport.gov.scot/publication/strategic-environmental-assessment-draft-environmental-report-january-2022-stpr2/" TargetMode="External"/><Relationship Id="rId73" Type="http://schemas.openxmlformats.org/officeDocument/2006/relationships/hyperlink" Target="https://www.nature.scot/landscapes-and-habitats/habitat-map-scotland" TargetMode="External"/><Relationship Id="rId78" Type="http://schemas.openxmlformats.org/officeDocument/2006/relationships/hyperlink" Target="https://www.sepa.org.uk/media/38220/wfd_aquatic_monitoring_strategy-scotland_river_basin.pdf" TargetMode="External"/><Relationship Id="rId81" Type="http://schemas.openxmlformats.org/officeDocument/2006/relationships/hyperlink" Target="https://www.gov.scot/publications/annual-compendium-of-scottish-energy-statistics/" TargetMode="External"/><Relationship Id="rId86" Type="http://schemas.openxmlformats.org/officeDocument/2006/relationships/hyperlink" Target="https://www.gov.scot/publications/fairer-greener-scotland-programme-government-2021-22/" TargetMode="External"/><Relationship Id="rId94" Type="http://schemas.openxmlformats.org/officeDocument/2006/relationships/hyperlink" Target="https://www.gov.scot/publications/stronger-more-resilient-scotland-programme-government-2022-23/" TargetMode="External"/><Relationship Id="rId99" Type="http://schemas.openxmlformats.org/officeDocument/2006/relationships/hyperlink" Target="https://www.transport.gov.scot/publication/active-travel-framework-1/" TargetMode="External"/><Relationship Id="rId101" Type="http://schemas.openxmlformats.org/officeDocument/2006/relationships/hyperlink" Target="https://www.transport.gov.scot/our-approach/statistic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file:///C:/Users/BegbieL/Downloads/00452622.pdf" TargetMode="External"/><Relationship Id="rId109" Type="http://schemas.openxmlformats.org/officeDocument/2006/relationships/footer" Target="footer7.xml"/><Relationship Id="rId34" Type="http://schemas.openxmlformats.org/officeDocument/2006/relationships/footer" Target="footer6.xml"/><Relationship Id="rId50" Type="http://schemas.openxmlformats.org/officeDocument/2006/relationships/hyperlink" Target="https://www.bto.org/our-science/projects/wetland-bird-survey" TargetMode="External"/><Relationship Id="rId55" Type="http://schemas.openxmlformats.org/officeDocument/2006/relationships/hyperlink" Target="https://environmentalstandards.scot/wp-content/uploads/2021/11/ESS-Investigations-Air-quality-website-information-Nov21.pdf" TargetMode="External"/><Relationship Id="rId76" Type="http://schemas.openxmlformats.org/officeDocument/2006/relationships/hyperlink" Target="https://soils.environment.gov.scot/soils-in-scotland/soil-monitoring/" TargetMode="External"/><Relationship Id="rId97" Type="http://schemas.openxmlformats.org/officeDocument/2006/relationships/hyperlink" Target="https://www.transport.gov.scot/publication/national-transport-strategy-nts2-delivery-plan-2020-to-2022/" TargetMode="External"/><Relationship Id="rId104" Type="http://schemas.openxmlformats.org/officeDocument/2006/relationships/hyperlink" Target="https://www.transport.gov.scoat/transport-network/roads/the-trunk-road-network/" TargetMode="External"/><Relationship Id="rId7" Type="http://schemas.openxmlformats.org/officeDocument/2006/relationships/settings" Target="settings.xml"/><Relationship Id="rId71" Type="http://schemas.openxmlformats.org/officeDocument/2006/relationships/hyperlink" Target="https://www.nature.scot/professional-advice/protected-areas-and-species/30-30-and-nature-networks/30-30-explained" TargetMode="External"/><Relationship Id="rId92" Type="http://schemas.openxmlformats.org/officeDocument/2006/relationships/hyperlink" Target="https://www.transformingplanning.scot/national-planning-framework/" TargetMode="External"/><Relationship Id="rId2" Type="http://schemas.openxmlformats.org/officeDocument/2006/relationships/customXml" Target="../customXml/item2.xml"/><Relationship Id="rId29" Type="http://schemas.openxmlformats.org/officeDocument/2006/relationships/hyperlink" Target="https://www.nature.scot/professional-advice/landscape/landscape-character-assessment/scottish-landscape-character-types-map-and-descriptions" TargetMode="External"/><Relationship Id="rId24" Type="http://schemas.openxmlformats.org/officeDocument/2006/relationships/hyperlink" Target="https://gateway.snh.gov.uk/natural-spaces/dataset.jsp?dsid=NCCA" TargetMode="External"/><Relationship Id="rId40" Type="http://schemas.openxmlformats.org/officeDocument/2006/relationships/hyperlink" Target="file:///C:/Users/BegbieL/Downloads/00537494.pdf" TargetMode="External"/><Relationship Id="rId45" Type="http://schemas.openxmlformats.org/officeDocument/2006/relationships/hyperlink" Target="https://www.transport.gov.scot/media/49193/scotlands-road-safety-framework-to-2030.pdf" TargetMode="External"/><Relationship Id="rId66" Type="http://schemas.openxmlformats.org/officeDocument/2006/relationships/hyperlink" Target="https://jncc.gov.uk/our-work/seabird-monitoring-programme/" TargetMode="External"/><Relationship Id="rId87" Type="http://schemas.openxmlformats.org/officeDocument/2006/relationships/hyperlink" Target="https://www.gov.scot/policies/government-finance/infrastructure-investment/" TargetMode="External"/><Relationship Id="rId110" Type="http://schemas.openxmlformats.org/officeDocument/2006/relationships/fontTable" Target="fontTable.xml"/><Relationship Id="rId61" Type="http://schemas.openxmlformats.org/officeDocument/2006/relationships/hyperlink" Target="https://www.transport.gov.scot/media/49074/strategic-environmental-assessment-sea-progress-report.pdf" TargetMode="External"/><Relationship Id="rId82" Type="http://schemas.openxmlformats.org/officeDocument/2006/relationships/hyperlink" Target="https://www.gov.scot/publications/protecting-scotland-renewing-scotland-governments-programme-scotland-2020-2021/documents/"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hyperlink" Target="https://thefifthestate.com.au/innovation/building-construction/how-to-disembody-your-carbon/" TargetMode="External"/><Relationship Id="rId77" Type="http://schemas.openxmlformats.org/officeDocument/2006/relationships/hyperlink" Target="https://www.sepa.org.uk/environment/water/monitoring/protected-areas/" TargetMode="External"/><Relationship Id="rId100" Type="http://schemas.openxmlformats.org/officeDocument/2006/relationships/hyperlink" Target="https://www.transport.gov.scot/our-approach/strategy/strategic-transport-projects-review-2/" TargetMode="External"/><Relationship Id="rId105" Type="http://schemas.openxmlformats.org/officeDocument/2006/relationships/hyperlink" Target="http://www.apis.ac.uk/app" TargetMode="External"/><Relationship Id="rId8" Type="http://schemas.openxmlformats.org/officeDocument/2006/relationships/webSettings" Target="webSettings.xml"/><Relationship Id="rId51" Type="http://schemas.openxmlformats.org/officeDocument/2006/relationships/hyperlink" Target="https://www.theccc.org.uk/publication/net-zero-the-uks-contribution-to-stopping-global-warming/" TargetMode="External"/><Relationship Id="rId72" Type="http://schemas.openxmlformats.org/officeDocument/2006/relationships/hyperlink" Target="https://www.nature.scot/doc/scotlands-natural-capital-asset-index-2021-summary" TargetMode="External"/><Relationship Id="rId93" Type="http://schemas.openxmlformats.org/officeDocument/2006/relationships/hyperlink" Target="https://www.transport.gov.scot/news/reducing-car-use-for-a-healthier-fairer-and-greener-scotland/" TargetMode="External"/><Relationship Id="rId98" Type="http://schemas.openxmlformats.org/officeDocument/2006/relationships/hyperlink" Target="https://www.transport.gov.scot/our-approach/statistics/" TargetMode="External"/><Relationship Id="rId3" Type="http://schemas.openxmlformats.org/officeDocument/2006/relationships/customXml" Target="../customXml/item3.xml"/><Relationship Id="rId25" Type="http://schemas.openxmlformats.org/officeDocument/2006/relationships/hyperlink" Target="https://www.gov.scot/collections/scottish-index-of-multiple-deprivation-2020/" TargetMode="External"/><Relationship Id="rId46" Type="http://schemas.openxmlformats.org/officeDocument/2006/relationships/hyperlink" Target="https://www.transport.gov.scot/media/43912/sct10188149681.pdf" TargetMode="External"/><Relationship Id="rId67" Type="http://schemas.openxmlformats.org/officeDocument/2006/relationships/hyperlink" Target="https://www.nature.scot/professional-advice/landscape/scotlands-landscape-monitoring-programme" TargetMode="External"/><Relationship Id="rId20" Type="http://schemas.openxmlformats.org/officeDocument/2006/relationships/image" Target="media/image5.png"/><Relationship Id="rId41" Type="http://schemas.openxmlformats.org/officeDocument/2006/relationships/hyperlink" Target="file:///C:/Users/BegbieL/Downloads/connected-scotland-strategy-tackling-social-isolation-loneliness-building-stronger-social-connections.pdf" TargetMode="External"/><Relationship Id="rId62" Type="http://schemas.openxmlformats.org/officeDocument/2006/relationships/hyperlink" Target="https://www.transport.gov.scot/publication/update-and-phase-1-recommendations-february-2021-stpr2/" TargetMode="External"/><Relationship Id="rId83" Type="http://schemas.openxmlformats.org/officeDocument/2006/relationships/hyperlink" Target="https://www.gov.scot/publications/investing-jobs-capital-spending-review-framework-2021-22-2025-26/" TargetMode="External"/><Relationship Id="rId88" Type="http://schemas.openxmlformats.org/officeDocument/2006/relationships/hyperlink" Target="https://nationalperformance.gov.scot/" TargetMode="External"/><Relationship Id="rId11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A962C-CA35-48E2-A131-3F6CDB501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3.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4.xml><?xml version="1.0" encoding="utf-8"?>
<ds:datastoreItem xmlns:ds="http://schemas.openxmlformats.org/officeDocument/2006/customXml" ds:itemID="{7144B241-EA38-4B4E-97A6-5DEE454F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1924</TotalTime>
  <Pages>122</Pages>
  <Words>39480</Words>
  <Characters>235697</Characters>
  <Application>Microsoft Office Word</Application>
  <DocSecurity>0</DocSecurity>
  <Lines>5123</Lines>
  <Paragraphs>2166</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273011</CharactersWithSpaces>
  <SharedDoc>false</SharedDoc>
  <HLinks>
    <vt:vector size="1164" baseType="variant">
      <vt:variant>
        <vt:i4>5570579</vt:i4>
      </vt:variant>
      <vt:variant>
        <vt:i4>1206</vt:i4>
      </vt:variant>
      <vt:variant>
        <vt:i4>0</vt:i4>
      </vt:variant>
      <vt:variant>
        <vt:i4>5</vt:i4>
      </vt:variant>
      <vt:variant>
        <vt:lpwstr>https://www.theclimategroup.org/further-faster-together-under2-leaders-actions-cop26</vt:lpwstr>
      </vt:variant>
      <vt:variant>
        <vt:lpwstr/>
      </vt:variant>
      <vt:variant>
        <vt:i4>4456470</vt:i4>
      </vt:variant>
      <vt:variant>
        <vt:i4>1203</vt:i4>
      </vt:variant>
      <vt:variant>
        <vt:i4>0</vt:i4>
      </vt:variant>
      <vt:variant>
        <vt:i4>5</vt:i4>
      </vt:variant>
      <vt:variant>
        <vt:lpwstr>http://www.apis.ac.uk/app</vt:lpwstr>
      </vt:variant>
      <vt:variant>
        <vt:lpwstr/>
      </vt:variant>
      <vt:variant>
        <vt:i4>2949218</vt:i4>
      </vt:variant>
      <vt:variant>
        <vt:i4>1200</vt:i4>
      </vt:variant>
      <vt:variant>
        <vt:i4>0</vt:i4>
      </vt:variant>
      <vt:variant>
        <vt:i4>5</vt:i4>
      </vt:variant>
      <vt:variant>
        <vt:lpwstr>https://www.transport.gov.scoat/transport-network/roads/the-trunk-road-network/</vt:lpwstr>
      </vt:variant>
      <vt:variant>
        <vt:lpwstr/>
      </vt:variant>
      <vt:variant>
        <vt:i4>6488098</vt:i4>
      </vt:variant>
      <vt:variant>
        <vt:i4>1197</vt:i4>
      </vt:variant>
      <vt:variant>
        <vt:i4>0</vt:i4>
      </vt:variant>
      <vt:variant>
        <vt:i4>5</vt:i4>
      </vt:variant>
      <vt:variant>
        <vt:lpwstr>https://www.transport.gov.scot/publication/national-transport-strategy-nts2-second-delivery-plan-2022-2023/</vt:lpwstr>
      </vt:variant>
      <vt:variant>
        <vt:lpwstr/>
      </vt:variant>
      <vt:variant>
        <vt:i4>7077923</vt:i4>
      </vt:variant>
      <vt:variant>
        <vt:i4>1194</vt:i4>
      </vt:variant>
      <vt:variant>
        <vt:i4>0</vt:i4>
      </vt:variant>
      <vt:variant>
        <vt:i4>5</vt:i4>
      </vt:variant>
      <vt:variant>
        <vt:lpwstr>https://www.transport.gov.scot/our-approach/statistics/</vt:lpwstr>
      </vt:variant>
      <vt:variant>
        <vt:lpwstr>42763</vt:lpwstr>
      </vt:variant>
      <vt:variant>
        <vt:i4>7077923</vt:i4>
      </vt:variant>
      <vt:variant>
        <vt:i4>1191</vt:i4>
      </vt:variant>
      <vt:variant>
        <vt:i4>0</vt:i4>
      </vt:variant>
      <vt:variant>
        <vt:i4>5</vt:i4>
      </vt:variant>
      <vt:variant>
        <vt:lpwstr>https://www.transport.gov.scot/our-approach/statistics/</vt:lpwstr>
      </vt:variant>
      <vt:variant>
        <vt:lpwstr>42762</vt:lpwstr>
      </vt:variant>
      <vt:variant>
        <vt:i4>7209010</vt:i4>
      </vt:variant>
      <vt:variant>
        <vt:i4>1188</vt:i4>
      </vt:variant>
      <vt:variant>
        <vt:i4>0</vt:i4>
      </vt:variant>
      <vt:variant>
        <vt:i4>5</vt:i4>
      </vt:variant>
      <vt:variant>
        <vt:lpwstr>https://www.transport.gov.scot/our-approach/strategy/strategic-transport-projects-review-2/</vt:lpwstr>
      </vt:variant>
      <vt:variant>
        <vt:lpwstr/>
      </vt:variant>
      <vt:variant>
        <vt:i4>4325460</vt:i4>
      </vt:variant>
      <vt:variant>
        <vt:i4>1185</vt:i4>
      </vt:variant>
      <vt:variant>
        <vt:i4>0</vt:i4>
      </vt:variant>
      <vt:variant>
        <vt:i4>5</vt:i4>
      </vt:variant>
      <vt:variant>
        <vt:lpwstr>https://www.transport.gov.scot/publication/active-travel-framework-1/</vt:lpwstr>
      </vt:variant>
      <vt:variant>
        <vt:lpwstr/>
      </vt:variant>
      <vt:variant>
        <vt:i4>7077923</vt:i4>
      </vt:variant>
      <vt:variant>
        <vt:i4>1182</vt:i4>
      </vt:variant>
      <vt:variant>
        <vt:i4>0</vt:i4>
      </vt:variant>
      <vt:variant>
        <vt:i4>5</vt:i4>
      </vt:variant>
      <vt:variant>
        <vt:lpwstr>https://www.transport.gov.scot/our-approach/statistics/</vt:lpwstr>
      </vt:variant>
      <vt:variant>
        <vt:lpwstr>42764</vt:lpwstr>
      </vt:variant>
      <vt:variant>
        <vt:i4>7798846</vt:i4>
      </vt:variant>
      <vt:variant>
        <vt:i4>1179</vt:i4>
      </vt:variant>
      <vt:variant>
        <vt:i4>0</vt:i4>
      </vt:variant>
      <vt:variant>
        <vt:i4>5</vt:i4>
      </vt:variant>
      <vt:variant>
        <vt:lpwstr>https://www.transport.gov.scot/publication/national-transport-strategy-nts2-delivery-plan-2020-to-2022/</vt:lpwstr>
      </vt:variant>
      <vt:variant>
        <vt:lpwstr/>
      </vt:variant>
      <vt:variant>
        <vt:i4>2097205</vt:i4>
      </vt:variant>
      <vt:variant>
        <vt:i4>1176</vt:i4>
      </vt:variant>
      <vt:variant>
        <vt:i4>0</vt:i4>
      </vt:variant>
      <vt:variant>
        <vt:i4>5</vt:i4>
      </vt:variant>
      <vt:variant>
        <vt:lpwstr>https://www.transport.gov.scot/publication/stag-technical-database/</vt:lpwstr>
      </vt:variant>
      <vt:variant>
        <vt:lpwstr/>
      </vt:variant>
      <vt:variant>
        <vt:i4>6094871</vt:i4>
      </vt:variant>
      <vt:variant>
        <vt:i4>1173</vt:i4>
      </vt:variant>
      <vt:variant>
        <vt:i4>0</vt:i4>
      </vt:variant>
      <vt:variant>
        <vt:i4>5</vt:i4>
      </vt:variant>
      <vt:variant>
        <vt:lpwstr>https://www.skillsdevelopmentscotland.co.uk/media/45467/historic-environment-sip.pdf</vt:lpwstr>
      </vt:variant>
      <vt:variant>
        <vt:lpwstr/>
      </vt:variant>
      <vt:variant>
        <vt:i4>1245261</vt:i4>
      </vt:variant>
      <vt:variant>
        <vt:i4>1170</vt:i4>
      </vt:variant>
      <vt:variant>
        <vt:i4>0</vt:i4>
      </vt:variant>
      <vt:variant>
        <vt:i4>5</vt:i4>
      </vt:variant>
      <vt:variant>
        <vt:lpwstr>https://www.gov.scot/publications/stronger-more-resilient-scotland-programme-government-2022-23/</vt:lpwstr>
      </vt:variant>
      <vt:variant>
        <vt:lpwstr/>
      </vt:variant>
      <vt:variant>
        <vt:i4>6094863</vt:i4>
      </vt:variant>
      <vt:variant>
        <vt:i4>1167</vt:i4>
      </vt:variant>
      <vt:variant>
        <vt:i4>0</vt:i4>
      </vt:variant>
      <vt:variant>
        <vt:i4>5</vt:i4>
      </vt:variant>
      <vt:variant>
        <vt:lpwstr>https://www.transport.gov.scot/news/reducing-car-use-for-a-healthier-fairer-and-greener-scotland/</vt:lpwstr>
      </vt:variant>
      <vt:variant>
        <vt:lpwstr/>
      </vt:variant>
      <vt:variant>
        <vt:i4>7471153</vt:i4>
      </vt:variant>
      <vt:variant>
        <vt:i4>1164</vt:i4>
      </vt:variant>
      <vt:variant>
        <vt:i4>0</vt:i4>
      </vt:variant>
      <vt:variant>
        <vt:i4>5</vt:i4>
      </vt:variant>
      <vt:variant>
        <vt:lpwstr>https://www.transformingplanning.scot/national-planning-framework/</vt:lpwstr>
      </vt:variant>
      <vt:variant>
        <vt:lpwstr/>
      </vt:variant>
      <vt:variant>
        <vt:i4>4259862</vt:i4>
      </vt:variant>
      <vt:variant>
        <vt:i4>1161</vt:i4>
      </vt:variant>
      <vt:variant>
        <vt:i4>0</vt:i4>
      </vt:variant>
      <vt:variant>
        <vt:i4>5</vt:i4>
      </vt:variant>
      <vt:variant>
        <vt:lpwstr>https://www.gov.scot/publications/scottish-government-scottish-green-party-shared-policy-programme/documents/</vt:lpwstr>
      </vt:variant>
      <vt:variant>
        <vt:lpwstr/>
      </vt:variant>
      <vt:variant>
        <vt:i4>4521986</vt:i4>
      </vt:variant>
      <vt:variant>
        <vt:i4>1158</vt:i4>
      </vt:variant>
      <vt:variant>
        <vt:i4>0</vt:i4>
      </vt:variant>
      <vt:variant>
        <vt:i4>5</vt:i4>
      </vt:variant>
      <vt:variant>
        <vt:lpwstr>https://www.gov.scot/publications/scottish-government-response-scotlands-climate-assembly-recommendations-action/pages/3/</vt:lpwstr>
      </vt:variant>
      <vt:variant>
        <vt:lpwstr/>
      </vt:variant>
      <vt:variant>
        <vt:i4>4784134</vt:i4>
      </vt:variant>
      <vt:variant>
        <vt:i4>1155</vt:i4>
      </vt:variant>
      <vt:variant>
        <vt:i4>0</vt:i4>
      </vt:variant>
      <vt:variant>
        <vt:i4>5</vt:i4>
      </vt:variant>
      <vt:variant>
        <vt:lpwstr>https://www.gov.scot/publications/investing-jobs-capital-spending-review-2021-22-2025-26/</vt:lpwstr>
      </vt:variant>
      <vt:variant>
        <vt:lpwstr/>
      </vt:variant>
      <vt:variant>
        <vt:i4>1048658</vt:i4>
      </vt:variant>
      <vt:variant>
        <vt:i4>1152</vt:i4>
      </vt:variant>
      <vt:variant>
        <vt:i4>0</vt:i4>
      </vt:variant>
      <vt:variant>
        <vt:i4>5</vt:i4>
      </vt:variant>
      <vt:variant>
        <vt:lpwstr>https://nationalperformance.gov.scot/</vt:lpwstr>
      </vt:variant>
      <vt:variant>
        <vt:lpwstr/>
      </vt:variant>
      <vt:variant>
        <vt:i4>7798902</vt:i4>
      </vt:variant>
      <vt:variant>
        <vt:i4>1149</vt:i4>
      </vt:variant>
      <vt:variant>
        <vt:i4>0</vt:i4>
      </vt:variant>
      <vt:variant>
        <vt:i4>5</vt:i4>
      </vt:variant>
      <vt:variant>
        <vt:lpwstr>https://www.gov.scot/policies/government-finance/infrastructure-investment/</vt:lpwstr>
      </vt:variant>
      <vt:variant>
        <vt:lpwstr/>
      </vt:variant>
      <vt:variant>
        <vt:i4>4063329</vt:i4>
      </vt:variant>
      <vt:variant>
        <vt:i4>1146</vt:i4>
      </vt:variant>
      <vt:variant>
        <vt:i4>0</vt:i4>
      </vt:variant>
      <vt:variant>
        <vt:i4>5</vt:i4>
      </vt:variant>
      <vt:variant>
        <vt:lpwstr>https://www.gov.scot/publications/fairer-greener-scotland-programme-government-2021-22/</vt:lpwstr>
      </vt:variant>
      <vt:variant>
        <vt:lpwstr/>
      </vt:variant>
      <vt:variant>
        <vt:i4>7602232</vt:i4>
      </vt:variant>
      <vt:variant>
        <vt:i4>1143</vt:i4>
      </vt:variant>
      <vt:variant>
        <vt:i4>0</vt:i4>
      </vt:variant>
      <vt:variant>
        <vt:i4>5</vt:i4>
      </vt:variant>
      <vt:variant>
        <vt:lpwstr>https://www.gov.scot/publications/transition-commission-national-mission-fairer-greener-scotland/pages/5/</vt:lpwstr>
      </vt:variant>
      <vt:variant>
        <vt:lpwstr>:~:text=%20Just%20Transition%20Commission%3A%20A%20National%20Mission%20for,supply%20chain%20and%20embed%20quality%20work...%20More%20</vt:lpwstr>
      </vt:variant>
      <vt:variant>
        <vt:i4>8192032</vt:i4>
      </vt:variant>
      <vt:variant>
        <vt:i4>1140</vt:i4>
      </vt:variant>
      <vt:variant>
        <vt:i4>0</vt:i4>
      </vt:variant>
      <vt:variant>
        <vt:i4>5</vt:i4>
      </vt:variant>
      <vt:variant>
        <vt:lpwstr>https://www.gov.scot/publications/cleaner-air-scotland-2-towards-better-place-everyone/</vt:lpwstr>
      </vt:variant>
      <vt:variant>
        <vt:lpwstr/>
      </vt:variant>
      <vt:variant>
        <vt:i4>3080241</vt:i4>
      </vt:variant>
      <vt:variant>
        <vt:i4>1137</vt:i4>
      </vt:variant>
      <vt:variant>
        <vt:i4>0</vt:i4>
      </vt:variant>
      <vt:variant>
        <vt:i4>5</vt:i4>
      </vt:variant>
      <vt:variant>
        <vt:lpwstr>https://www.gov.scot/publications/investing-jobs-capital-spending-review-framework-2021-22-2025-26/</vt:lpwstr>
      </vt:variant>
      <vt:variant>
        <vt:lpwstr/>
      </vt:variant>
      <vt:variant>
        <vt:i4>7078004</vt:i4>
      </vt:variant>
      <vt:variant>
        <vt:i4>1134</vt:i4>
      </vt:variant>
      <vt:variant>
        <vt:i4>0</vt:i4>
      </vt:variant>
      <vt:variant>
        <vt:i4>5</vt:i4>
      </vt:variant>
      <vt:variant>
        <vt:lpwstr>https://www.gov.scot/publications/protecting-scotland-renewing-scotland-governments-programme-scotland-2020-2021/documents/</vt:lpwstr>
      </vt:variant>
      <vt:variant>
        <vt:lpwstr/>
      </vt:variant>
      <vt:variant>
        <vt:i4>7995441</vt:i4>
      </vt:variant>
      <vt:variant>
        <vt:i4>1131</vt:i4>
      </vt:variant>
      <vt:variant>
        <vt:i4>0</vt:i4>
      </vt:variant>
      <vt:variant>
        <vt:i4>5</vt:i4>
      </vt:variant>
      <vt:variant>
        <vt:lpwstr>https://www.gov.scot/publications/annual-compendium-of-scottish-energy-statistics/</vt:lpwstr>
      </vt:variant>
      <vt:variant>
        <vt:lpwstr/>
      </vt:variant>
      <vt:variant>
        <vt:i4>7864429</vt:i4>
      </vt:variant>
      <vt:variant>
        <vt:i4>1128</vt:i4>
      </vt:variant>
      <vt:variant>
        <vt:i4>0</vt:i4>
      </vt:variant>
      <vt:variant>
        <vt:i4>5</vt:i4>
      </vt:variant>
      <vt:variant>
        <vt:lpwstr>https://www.gov.scot/publications/national-plan-scotlands-islands/pages/7/</vt:lpwstr>
      </vt:variant>
      <vt:variant>
        <vt:lpwstr/>
      </vt:variant>
      <vt:variant>
        <vt:i4>2490489</vt:i4>
      </vt:variant>
      <vt:variant>
        <vt:i4>1125</vt:i4>
      </vt:variant>
      <vt:variant>
        <vt:i4>0</vt:i4>
      </vt:variant>
      <vt:variant>
        <vt:i4>5</vt:i4>
      </vt:variant>
      <vt:variant>
        <vt:lpwstr>http://www.gov.scot/Resource/0048/00488493.pdf</vt:lpwstr>
      </vt:variant>
      <vt:variant>
        <vt:lpwstr/>
      </vt:variant>
      <vt:variant>
        <vt:i4>5374078</vt:i4>
      </vt:variant>
      <vt:variant>
        <vt:i4>1122</vt:i4>
      </vt:variant>
      <vt:variant>
        <vt:i4>0</vt:i4>
      </vt:variant>
      <vt:variant>
        <vt:i4>5</vt:i4>
      </vt:variant>
      <vt:variant>
        <vt:lpwstr>https://www.sepa.org.uk/media/38220/wfd_aquatic_monitoring_strategy-scotland_river_basin.pdf</vt:lpwstr>
      </vt:variant>
      <vt:variant>
        <vt:lpwstr/>
      </vt:variant>
      <vt:variant>
        <vt:i4>720975</vt:i4>
      </vt:variant>
      <vt:variant>
        <vt:i4>1119</vt:i4>
      </vt:variant>
      <vt:variant>
        <vt:i4>0</vt:i4>
      </vt:variant>
      <vt:variant>
        <vt:i4>5</vt:i4>
      </vt:variant>
      <vt:variant>
        <vt:lpwstr>https://www.sepa.org.uk/environment/water/monitoring/protected-areas/</vt:lpwstr>
      </vt:variant>
      <vt:variant>
        <vt:lpwstr/>
      </vt:variant>
      <vt:variant>
        <vt:i4>4194316</vt:i4>
      </vt:variant>
      <vt:variant>
        <vt:i4>1116</vt:i4>
      </vt:variant>
      <vt:variant>
        <vt:i4>0</vt:i4>
      </vt:variant>
      <vt:variant>
        <vt:i4>5</vt:i4>
      </vt:variant>
      <vt:variant>
        <vt:lpwstr>https://soils.environment.gov.scot/soils-in-scotland/soil-monitoring/</vt:lpwstr>
      </vt:variant>
      <vt:variant>
        <vt:lpwstr/>
      </vt:variant>
      <vt:variant>
        <vt:i4>7798835</vt:i4>
      </vt:variant>
      <vt:variant>
        <vt:i4>1113</vt:i4>
      </vt:variant>
      <vt:variant>
        <vt:i4>0</vt:i4>
      </vt:variant>
      <vt:variant>
        <vt:i4>5</vt:i4>
      </vt:variant>
      <vt:variant>
        <vt:lpwstr>http://www.scottishairquality.scot/</vt:lpwstr>
      </vt:variant>
      <vt:variant>
        <vt:lpwstr/>
      </vt:variant>
      <vt:variant>
        <vt:i4>5374053</vt:i4>
      </vt:variant>
      <vt:variant>
        <vt:i4>1110</vt:i4>
      </vt:variant>
      <vt:variant>
        <vt:i4>0</vt:i4>
      </vt:variant>
      <vt:variant>
        <vt:i4>5</vt:i4>
      </vt:variant>
      <vt:variant>
        <vt:lpwstr>https://assets.publishing.service.gov.uk/government/uploads/system/uploads/attachment_data/file/7657/practicalguidesea.pdf</vt:lpwstr>
      </vt:variant>
      <vt:variant>
        <vt:lpwstr/>
      </vt:variant>
      <vt:variant>
        <vt:i4>5570585</vt:i4>
      </vt:variant>
      <vt:variant>
        <vt:i4>1107</vt:i4>
      </vt:variant>
      <vt:variant>
        <vt:i4>0</vt:i4>
      </vt:variant>
      <vt:variant>
        <vt:i4>5</vt:i4>
      </vt:variant>
      <vt:variant>
        <vt:lpwstr>https://www.nature.scot/landscapes-and-habitats/habitat-map-scotland</vt:lpwstr>
      </vt:variant>
      <vt:variant>
        <vt:lpwstr/>
      </vt:variant>
      <vt:variant>
        <vt:i4>7536672</vt:i4>
      </vt:variant>
      <vt:variant>
        <vt:i4>1104</vt:i4>
      </vt:variant>
      <vt:variant>
        <vt:i4>0</vt:i4>
      </vt:variant>
      <vt:variant>
        <vt:i4>5</vt:i4>
      </vt:variant>
      <vt:variant>
        <vt:lpwstr>https://www.nature.scot/doc/scotlands-natural-capital-asset-index-2021-summary</vt:lpwstr>
      </vt:variant>
      <vt:variant>
        <vt:lpwstr/>
      </vt:variant>
      <vt:variant>
        <vt:i4>5177358</vt:i4>
      </vt:variant>
      <vt:variant>
        <vt:i4>1101</vt:i4>
      </vt:variant>
      <vt:variant>
        <vt:i4>0</vt:i4>
      </vt:variant>
      <vt:variant>
        <vt:i4>5</vt:i4>
      </vt:variant>
      <vt:variant>
        <vt:lpwstr>https://www.nature.scot/professional-advice/protected-areas-and-species/30-30-and-nature-networks/30-30-explained</vt:lpwstr>
      </vt:variant>
      <vt:variant>
        <vt:lpwstr/>
      </vt:variant>
      <vt:variant>
        <vt:i4>5832705</vt:i4>
      </vt:variant>
      <vt:variant>
        <vt:i4>1098</vt:i4>
      </vt:variant>
      <vt:variant>
        <vt:i4>0</vt:i4>
      </vt:variant>
      <vt:variant>
        <vt:i4>5</vt:i4>
      </vt:variant>
      <vt:variant>
        <vt:lpwstr>https://www.nature.scot/sites/default/files/2019-10/State-of-nature-Report-2019-Scotland-full-report.pdf</vt:lpwstr>
      </vt:variant>
      <vt:variant>
        <vt:lpwstr/>
      </vt:variant>
      <vt:variant>
        <vt:i4>1245258</vt:i4>
      </vt:variant>
      <vt:variant>
        <vt:i4>1095</vt:i4>
      </vt:variant>
      <vt:variant>
        <vt:i4>0</vt:i4>
      </vt:variant>
      <vt:variant>
        <vt:i4>5</vt:i4>
      </vt:variant>
      <vt:variant>
        <vt:lpwstr>https://www.environment.gov.scot/our-environment/state-of-the-environment/ecosystem-health-indicators/function-indicators/indicator-8-connectivity/</vt:lpwstr>
      </vt:variant>
      <vt:variant>
        <vt:lpwstr>:~:text=for%20this%20indicator%3F-,What%20is%20it%3F,to%20as%20the%20landscape%20matrix</vt:lpwstr>
      </vt:variant>
      <vt:variant>
        <vt:i4>5963848</vt:i4>
      </vt:variant>
      <vt:variant>
        <vt:i4>1092</vt:i4>
      </vt:variant>
      <vt:variant>
        <vt:i4>0</vt:i4>
      </vt:variant>
      <vt:variant>
        <vt:i4>5</vt:i4>
      </vt:variant>
      <vt:variant>
        <vt:lpwstr>https://www.nature.scot/professional-advice/protected-areas-and-species/protected-areas/site-condition-monitoring/how-we-monitor-features</vt:lpwstr>
      </vt:variant>
      <vt:variant>
        <vt:lpwstr/>
      </vt:variant>
      <vt:variant>
        <vt:i4>6422625</vt:i4>
      </vt:variant>
      <vt:variant>
        <vt:i4>1089</vt:i4>
      </vt:variant>
      <vt:variant>
        <vt:i4>0</vt:i4>
      </vt:variant>
      <vt:variant>
        <vt:i4>5</vt:i4>
      </vt:variant>
      <vt:variant>
        <vt:lpwstr>https://www.nature.scot/professional-advice/landscape/scotlands-landscape-monitoring-programme</vt:lpwstr>
      </vt:variant>
      <vt:variant>
        <vt:lpwstr/>
      </vt:variant>
      <vt:variant>
        <vt:i4>6553632</vt:i4>
      </vt:variant>
      <vt:variant>
        <vt:i4>1086</vt:i4>
      </vt:variant>
      <vt:variant>
        <vt:i4>0</vt:i4>
      </vt:variant>
      <vt:variant>
        <vt:i4>5</vt:i4>
      </vt:variant>
      <vt:variant>
        <vt:lpwstr>https://jncc.gov.uk/our-work/seabird-monitoring-programme/</vt:lpwstr>
      </vt:variant>
      <vt:variant>
        <vt:lpwstr/>
      </vt:variant>
      <vt:variant>
        <vt:i4>458768</vt:i4>
      </vt:variant>
      <vt:variant>
        <vt:i4>1083</vt:i4>
      </vt:variant>
      <vt:variant>
        <vt:i4>0</vt:i4>
      </vt:variant>
      <vt:variant>
        <vt:i4>5</vt:i4>
      </vt:variant>
      <vt:variant>
        <vt:lpwstr>https://www.transport.gov.scot/publication/strategic-environmental-assessment-draft-environmental-report-january-2022-stpr2/</vt:lpwstr>
      </vt:variant>
      <vt:variant>
        <vt:lpwstr/>
      </vt:variant>
      <vt:variant>
        <vt:i4>4718597</vt:i4>
      </vt:variant>
      <vt:variant>
        <vt:i4>1080</vt:i4>
      </vt:variant>
      <vt:variant>
        <vt:i4>0</vt:i4>
      </vt:variant>
      <vt:variant>
        <vt:i4>5</vt:i4>
      </vt:variant>
      <vt:variant>
        <vt:lpwstr>https://www.transport.gov.scot/media/50946/draft-technical-report-january-2022-stpr2.pdf</vt:lpwstr>
      </vt:variant>
      <vt:variant>
        <vt:lpwstr/>
      </vt:variant>
      <vt:variant>
        <vt:i4>5898260</vt:i4>
      </vt:variant>
      <vt:variant>
        <vt:i4>1077</vt:i4>
      </vt:variant>
      <vt:variant>
        <vt:i4>0</vt:i4>
      </vt:variant>
      <vt:variant>
        <vt:i4>5</vt:i4>
      </vt:variant>
      <vt:variant>
        <vt:lpwstr>https://www.transport.gov.scot/media/50908/equality-impact-assessment-draft-report-january-2022-stpr2.pdf</vt:lpwstr>
      </vt:variant>
      <vt:variant>
        <vt:lpwstr/>
      </vt:variant>
      <vt:variant>
        <vt:i4>6946926</vt:i4>
      </vt:variant>
      <vt:variant>
        <vt:i4>1074</vt:i4>
      </vt:variant>
      <vt:variant>
        <vt:i4>0</vt:i4>
      </vt:variant>
      <vt:variant>
        <vt:i4>5</vt:i4>
      </vt:variant>
      <vt:variant>
        <vt:lpwstr>https://www.transport.gov.scot/publication/update-and-phase-1-recommendations-february-2021-stpr2/</vt:lpwstr>
      </vt:variant>
      <vt:variant>
        <vt:lpwstr/>
      </vt:variant>
      <vt:variant>
        <vt:i4>4915285</vt:i4>
      </vt:variant>
      <vt:variant>
        <vt:i4>1071</vt:i4>
      </vt:variant>
      <vt:variant>
        <vt:i4>0</vt:i4>
      </vt:variant>
      <vt:variant>
        <vt:i4>5</vt:i4>
      </vt:variant>
      <vt:variant>
        <vt:lpwstr>https://www.transport.gov.scot/media/49074/strategic-environmental-assessment-sea-progress-report.pdf</vt:lpwstr>
      </vt:variant>
      <vt:variant>
        <vt:lpwstr/>
      </vt:variant>
      <vt:variant>
        <vt:i4>6357110</vt:i4>
      </vt:variant>
      <vt:variant>
        <vt:i4>1068</vt:i4>
      </vt:variant>
      <vt:variant>
        <vt:i4>0</vt:i4>
      </vt:variant>
      <vt:variant>
        <vt:i4>5</vt:i4>
      </vt:variant>
      <vt:variant>
        <vt:lpwstr>https://www.strategicenvironmentalassessment.gov.scot/PublicSearch.aspx</vt:lpwstr>
      </vt:variant>
      <vt:variant>
        <vt:lpwstr/>
      </vt:variant>
      <vt:variant>
        <vt:i4>4653123</vt:i4>
      </vt:variant>
      <vt:variant>
        <vt:i4>1065</vt:i4>
      </vt:variant>
      <vt:variant>
        <vt:i4>0</vt:i4>
      </vt:variant>
      <vt:variant>
        <vt:i4>5</vt:i4>
      </vt:variant>
      <vt:variant>
        <vt:lpwstr>https://infrastructurecommission.scot/storage/261/Phase2_Appendix_A.pdf</vt:lpwstr>
      </vt:variant>
      <vt:variant>
        <vt:lpwstr/>
      </vt:variant>
      <vt:variant>
        <vt:i4>7012388</vt:i4>
      </vt:variant>
      <vt:variant>
        <vt:i4>1062</vt:i4>
      </vt:variant>
      <vt:variant>
        <vt:i4>0</vt:i4>
      </vt:variant>
      <vt:variant>
        <vt:i4>5</vt:i4>
      </vt:variant>
      <vt:variant>
        <vt:lpwstr>https://www.historicenvironment.scot/archives-and-research/publications/publication/?publicationId=94dd22c9-5d32-4e91-9a46-ab6600b6c1dd</vt:lpwstr>
      </vt:variant>
      <vt:variant>
        <vt:lpwstr/>
      </vt:variant>
      <vt:variant>
        <vt:i4>3735678</vt:i4>
      </vt:variant>
      <vt:variant>
        <vt:i4>1059</vt:i4>
      </vt:variant>
      <vt:variant>
        <vt:i4>0</vt:i4>
      </vt:variant>
      <vt:variant>
        <vt:i4>5</vt:i4>
      </vt:variant>
      <vt:variant>
        <vt:lpwstr>https://www.historicenvironment.scot/archives-and-research/publications/publication/?publicationId=bb46bde1-518e-4590-8fca-a882010e711f</vt:lpwstr>
      </vt:variant>
      <vt:variant>
        <vt:lpwstr/>
      </vt:variant>
      <vt:variant>
        <vt:i4>4849748</vt:i4>
      </vt:variant>
      <vt:variant>
        <vt:i4>1056</vt:i4>
      </vt:variant>
      <vt:variant>
        <vt:i4>0</vt:i4>
      </vt:variant>
      <vt:variant>
        <vt:i4>5</vt:i4>
      </vt:variant>
      <vt:variant>
        <vt:lpwstr>https://thefifthestate.com.au/innovation/building-construction/how-to-disembody-your-carbon/</vt:lpwstr>
      </vt:variant>
      <vt:variant>
        <vt:lpwstr/>
      </vt:variant>
      <vt:variant>
        <vt:i4>7864377</vt:i4>
      </vt:variant>
      <vt:variant>
        <vt:i4>1053</vt:i4>
      </vt:variant>
      <vt:variant>
        <vt:i4>0</vt:i4>
      </vt:variant>
      <vt:variant>
        <vt:i4>5</vt:i4>
      </vt:variant>
      <vt:variant>
        <vt:lpwstr>https://environmentalstandards.scot/wp-content/uploads/2021/11/ESS-Investigations-Air-quality-website-information-Nov21.pdf</vt:lpwstr>
      </vt:variant>
      <vt:variant>
        <vt:lpwstr/>
      </vt:variant>
      <vt:variant>
        <vt:i4>6160406</vt:i4>
      </vt:variant>
      <vt:variant>
        <vt:i4>1050</vt:i4>
      </vt:variant>
      <vt:variant>
        <vt:i4>0</vt:i4>
      </vt:variant>
      <vt:variant>
        <vt:i4>5</vt:i4>
      </vt:variant>
      <vt:variant>
        <vt:lpwstr>http://eur-lex.europa.eu/LexUriServ/LexUriServ.do?uri=OJ:L:2001:197:0030:0037:EN:PDF</vt:lpwstr>
      </vt:variant>
      <vt:variant>
        <vt:lpwstr/>
      </vt:variant>
      <vt:variant>
        <vt:i4>3014665</vt:i4>
      </vt:variant>
      <vt:variant>
        <vt:i4>1047</vt:i4>
      </vt:variant>
      <vt:variant>
        <vt:i4>0</vt:i4>
      </vt:variant>
      <vt:variant>
        <vt:i4>5</vt:i4>
      </vt:variant>
      <vt:variant>
        <vt:lpwstr>https://www.constructionleadershipcouncil.co.uk/wp-content/uploads/2019/06/Guidance-Document-for-PAS2080_vFinal.pdf</vt:lpwstr>
      </vt:variant>
      <vt:variant>
        <vt:lpwstr/>
      </vt:variant>
      <vt:variant>
        <vt:i4>4653075</vt:i4>
      </vt:variant>
      <vt:variant>
        <vt:i4>1044</vt:i4>
      </vt:variant>
      <vt:variant>
        <vt:i4>0</vt:i4>
      </vt:variant>
      <vt:variant>
        <vt:i4>5</vt:i4>
      </vt:variant>
      <vt:variant>
        <vt:lpwstr>https://carbonleadershipforum.org/looking-ahead-to-embodied-carbon-policy-action-in-2021/</vt:lpwstr>
      </vt:variant>
      <vt:variant>
        <vt:lpwstr/>
      </vt:variant>
      <vt:variant>
        <vt:i4>7012479</vt:i4>
      </vt:variant>
      <vt:variant>
        <vt:i4>1041</vt:i4>
      </vt:variant>
      <vt:variant>
        <vt:i4>0</vt:i4>
      </vt:variant>
      <vt:variant>
        <vt:i4>5</vt:i4>
      </vt:variant>
      <vt:variant>
        <vt:lpwstr>https://www.theccc.org.uk/publication/net-zero-the-uks-contribution-to-stopping-global-warming/</vt:lpwstr>
      </vt:variant>
      <vt:variant>
        <vt:lpwstr/>
      </vt:variant>
      <vt:variant>
        <vt:i4>1310795</vt:i4>
      </vt:variant>
      <vt:variant>
        <vt:i4>1038</vt:i4>
      </vt:variant>
      <vt:variant>
        <vt:i4>0</vt:i4>
      </vt:variant>
      <vt:variant>
        <vt:i4>5</vt:i4>
      </vt:variant>
      <vt:variant>
        <vt:lpwstr>https://www.bto.org/our-science/projects/wetland-bird-survey</vt:lpwstr>
      </vt:variant>
      <vt:variant>
        <vt:lpwstr/>
      </vt:variant>
      <vt:variant>
        <vt:i4>786441</vt:i4>
      </vt:variant>
      <vt:variant>
        <vt:i4>993</vt:i4>
      </vt:variant>
      <vt:variant>
        <vt:i4>0</vt:i4>
      </vt:variant>
      <vt:variant>
        <vt:i4>5</vt:i4>
      </vt:variant>
      <vt:variant>
        <vt:lpwstr>https://www.transport.gov.scot/media/43912/sct10188149681.pdf</vt:lpwstr>
      </vt:variant>
      <vt:variant>
        <vt:lpwstr/>
      </vt:variant>
      <vt:variant>
        <vt:i4>7798904</vt:i4>
      </vt:variant>
      <vt:variant>
        <vt:i4>990</vt:i4>
      </vt:variant>
      <vt:variant>
        <vt:i4>0</vt:i4>
      </vt:variant>
      <vt:variant>
        <vt:i4>5</vt:i4>
      </vt:variant>
      <vt:variant>
        <vt:lpwstr>https://www.transport.gov.scot/media/49193/scotlands-road-safety-framework-to-2030.pdf</vt:lpwstr>
      </vt:variant>
      <vt:variant>
        <vt:lpwstr/>
      </vt:variant>
      <vt:variant>
        <vt:i4>6357118</vt:i4>
      </vt:variant>
      <vt:variant>
        <vt:i4>987</vt:i4>
      </vt:variant>
      <vt:variant>
        <vt:i4>0</vt:i4>
      </vt:variant>
      <vt:variant>
        <vt:i4>5</vt:i4>
      </vt:variant>
      <vt:variant>
        <vt:lpwstr>C:\Users\BegbieL\Downloads\00475466 (8).pdf</vt:lpwstr>
      </vt:variant>
      <vt:variant>
        <vt:lpwstr/>
      </vt:variant>
      <vt:variant>
        <vt:i4>6422634</vt:i4>
      </vt:variant>
      <vt:variant>
        <vt:i4>984</vt:i4>
      </vt:variant>
      <vt:variant>
        <vt:i4>0</vt:i4>
      </vt:variant>
      <vt:variant>
        <vt:i4>5</vt:i4>
      </vt:variant>
      <vt:variant>
        <vt:lpwstr>https://www.transport.gov.scot/media/10311/transport-scotland-policy-cycling-action-plan-for-scotland-january-2017.pdf</vt:lpwstr>
      </vt:variant>
      <vt:variant>
        <vt:lpwstr/>
      </vt:variant>
      <vt:variant>
        <vt:i4>1638465</vt:i4>
      </vt:variant>
      <vt:variant>
        <vt:i4>981</vt:i4>
      </vt:variant>
      <vt:variant>
        <vt:i4>0</vt:i4>
      </vt:variant>
      <vt:variant>
        <vt:i4>5</vt:i4>
      </vt:variant>
      <vt:variant>
        <vt:lpwstr>https://www.transport.gov.scot/media/33649/long-term-vison-for-active-travel-in-scotland-2030.pdf</vt:lpwstr>
      </vt:variant>
      <vt:variant>
        <vt:lpwstr/>
      </vt:variant>
      <vt:variant>
        <vt:i4>5636184</vt:i4>
      </vt:variant>
      <vt:variant>
        <vt:i4>978</vt:i4>
      </vt:variant>
      <vt:variant>
        <vt:i4>0</vt:i4>
      </vt:variant>
      <vt:variant>
        <vt:i4>5</vt:i4>
      </vt:variant>
      <vt:variant>
        <vt:lpwstr>C:\Users\BegbieL\Downloads\connected-scotland-strategy-tackling-social-isolation-loneliness-building-stronger-social-connections.pdf</vt:lpwstr>
      </vt:variant>
      <vt:variant>
        <vt:lpwstr/>
      </vt:variant>
      <vt:variant>
        <vt:i4>7667833</vt:i4>
      </vt:variant>
      <vt:variant>
        <vt:i4>975</vt:i4>
      </vt:variant>
      <vt:variant>
        <vt:i4>0</vt:i4>
      </vt:variant>
      <vt:variant>
        <vt:i4>5</vt:i4>
      </vt:variant>
      <vt:variant>
        <vt:lpwstr>C:\Users\BegbieL\Downloads\00537494.pdf</vt:lpwstr>
      </vt:variant>
      <vt:variant>
        <vt:lpwstr/>
      </vt:variant>
      <vt:variant>
        <vt:i4>7995515</vt:i4>
      </vt:variant>
      <vt:variant>
        <vt:i4>972</vt:i4>
      </vt:variant>
      <vt:variant>
        <vt:i4>0</vt:i4>
      </vt:variant>
      <vt:variant>
        <vt:i4>5</vt:i4>
      </vt:variant>
      <vt:variant>
        <vt:lpwstr>C:\Users\BegbieL\Downloads\00452622.pdf</vt:lpwstr>
      </vt:variant>
      <vt:variant>
        <vt:lpwstr/>
      </vt:variant>
      <vt:variant>
        <vt:i4>3670117</vt:i4>
      </vt:variant>
      <vt:variant>
        <vt:i4>969</vt:i4>
      </vt:variant>
      <vt:variant>
        <vt:i4>0</vt:i4>
      </vt:variant>
      <vt:variant>
        <vt:i4>5</vt:i4>
      </vt:variant>
      <vt:variant>
        <vt:lpwstr>https://www.transport.gov.scot/media/20113/j448711.pdf</vt:lpwstr>
      </vt:variant>
      <vt:variant>
        <vt:lpwstr/>
      </vt:variant>
      <vt:variant>
        <vt:i4>6357118</vt:i4>
      </vt:variant>
      <vt:variant>
        <vt:i4>966</vt:i4>
      </vt:variant>
      <vt:variant>
        <vt:i4>0</vt:i4>
      </vt:variant>
      <vt:variant>
        <vt:i4>5</vt:i4>
      </vt:variant>
      <vt:variant>
        <vt:lpwstr>C:\Users\BegbieL\Downloads\00475466 (8).pdf</vt:lpwstr>
      </vt:variant>
      <vt:variant>
        <vt:lpwstr/>
      </vt:variant>
      <vt:variant>
        <vt:i4>6226028</vt:i4>
      </vt:variant>
      <vt:variant>
        <vt:i4>963</vt:i4>
      </vt:variant>
      <vt:variant>
        <vt:i4>0</vt:i4>
      </vt:variant>
      <vt:variant>
        <vt:i4>5</vt:i4>
      </vt:variant>
      <vt:variant>
        <vt:lpwstr>https://assets.publishing.service.gov.uk/government/uploads/system/uploads/attachment_data/file/69336/pb12654-air-quality-strategy-vol1-070712.pdf</vt:lpwstr>
      </vt:variant>
      <vt:variant>
        <vt:lpwstr/>
      </vt:variant>
      <vt:variant>
        <vt:i4>2031616</vt:i4>
      </vt:variant>
      <vt:variant>
        <vt:i4>882</vt:i4>
      </vt:variant>
      <vt:variant>
        <vt:i4>0</vt:i4>
      </vt:variant>
      <vt:variant>
        <vt:i4>5</vt:i4>
      </vt:variant>
      <vt:variant>
        <vt:lpwstr>https://www.nature.scot/professional-advice/landscape/landscape-character-assessment/scottish-landscape-character-types-map-and-descriptions</vt:lpwstr>
      </vt:variant>
      <vt:variant>
        <vt:lpwstr/>
      </vt:variant>
      <vt:variant>
        <vt:i4>2687103</vt:i4>
      </vt:variant>
      <vt:variant>
        <vt:i4>879</vt:i4>
      </vt:variant>
      <vt:variant>
        <vt:i4>0</vt:i4>
      </vt:variant>
      <vt:variant>
        <vt:i4>5</vt:i4>
      </vt:variant>
      <vt:variant>
        <vt:lpwstr>https://www.nature.scot/wild-land-area-descriptions</vt:lpwstr>
      </vt:variant>
      <vt:variant>
        <vt:lpwstr/>
      </vt:variant>
      <vt:variant>
        <vt:i4>1048591</vt:i4>
      </vt:variant>
      <vt:variant>
        <vt:i4>876</vt:i4>
      </vt:variant>
      <vt:variant>
        <vt:i4>0</vt:i4>
      </vt:variant>
      <vt:variant>
        <vt:i4>5</vt:i4>
      </vt:variant>
      <vt:variant>
        <vt:lpwstr>https://www.nature.scot/scotlands-biodiversity-progress-2020-aichi-targets-conserving-genetic-diversity-development-national</vt:lpwstr>
      </vt:variant>
      <vt:variant>
        <vt:lpwstr/>
      </vt:variant>
      <vt:variant>
        <vt:i4>3670127</vt:i4>
      </vt:variant>
      <vt:variant>
        <vt:i4>873</vt:i4>
      </vt:variant>
      <vt:variant>
        <vt:i4>0</vt:i4>
      </vt:variant>
      <vt:variant>
        <vt:i4>5</vt:i4>
      </vt:variant>
      <vt:variant>
        <vt:lpwstr>https://www.transport.gov.scot/media/33663/j279083.pdf</vt:lpwstr>
      </vt:variant>
      <vt:variant>
        <vt:lpwstr/>
      </vt:variant>
      <vt:variant>
        <vt:i4>1310724</vt:i4>
      </vt:variant>
      <vt:variant>
        <vt:i4>870</vt:i4>
      </vt:variant>
      <vt:variant>
        <vt:i4>0</vt:i4>
      </vt:variant>
      <vt:variant>
        <vt:i4>5</vt:i4>
      </vt:variant>
      <vt:variant>
        <vt:lpwstr>https://www.gov.scot/collections/scottish-index-of-multiple-deprivation-2020/</vt:lpwstr>
      </vt:variant>
      <vt:variant>
        <vt:lpwstr/>
      </vt:variant>
      <vt:variant>
        <vt:i4>7405675</vt:i4>
      </vt:variant>
      <vt:variant>
        <vt:i4>867</vt:i4>
      </vt:variant>
      <vt:variant>
        <vt:i4>0</vt:i4>
      </vt:variant>
      <vt:variant>
        <vt:i4>5</vt:i4>
      </vt:variant>
      <vt:variant>
        <vt:lpwstr>https://gateway.snh.gov.uk/natural-spaces/dataset.jsp?dsid=NCCA</vt:lpwstr>
      </vt:variant>
      <vt:variant>
        <vt:lpwstr/>
      </vt:variant>
      <vt:variant>
        <vt:i4>2490405</vt:i4>
      </vt:variant>
      <vt:variant>
        <vt:i4>864</vt:i4>
      </vt:variant>
      <vt:variant>
        <vt:i4>0</vt:i4>
      </vt:variant>
      <vt:variant>
        <vt:i4>5</vt:i4>
      </vt:variant>
      <vt:variant>
        <vt:lpwstr>https://adaptationscotland.org/why-adapt/legislation/uk-climate-change-risk-assessment</vt:lpwstr>
      </vt:variant>
      <vt:variant>
        <vt:lpwstr/>
      </vt:variant>
      <vt:variant>
        <vt:i4>1966138</vt:i4>
      </vt:variant>
      <vt:variant>
        <vt:i4>710</vt:i4>
      </vt:variant>
      <vt:variant>
        <vt:i4>0</vt:i4>
      </vt:variant>
      <vt:variant>
        <vt:i4>5</vt:i4>
      </vt:variant>
      <vt:variant>
        <vt:lpwstr/>
      </vt:variant>
      <vt:variant>
        <vt:lpwstr>_Toc121231981</vt:lpwstr>
      </vt:variant>
      <vt:variant>
        <vt:i4>1966138</vt:i4>
      </vt:variant>
      <vt:variant>
        <vt:i4>704</vt:i4>
      </vt:variant>
      <vt:variant>
        <vt:i4>0</vt:i4>
      </vt:variant>
      <vt:variant>
        <vt:i4>5</vt:i4>
      </vt:variant>
      <vt:variant>
        <vt:lpwstr/>
      </vt:variant>
      <vt:variant>
        <vt:lpwstr>_Toc121231980</vt:lpwstr>
      </vt:variant>
      <vt:variant>
        <vt:i4>1114170</vt:i4>
      </vt:variant>
      <vt:variant>
        <vt:i4>698</vt:i4>
      </vt:variant>
      <vt:variant>
        <vt:i4>0</vt:i4>
      </vt:variant>
      <vt:variant>
        <vt:i4>5</vt:i4>
      </vt:variant>
      <vt:variant>
        <vt:lpwstr/>
      </vt:variant>
      <vt:variant>
        <vt:lpwstr>_Toc121231979</vt:lpwstr>
      </vt:variant>
      <vt:variant>
        <vt:i4>1114170</vt:i4>
      </vt:variant>
      <vt:variant>
        <vt:i4>692</vt:i4>
      </vt:variant>
      <vt:variant>
        <vt:i4>0</vt:i4>
      </vt:variant>
      <vt:variant>
        <vt:i4>5</vt:i4>
      </vt:variant>
      <vt:variant>
        <vt:lpwstr/>
      </vt:variant>
      <vt:variant>
        <vt:lpwstr>_Toc121231978</vt:lpwstr>
      </vt:variant>
      <vt:variant>
        <vt:i4>1114170</vt:i4>
      </vt:variant>
      <vt:variant>
        <vt:i4>686</vt:i4>
      </vt:variant>
      <vt:variant>
        <vt:i4>0</vt:i4>
      </vt:variant>
      <vt:variant>
        <vt:i4>5</vt:i4>
      </vt:variant>
      <vt:variant>
        <vt:lpwstr/>
      </vt:variant>
      <vt:variant>
        <vt:lpwstr>_Toc121231977</vt:lpwstr>
      </vt:variant>
      <vt:variant>
        <vt:i4>1114170</vt:i4>
      </vt:variant>
      <vt:variant>
        <vt:i4>680</vt:i4>
      </vt:variant>
      <vt:variant>
        <vt:i4>0</vt:i4>
      </vt:variant>
      <vt:variant>
        <vt:i4>5</vt:i4>
      </vt:variant>
      <vt:variant>
        <vt:lpwstr/>
      </vt:variant>
      <vt:variant>
        <vt:lpwstr>_Toc121231976</vt:lpwstr>
      </vt:variant>
      <vt:variant>
        <vt:i4>1114170</vt:i4>
      </vt:variant>
      <vt:variant>
        <vt:i4>674</vt:i4>
      </vt:variant>
      <vt:variant>
        <vt:i4>0</vt:i4>
      </vt:variant>
      <vt:variant>
        <vt:i4>5</vt:i4>
      </vt:variant>
      <vt:variant>
        <vt:lpwstr/>
      </vt:variant>
      <vt:variant>
        <vt:lpwstr>_Toc121231975</vt:lpwstr>
      </vt:variant>
      <vt:variant>
        <vt:i4>1114170</vt:i4>
      </vt:variant>
      <vt:variant>
        <vt:i4>668</vt:i4>
      </vt:variant>
      <vt:variant>
        <vt:i4>0</vt:i4>
      </vt:variant>
      <vt:variant>
        <vt:i4>5</vt:i4>
      </vt:variant>
      <vt:variant>
        <vt:lpwstr/>
      </vt:variant>
      <vt:variant>
        <vt:lpwstr>_Toc121231974</vt:lpwstr>
      </vt:variant>
      <vt:variant>
        <vt:i4>1114170</vt:i4>
      </vt:variant>
      <vt:variant>
        <vt:i4>662</vt:i4>
      </vt:variant>
      <vt:variant>
        <vt:i4>0</vt:i4>
      </vt:variant>
      <vt:variant>
        <vt:i4>5</vt:i4>
      </vt:variant>
      <vt:variant>
        <vt:lpwstr/>
      </vt:variant>
      <vt:variant>
        <vt:lpwstr>_Toc121231973</vt:lpwstr>
      </vt:variant>
      <vt:variant>
        <vt:i4>1114170</vt:i4>
      </vt:variant>
      <vt:variant>
        <vt:i4>656</vt:i4>
      </vt:variant>
      <vt:variant>
        <vt:i4>0</vt:i4>
      </vt:variant>
      <vt:variant>
        <vt:i4>5</vt:i4>
      </vt:variant>
      <vt:variant>
        <vt:lpwstr/>
      </vt:variant>
      <vt:variant>
        <vt:lpwstr>_Toc121231972</vt:lpwstr>
      </vt:variant>
      <vt:variant>
        <vt:i4>1114170</vt:i4>
      </vt:variant>
      <vt:variant>
        <vt:i4>647</vt:i4>
      </vt:variant>
      <vt:variant>
        <vt:i4>0</vt:i4>
      </vt:variant>
      <vt:variant>
        <vt:i4>5</vt:i4>
      </vt:variant>
      <vt:variant>
        <vt:lpwstr/>
      </vt:variant>
      <vt:variant>
        <vt:lpwstr>_Toc121231971</vt:lpwstr>
      </vt:variant>
      <vt:variant>
        <vt:i4>1114170</vt:i4>
      </vt:variant>
      <vt:variant>
        <vt:i4>641</vt:i4>
      </vt:variant>
      <vt:variant>
        <vt:i4>0</vt:i4>
      </vt:variant>
      <vt:variant>
        <vt:i4>5</vt:i4>
      </vt:variant>
      <vt:variant>
        <vt:lpwstr/>
      </vt:variant>
      <vt:variant>
        <vt:lpwstr>_Toc121231970</vt:lpwstr>
      </vt:variant>
      <vt:variant>
        <vt:i4>1048634</vt:i4>
      </vt:variant>
      <vt:variant>
        <vt:i4>635</vt:i4>
      </vt:variant>
      <vt:variant>
        <vt:i4>0</vt:i4>
      </vt:variant>
      <vt:variant>
        <vt:i4>5</vt:i4>
      </vt:variant>
      <vt:variant>
        <vt:lpwstr/>
      </vt:variant>
      <vt:variant>
        <vt:lpwstr>_Toc121231969</vt:lpwstr>
      </vt:variant>
      <vt:variant>
        <vt:i4>1048634</vt:i4>
      </vt:variant>
      <vt:variant>
        <vt:i4>629</vt:i4>
      </vt:variant>
      <vt:variant>
        <vt:i4>0</vt:i4>
      </vt:variant>
      <vt:variant>
        <vt:i4>5</vt:i4>
      </vt:variant>
      <vt:variant>
        <vt:lpwstr/>
      </vt:variant>
      <vt:variant>
        <vt:lpwstr>_Toc121231968</vt:lpwstr>
      </vt:variant>
      <vt:variant>
        <vt:i4>1048634</vt:i4>
      </vt:variant>
      <vt:variant>
        <vt:i4>623</vt:i4>
      </vt:variant>
      <vt:variant>
        <vt:i4>0</vt:i4>
      </vt:variant>
      <vt:variant>
        <vt:i4>5</vt:i4>
      </vt:variant>
      <vt:variant>
        <vt:lpwstr/>
      </vt:variant>
      <vt:variant>
        <vt:lpwstr>_Toc121231967</vt:lpwstr>
      </vt:variant>
      <vt:variant>
        <vt:i4>1048634</vt:i4>
      </vt:variant>
      <vt:variant>
        <vt:i4>617</vt:i4>
      </vt:variant>
      <vt:variant>
        <vt:i4>0</vt:i4>
      </vt:variant>
      <vt:variant>
        <vt:i4>5</vt:i4>
      </vt:variant>
      <vt:variant>
        <vt:lpwstr/>
      </vt:variant>
      <vt:variant>
        <vt:lpwstr>_Toc121231966</vt:lpwstr>
      </vt:variant>
      <vt:variant>
        <vt:i4>1048634</vt:i4>
      </vt:variant>
      <vt:variant>
        <vt:i4>611</vt:i4>
      </vt:variant>
      <vt:variant>
        <vt:i4>0</vt:i4>
      </vt:variant>
      <vt:variant>
        <vt:i4>5</vt:i4>
      </vt:variant>
      <vt:variant>
        <vt:lpwstr/>
      </vt:variant>
      <vt:variant>
        <vt:lpwstr>_Toc121231965</vt:lpwstr>
      </vt:variant>
      <vt:variant>
        <vt:i4>1703995</vt:i4>
      </vt:variant>
      <vt:variant>
        <vt:i4>602</vt:i4>
      </vt:variant>
      <vt:variant>
        <vt:i4>0</vt:i4>
      </vt:variant>
      <vt:variant>
        <vt:i4>5</vt:i4>
      </vt:variant>
      <vt:variant>
        <vt:lpwstr/>
      </vt:variant>
      <vt:variant>
        <vt:lpwstr>_Toc121235881</vt:lpwstr>
      </vt:variant>
      <vt:variant>
        <vt:i4>1703995</vt:i4>
      </vt:variant>
      <vt:variant>
        <vt:i4>596</vt:i4>
      </vt:variant>
      <vt:variant>
        <vt:i4>0</vt:i4>
      </vt:variant>
      <vt:variant>
        <vt:i4>5</vt:i4>
      </vt:variant>
      <vt:variant>
        <vt:lpwstr/>
      </vt:variant>
      <vt:variant>
        <vt:lpwstr>_Toc121235880</vt:lpwstr>
      </vt:variant>
      <vt:variant>
        <vt:i4>1376315</vt:i4>
      </vt:variant>
      <vt:variant>
        <vt:i4>590</vt:i4>
      </vt:variant>
      <vt:variant>
        <vt:i4>0</vt:i4>
      </vt:variant>
      <vt:variant>
        <vt:i4>5</vt:i4>
      </vt:variant>
      <vt:variant>
        <vt:lpwstr/>
      </vt:variant>
      <vt:variant>
        <vt:lpwstr>_Toc121235879</vt:lpwstr>
      </vt:variant>
      <vt:variant>
        <vt:i4>1376315</vt:i4>
      </vt:variant>
      <vt:variant>
        <vt:i4>584</vt:i4>
      </vt:variant>
      <vt:variant>
        <vt:i4>0</vt:i4>
      </vt:variant>
      <vt:variant>
        <vt:i4>5</vt:i4>
      </vt:variant>
      <vt:variant>
        <vt:lpwstr/>
      </vt:variant>
      <vt:variant>
        <vt:lpwstr>_Toc121235878</vt:lpwstr>
      </vt:variant>
      <vt:variant>
        <vt:i4>1376315</vt:i4>
      </vt:variant>
      <vt:variant>
        <vt:i4>578</vt:i4>
      </vt:variant>
      <vt:variant>
        <vt:i4>0</vt:i4>
      </vt:variant>
      <vt:variant>
        <vt:i4>5</vt:i4>
      </vt:variant>
      <vt:variant>
        <vt:lpwstr/>
      </vt:variant>
      <vt:variant>
        <vt:lpwstr>_Toc121235877</vt:lpwstr>
      </vt:variant>
      <vt:variant>
        <vt:i4>1376315</vt:i4>
      </vt:variant>
      <vt:variant>
        <vt:i4>572</vt:i4>
      </vt:variant>
      <vt:variant>
        <vt:i4>0</vt:i4>
      </vt:variant>
      <vt:variant>
        <vt:i4>5</vt:i4>
      </vt:variant>
      <vt:variant>
        <vt:lpwstr/>
      </vt:variant>
      <vt:variant>
        <vt:lpwstr>_Toc121235876</vt:lpwstr>
      </vt:variant>
      <vt:variant>
        <vt:i4>1376315</vt:i4>
      </vt:variant>
      <vt:variant>
        <vt:i4>566</vt:i4>
      </vt:variant>
      <vt:variant>
        <vt:i4>0</vt:i4>
      </vt:variant>
      <vt:variant>
        <vt:i4>5</vt:i4>
      </vt:variant>
      <vt:variant>
        <vt:lpwstr/>
      </vt:variant>
      <vt:variant>
        <vt:lpwstr>_Toc121235875</vt:lpwstr>
      </vt:variant>
      <vt:variant>
        <vt:i4>1376315</vt:i4>
      </vt:variant>
      <vt:variant>
        <vt:i4>560</vt:i4>
      </vt:variant>
      <vt:variant>
        <vt:i4>0</vt:i4>
      </vt:variant>
      <vt:variant>
        <vt:i4>5</vt:i4>
      </vt:variant>
      <vt:variant>
        <vt:lpwstr/>
      </vt:variant>
      <vt:variant>
        <vt:lpwstr>_Toc121235874</vt:lpwstr>
      </vt:variant>
      <vt:variant>
        <vt:i4>1376315</vt:i4>
      </vt:variant>
      <vt:variant>
        <vt:i4>554</vt:i4>
      </vt:variant>
      <vt:variant>
        <vt:i4>0</vt:i4>
      </vt:variant>
      <vt:variant>
        <vt:i4>5</vt:i4>
      </vt:variant>
      <vt:variant>
        <vt:lpwstr/>
      </vt:variant>
      <vt:variant>
        <vt:lpwstr>_Toc121235873</vt:lpwstr>
      </vt:variant>
      <vt:variant>
        <vt:i4>1376315</vt:i4>
      </vt:variant>
      <vt:variant>
        <vt:i4>548</vt:i4>
      </vt:variant>
      <vt:variant>
        <vt:i4>0</vt:i4>
      </vt:variant>
      <vt:variant>
        <vt:i4>5</vt:i4>
      </vt:variant>
      <vt:variant>
        <vt:lpwstr/>
      </vt:variant>
      <vt:variant>
        <vt:lpwstr>_Toc121235872</vt:lpwstr>
      </vt:variant>
      <vt:variant>
        <vt:i4>1376315</vt:i4>
      </vt:variant>
      <vt:variant>
        <vt:i4>542</vt:i4>
      </vt:variant>
      <vt:variant>
        <vt:i4>0</vt:i4>
      </vt:variant>
      <vt:variant>
        <vt:i4>5</vt:i4>
      </vt:variant>
      <vt:variant>
        <vt:lpwstr/>
      </vt:variant>
      <vt:variant>
        <vt:lpwstr>_Toc121235871</vt:lpwstr>
      </vt:variant>
      <vt:variant>
        <vt:i4>1376315</vt:i4>
      </vt:variant>
      <vt:variant>
        <vt:i4>536</vt:i4>
      </vt:variant>
      <vt:variant>
        <vt:i4>0</vt:i4>
      </vt:variant>
      <vt:variant>
        <vt:i4>5</vt:i4>
      </vt:variant>
      <vt:variant>
        <vt:lpwstr/>
      </vt:variant>
      <vt:variant>
        <vt:lpwstr>_Toc121235870</vt:lpwstr>
      </vt:variant>
      <vt:variant>
        <vt:i4>1310779</vt:i4>
      </vt:variant>
      <vt:variant>
        <vt:i4>530</vt:i4>
      </vt:variant>
      <vt:variant>
        <vt:i4>0</vt:i4>
      </vt:variant>
      <vt:variant>
        <vt:i4>5</vt:i4>
      </vt:variant>
      <vt:variant>
        <vt:lpwstr/>
      </vt:variant>
      <vt:variant>
        <vt:lpwstr>_Toc121235869</vt:lpwstr>
      </vt:variant>
      <vt:variant>
        <vt:i4>1310779</vt:i4>
      </vt:variant>
      <vt:variant>
        <vt:i4>524</vt:i4>
      </vt:variant>
      <vt:variant>
        <vt:i4>0</vt:i4>
      </vt:variant>
      <vt:variant>
        <vt:i4>5</vt:i4>
      </vt:variant>
      <vt:variant>
        <vt:lpwstr/>
      </vt:variant>
      <vt:variant>
        <vt:lpwstr>_Toc121235868</vt:lpwstr>
      </vt:variant>
      <vt:variant>
        <vt:i4>1310779</vt:i4>
      </vt:variant>
      <vt:variant>
        <vt:i4>518</vt:i4>
      </vt:variant>
      <vt:variant>
        <vt:i4>0</vt:i4>
      </vt:variant>
      <vt:variant>
        <vt:i4>5</vt:i4>
      </vt:variant>
      <vt:variant>
        <vt:lpwstr/>
      </vt:variant>
      <vt:variant>
        <vt:lpwstr>_Toc121235867</vt:lpwstr>
      </vt:variant>
      <vt:variant>
        <vt:i4>1310779</vt:i4>
      </vt:variant>
      <vt:variant>
        <vt:i4>512</vt:i4>
      </vt:variant>
      <vt:variant>
        <vt:i4>0</vt:i4>
      </vt:variant>
      <vt:variant>
        <vt:i4>5</vt:i4>
      </vt:variant>
      <vt:variant>
        <vt:lpwstr/>
      </vt:variant>
      <vt:variant>
        <vt:lpwstr>_Toc121235866</vt:lpwstr>
      </vt:variant>
      <vt:variant>
        <vt:i4>1310779</vt:i4>
      </vt:variant>
      <vt:variant>
        <vt:i4>506</vt:i4>
      </vt:variant>
      <vt:variant>
        <vt:i4>0</vt:i4>
      </vt:variant>
      <vt:variant>
        <vt:i4>5</vt:i4>
      </vt:variant>
      <vt:variant>
        <vt:lpwstr/>
      </vt:variant>
      <vt:variant>
        <vt:lpwstr>_Toc121235865</vt:lpwstr>
      </vt:variant>
      <vt:variant>
        <vt:i4>1310779</vt:i4>
      </vt:variant>
      <vt:variant>
        <vt:i4>500</vt:i4>
      </vt:variant>
      <vt:variant>
        <vt:i4>0</vt:i4>
      </vt:variant>
      <vt:variant>
        <vt:i4>5</vt:i4>
      </vt:variant>
      <vt:variant>
        <vt:lpwstr/>
      </vt:variant>
      <vt:variant>
        <vt:lpwstr>_Toc121235864</vt:lpwstr>
      </vt:variant>
      <vt:variant>
        <vt:i4>1310779</vt:i4>
      </vt:variant>
      <vt:variant>
        <vt:i4>494</vt:i4>
      </vt:variant>
      <vt:variant>
        <vt:i4>0</vt:i4>
      </vt:variant>
      <vt:variant>
        <vt:i4>5</vt:i4>
      </vt:variant>
      <vt:variant>
        <vt:lpwstr/>
      </vt:variant>
      <vt:variant>
        <vt:lpwstr>_Toc121235863</vt:lpwstr>
      </vt:variant>
      <vt:variant>
        <vt:i4>1310779</vt:i4>
      </vt:variant>
      <vt:variant>
        <vt:i4>488</vt:i4>
      </vt:variant>
      <vt:variant>
        <vt:i4>0</vt:i4>
      </vt:variant>
      <vt:variant>
        <vt:i4>5</vt:i4>
      </vt:variant>
      <vt:variant>
        <vt:lpwstr/>
      </vt:variant>
      <vt:variant>
        <vt:lpwstr>_Toc121235862</vt:lpwstr>
      </vt:variant>
      <vt:variant>
        <vt:i4>1310779</vt:i4>
      </vt:variant>
      <vt:variant>
        <vt:i4>482</vt:i4>
      </vt:variant>
      <vt:variant>
        <vt:i4>0</vt:i4>
      </vt:variant>
      <vt:variant>
        <vt:i4>5</vt:i4>
      </vt:variant>
      <vt:variant>
        <vt:lpwstr/>
      </vt:variant>
      <vt:variant>
        <vt:lpwstr>_Toc121235861</vt:lpwstr>
      </vt:variant>
      <vt:variant>
        <vt:i4>1310779</vt:i4>
      </vt:variant>
      <vt:variant>
        <vt:i4>476</vt:i4>
      </vt:variant>
      <vt:variant>
        <vt:i4>0</vt:i4>
      </vt:variant>
      <vt:variant>
        <vt:i4>5</vt:i4>
      </vt:variant>
      <vt:variant>
        <vt:lpwstr/>
      </vt:variant>
      <vt:variant>
        <vt:lpwstr>_Toc121235860</vt:lpwstr>
      </vt:variant>
      <vt:variant>
        <vt:i4>1507387</vt:i4>
      </vt:variant>
      <vt:variant>
        <vt:i4>470</vt:i4>
      </vt:variant>
      <vt:variant>
        <vt:i4>0</vt:i4>
      </vt:variant>
      <vt:variant>
        <vt:i4>5</vt:i4>
      </vt:variant>
      <vt:variant>
        <vt:lpwstr/>
      </vt:variant>
      <vt:variant>
        <vt:lpwstr>_Toc121235859</vt:lpwstr>
      </vt:variant>
      <vt:variant>
        <vt:i4>1507387</vt:i4>
      </vt:variant>
      <vt:variant>
        <vt:i4>464</vt:i4>
      </vt:variant>
      <vt:variant>
        <vt:i4>0</vt:i4>
      </vt:variant>
      <vt:variant>
        <vt:i4>5</vt:i4>
      </vt:variant>
      <vt:variant>
        <vt:lpwstr/>
      </vt:variant>
      <vt:variant>
        <vt:lpwstr>_Toc121235858</vt:lpwstr>
      </vt:variant>
      <vt:variant>
        <vt:i4>1507387</vt:i4>
      </vt:variant>
      <vt:variant>
        <vt:i4>458</vt:i4>
      </vt:variant>
      <vt:variant>
        <vt:i4>0</vt:i4>
      </vt:variant>
      <vt:variant>
        <vt:i4>5</vt:i4>
      </vt:variant>
      <vt:variant>
        <vt:lpwstr/>
      </vt:variant>
      <vt:variant>
        <vt:lpwstr>_Toc121235857</vt:lpwstr>
      </vt:variant>
      <vt:variant>
        <vt:i4>1507387</vt:i4>
      </vt:variant>
      <vt:variant>
        <vt:i4>452</vt:i4>
      </vt:variant>
      <vt:variant>
        <vt:i4>0</vt:i4>
      </vt:variant>
      <vt:variant>
        <vt:i4>5</vt:i4>
      </vt:variant>
      <vt:variant>
        <vt:lpwstr/>
      </vt:variant>
      <vt:variant>
        <vt:lpwstr>_Toc121235856</vt:lpwstr>
      </vt:variant>
      <vt:variant>
        <vt:i4>1507387</vt:i4>
      </vt:variant>
      <vt:variant>
        <vt:i4>446</vt:i4>
      </vt:variant>
      <vt:variant>
        <vt:i4>0</vt:i4>
      </vt:variant>
      <vt:variant>
        <vt:i4>5</vt:i4>
      </vt:variant>
      <vt:variant>
        <vt:lpwstr/>
      </vt:variant>
      <vt:variant>
        <vt:lpwstr>_Toc121235855</vt:lpwstr>
      </vt:variant>
      <vt:variant>
        <vt:i4>1507387</vt:i4>
      </vt:variant>
      <vt:variant>
        <vt:i4>440</vt:i4>
      </vt:variant>
      <vt:variant>
        <vt:i4>0</vt:i4>
      </vt:variant>
      <vt:variant>
        <vt:i4>5</vt:i4>
      </vt:variant>
      <vt:variant>
        <vt:lpwstr/>
      </vt:variant>
      <vt:variant>
        <vt:lpwstr>_Toc121235854</vt:lpwstr>
      </vt:variant>
      <vt:variant>
        <vt:i4>1507387</vt:i4>
      </vt:variant>
      <vt:variant>
        <vt:i4>434</vt:i4>
      </vt:variant>
      <vt:variant>
        <vt:i4>0</vt:i4>
      </vt:variant>
      <vt:variant>
        <vt:i4>5</vt:i4>
      </vt:variant>
      <vt:variant>
        <vt:lpwstr/>
      </vt:variant>
      <vt:variant>
        <vt:lpwstr>_Toc121235853</vt:lpwstr>
      </vt:variant>
      <vt:variant>
        <vt:i4>1507387</vt:i4>
      </vt:variant>
      <vt:variant>
        <vt:i4>428</vt:i4>
      </vt:variant>
      <vt:variant>
        <vt:i4>0</vt:i4>
      </vt:variant>
      <vt:variant>
        <vt:i4>5</vt:i4>
      </vt:variant>
      <vt:variant>
        <vt:lpwstr/>
      </vt:variant>
      <vt:variant>
        <vt:lpwstr>_Toc121235852</vt:lpwstr>
      </vt:variant>
      <vt:variant>
        <vt:i4>1507387</vt:i4>
      </vt:variant>
      <vt:variant>
        <vt:i4>422</vt:i4>
      </vt:variant>
      <vt:variant>
        <vt:i4>0</vt:i4>
      </vt:variant>
      <vt:variant>
        <vt:i4>5</vt:i4>
      </vt:variant>
      <vt:variant>
        <vt:lpwstr/>
      </vt:variant>
      <vt:variant>
        <vt:lpwstr>_Toc121235851</vt:lpwstr>
      </vt:variant>
      <vt:variant>
        <vt:i4>1507387</vt:i4>
      </vt:variant>
      <vt:variant>
        <vt:i4>416</vt:i4>
      </vt:variant>
      <vt:variant>
        <vt:i4>0</vt:i4>
      </vt:variant>
      <vt:variant>
        <vt:i4>5</vt:i4>
      </vt:variant>
      <vt:variant>
        <vt:lpwstr/>
      </vt:variant>
      <vt:variant>
        <vt:lpwstr>_Toc121235850</vt:lpwstr>
      </vt:variant>
      <vt:variant>
        <vt:i4>1441851</vt:i4>
      </vt:variant>
      <vt:variant>
        <vt:i4>410</vt:i4>
      </vt:variant>
      <vt:variant>
        <vt:i4>0</vt:i4>
      </vt:variant>
      <vt:variant>
        <vt:i4>5</vt:i4>
      </vt:variant>
      <vt:variant>
        <vt:lpwstr/>
      </vt:variant>
      <vt:variant>
        <vt:lpwstr>_Toc121235849</vt:lpwstr>
      </vt:variant>
      <vt:variant>
        <vt:i4>1441851</vt:i4>
      </vt:variant>
      <vt:variant>
        <vt:i4>404</vt:i4>
      </vt:variant>
      <vt:variant>
        <vt:i4>0</vt:i4>
      </vt:variant>
      <vt:variant>
        <vt:i4>5</vt:i4>
      </vt:variant>
      <vt:variant>
        <vt:lpwstr/>
      </vt:variant>
      <vt:variant>
        <vt:lpwstr>_Toc121235848</vt:lpwstr>
      </vt:variant>
      <vt:variant>
        <vt:i4>1441851</vt:i4>
      </vt:variant>
      <vt:variant>
        <vt:i4>398</vt:i4>
      </vt:variant>
      <vt:variant>
        <vt:i4>0</vt:i4>
      </vt:variant>
      <vt:variant>
        <vt:i4>5</vt:i4>
      </vt:variant>
      <vt:variant>
        <vt:lpwstr/>
      </vt:variant>
      <vt:variant>
        <vt:lpwstr>_Toc121235847</vt:lpwstr>
      </vt:variant>
      <vt:variant>
        <vt:i4>1441851</vt:i4>
      </vt:variant>
      <vt:variant>
        <vt:i4>392</vt:i4>
      </vt:variant>
      <vt:variant>
        <vt:i4>0</vt:i4>
      </vt:variant>
      <vt:variant>
        <vt:i4>5</vt:i4>
      </vt:variant>
      <vt:variant>
        <vt:lpwstr/>
      </vt:variant>
      <vt:variant>
        <vt:lpwstr>_Toc121235846</vt:lpwstr>
      </vt:variant>
      <vt:variant>
        <vt:i4>1441851</vt:i4>
      </vt:variant>
      <vt:variant>
        <vt:i4>386</vt:i4>
      </vt:variant>
      <vt:variant>
        <vt:i4>0</vt:i4>
      </vt:variant>
      <vt:variant>
        <vt:i4>5</vt:i4>
      </vt:variant>
      <vt:variant>
        <vt:lpwstr/>
      </vt:variant>
      <vt:variant>
        <vt:lpwstr>_Toc121235845</vt:lpwstr>
      </vt:variant>
      <vt:variant>
        <vt:i4>1441851</vt:i4>
      </vt:variant>
      <vt:variant>
        <vt:i4>380</vt:i4>
      </vt:variant>
      <vt:variant>
        <vt:i4>0</vt:i4>
      </vt:variant>
      <vt:variant>
        <vt:i4>5</vt:i4>
      </vt:variant>
      <vt:variant>
        <vt:lpwstr/>
      </vt:variant>
      <vt:variant>
        <vt:lpwstr>_Toc121235844</vt:lpwstr>
      </vt:variant>
      <vt:variant>
        <vt:i4>1441851</vt:i4>
      </vt:variant>
      <vt:variant>
        <vt:i4>374</vt:i4>
      </vt:variant>
      <vt:variant>
        <vt:i4>0</vt:i4>
      </vt:variant>
      <vt:variant>
        <vt:i4>5</vt:i4>
      </vt:variant>
      <vt:variant>
        <vt:lpwstr/>
      </vt:variant>
      <vt:variant>
        <vt:lpwstr>_Toc121235843</vt:lpwstr>
      </vt:variant>
      <vt:variant>
        <vt:i4>1441851</vt:i4>
      </vt:variant>
      <vt:variant>
        <vt:i4>368</vt:i4>
      </vt:variant>
      <vt:variant>
        <vt:i4>0</vt:i4>
      </vt:variant>
      <vt:variant>
        <vt:i4>5</vt:i4>
      </vt:variant>
      <vt:variant>
        <vt:lpwstr/>
      </vt:variant>
      <vt:variant>
        <vt:lpwstr>_Toc121235842</vt:lpwstr>
      </vt:variant>
      <vt:variant>
        <vt:i4>1441851</vt:i4>
      </vt:variant>
      <vt:variant>
        <vt:i4>362</vt:i4>
      </vt:variant>
      <vt:variant>
        <vt:i4>0</vt:i4>
      </vt:variant>
      <vt:variant>
        <vt:i4>5</vt:i4>
      </vt:variant>
      <vt:variant>
        <vt:lpwstr/>
      </vt:variant>
      <vt:variant>
        <vt:lpwstr>_Toc121235841</vt:lpwstr>
      </vt:variant>
      <vt:variant>
        <vt:i4>1441851</vt:i4>
      </vt:variant>
      <vt:variant>
        <vt:i4>356</vt:i4>
      </vt:variant>
      <vt:variant>
        <vt:i4>0</vt:i4>
      </vt:variant>
      <vt:variant>
        <vt:i4>5</vt:i4>
      </vt:variant>
      <vt:variant>
        <vt:lpwstr/>
      </vt:variant>
      <vt:variant>
        <vt:lpwstr>_Toc121235840</vt:lpwstr>
      </vt:variant>
      <vt:variant>
        <vt:i4>1114171</vt:i4>
      </vt:variant>
      <vt:variant>
        <vt:i4>350</vt:i4>
      </vt:variant>
      <vt:variant>
        <vt:i4>0</vt:i4>
      </vt:variant>
      <vt:variant>
        <vt:i4>5</vt:i4>
      </vt:variant>
      <vt:variant>
        <vt:lpwstr/>
      </vt:variant>
      <vt:variant>
        <vt:lpwstr>_Toc121235839</vt:lpwstr>
      </vt:variant>
      <vt:variant>
        <vt:i4>1114171</vt:i4>
      </vt:variant>
      <vt:variant>
        <vt:i4>344</vt:i4>
      </vt:variant>
      <vt:variant>
        <vt:i4>0</vt:i4>
      </vt:variant>
      <vt:variant>
        <vt:i4>5</vt:i4>
      </vt:variant>
      <vt:variant>
        <vt:lpwstr/>
      </vt:variant>
      <vt:variant>
        <vt:lpwstr>_Toc121235838</vt:lpwstr>
      </vt:variant>
      <vt:variant>
        <vt:i4>1114171</vt:i4>
      </vt:variant>
      <vt:variant>
        <vt:i4>338</vt:i4>
      </vt:variant>
      <vt:variant>
        <vt:i4>0</vt:i4>
      </vt:variant>
      <vt:variant>
        <vt:i4>5</vt:i4>
      </vt:variant>
      <vt:variant>
        <vt:lpwstr/>
      </vt:variant>
      <vt:variant>
        <vt:lpwstr>_Toc121235837</vt:lpwstr>
      </vt:variant>
      <vt:variant>
        <vt:i4>1114171</vt:i4>
      </vt:variant>
      <vt:variant>
        <vt:i4>332</vt:i4>
      </vt:variant>
      <vt:variant>
        <vt:i4>0</vt:i4>
      </vt:variant>
      <vt:variant>
        <vt:i4>5</vt:i4>
      </vt:variant>
      <vt:variant>
        <vt:lpwstr/>
      </vt:variant>
      <vt:variant>
        <vt:lpwstr>_Toc121235836</vt:lpwstr>
      </vt:variant>
      <vt:variant>
        <vt:i4>1114171</vt:i4>
      </vt:variant>
      <vt:variant>
        <vt:i4>326</vt:i4>
      </vt:variant>
      <vt:variant>
        <vt:i4>0</vt:i4>
      </vt:variant>
      <vt:variant>
        <vt:i4>5</vt:i4>
      </vt:variant>
      <vt:variant>
        <vt:lpwstr/>
      </vt:variant>
      <vt:variant>
        <vt:lpwstr>_Toc121235835</vt:lpwstr>
      </vt:variant>
      <vt:variant>
        <vt:i4>1114171</vt:i4>
      </vt:variant>
      <vt:variant>
        <vt:i4>320</vt:i4>
      </vt:variant>
      <vt:variant>
        <vt:i4>0</vt:i4>
      </vt:variant>
      <vt:variant>
        <vt:i4>5</vt:i4>
      </vt:variant>
      <vt:variant>
        <vt:lpwstr/>
      </vt:variant>
      <vt:variant>
        <vt:lpwstr>_Toc121235834</vt:lpwstr>
      </vt:variant>
      <vt:variant>
        <vt:i4>1114171</vt:i4>
      </vt:variant>
      <vt:variant>
        <vt:i4>314</vt:i4>
      </vt:variant>
      <vt:variant>
        <vt:i4>0</vt:i4>
      </vt:variant>
      <vt:variant>
        <vt:i4>5</vt:i4>
      </vt:variant>
      <vt:variant>
        <vt:lpwstr/>
      </vt:variant>
      <vt:variant>
        <vt:lpwstr>_Toc121235833</vt:lpwstr>
      </vt:variant>
      <vt:variant>
        <vt:i4>1114171</vt:i4>
      </vt:variant>
      <vt:variant>
        <vt:i4>308</vt:i4>
      </vt:variant>
      <vt:variant>
        <vt:i4>0</vt:i4>
      </vt:variant>
      <vt:variant>
        <vt:i4>5</vt:i4>
      </vt:variant>
      <vt:variant>
        <vt:lpwstr/>
      </vt:variant>
      <vt:variant>
        <vt:lpwstr>_Toc121235832</vt:lpwstr>
      </vt:variant>
      <vt:variant>
        <vt:i4>1114171</vt:i4>
      </vt:variant>
      <vt:variant>
        <vt:i4>302</vt:i4>
      </vt:variant>
      <vt:variant>
        <vt:i4>0</vt:i4>
      </vt:variant>
      <vt:variant>
        <vt:i4>5</vt:i4>
      </vt:variant>
      <vt:variant>
        <vt:lpwstr/>
      </vt:variant>
      <vt:variant>
        <vt:lpwstr>_Toc121235831</vt:lpwstr>
      </vt:variant>
      <vt:variant>
        <vt:i4>1114171</vt:i4>
      </vt:variant>
      <vt:variant>
        <vt:i4>296</vt:i4>
      </vt:variant>
      <vt:variant>
        <vt:i4>0</vt:i4>
      </vt:variant>
      <vt:variant>
        <vt:i4>5</vt:i4>
      </vt:variant>
      <vt:variant>
        <vt:lpwstr/>
      </vt:variant>
      <vt:variant>
        <vt:lpwstr>_Toc121235830</vt:lpwstr>
      </vt:variant>
      <vt:variant>
        <vt:i4>1048635</vt:i4>
      </vt:variant>
      <vt:variant>
        <vt:i4>290</vt:i4>
      </vt:variant>
      <vt:variant>
        <vt:i4>0</vt:i4>
      </vt:variant>
      <vt:variant>
        <vt:i4>5</vt:i4>
      </vt:variant>
      <vt:variant>
        <vt:lpwstr/>
      </vt:variant>
      <vt:variant>
        <vt:lpwstr>_Toc121235829</vt:lpwstr>
      </vt:variant>
      <vt:variant>
        <vt:i4>1048635</vt:i4>
      </vt:variant>
      <vt:variant>
        <vt:i4>284</vt:i4>
      </vt:variant>
      <vt:variant>
        <vt:i4>0</vt:i4>
      </vt:variant>
      <vt:variant>
        <vt:i4>5</vt:i4>
      </vt:variant>
      <vt:variant>
        <vt:lpwstr/>
      </vt:variant>
      <vt:variant>
        <vt:lpwstr>_Toc121235828</vt:lpwstr>
      </vt:variant>
      <vt:variant>
        <vt:i4>1048635</vt:i4>
      </vt:variant>
      <vt:variant>
        <vt:i4>278</vt:i4>
      </vt:variant>
      <vt:variant>
        <vt:i4>0</vt:i4>
      </vt:variant>
      <vt:variant>
        <vt:i4>5</vt:i4>
      </vt:variant>
      <vt:variant>
        <vt:lpwstr/>
      </vt:variant>
      <vt:variant>
        <vt:lpwstr>_Toc121235827</vt:lpwstr>
      </vt:variant>
      <vt:variant>
        <vt:i4>1048635</vt:i4>
      </vt:variant>
      <vt:variant>
        <vt:i4>272</vt:i4>
      </vt:variant>
      <vt:variant>
        <vt:i4>0</vt:i4>
      </vt:variant>
      <vt:variant>
        <vt:i4>5</vt:i4>
      </vt:variant>
      <vt:variant>
        <vt:lpwstr/>
      </vt:variant>
      <vt:variant>
        <vt:lpwstr>_Toc121235826</vt:lpwstr>
      </vt:variant>
      <vt:variant>
        <vt:i4>1048635</vt:i4>
      </vt:variant>
      <vt:variant>
        <vt:i4>266</vt:i4>
      </vt:variant>
      <vt:variant>
        <vt:i4>0</vt:i4>
      </vt:variant>
      <vt:variant>
        <vt:i4>5</vt:i4>
      </vt:variant>
      <vt:variant>
        <vt:lpwstr/>
      </vt:variant>
      <vt:variant>
        <vt:lpwstr>_Toc121235825</vt:lpwstr>
      </vt:variant>
      <vt:variant>
        <vt:i4>1048635</vt:i4>
      </vt:variant>
      <vt:variant>
        <vt:i4>260</vt:i4>
      </vt:variant>
      <vt:variant>
        <vt:i4>0</vt:i4>
      </vt:variant>
      <vt:variant>
        <vt:i4>5</vt:i4>
      </vt:variant>
      <vt:variant>
        <vt:lpwstr/>
      </vt:variant>
      <vt:variant>
        <vt:lpwstr>_Toc121235824</vt:lpwstr>
      </vt:variant>
      <vt:variant>
        <vt:i4>1048635</vt:i4>
      </vt:variant>
      <vt:variant>
        <vt:i4>254</vt:i4>
      </vt:variant>
      <vt:variant>
        <vt:i4>0</vt:i4>
      </vt:variant>
      <vt:variant>
        <vt:i4>5</vt:i4>
      </vt:variant>
      <vt:variant>
        <vt:lpwstr/>
      </vt:variant>
      <vt:variant>
        <vt:lpwstr>_Toc121235823</vt:lpwstr>
      </vt:variant>
      <vt:variant>
        <vt:i4>1048635</vt:i4>
      </vt:variant>
      <vt:variant>
        <vt:i4>248</vt:i4>
      </vt:variant>
      <vt:variant>
        <vt:i4>0</vt:i4>
      </vt:variant>
      <vt:variant>
        <vt:i4>5</vt:i4>
      </vt:variant>
      <vt:variant>
        <vt:lpwstr/>
      </vt:variant>
      <vt:variant>
        <vt:lpwstr>_Toc121235822</vt:lpwstr>
      </vt:variant>
      <vt:variant>
        <vt:i4>1048635</vt:i4>
      </vt:variant>
      <vt:variant>
        <vt:i4>242</vt:i4>
      </vt:variant>
      <vt:variant>
        <vt:i4>0</vt:i4>
      </vt:variant>
      <vt:variant>
        <vt:i4>5</vt:i4>
      </vt:variant>
      <vt:variant>
        <vt:lpwstr/>
      </vt:variant>
      <vt:variant>
        <vt:lpwstr>_Toc121235821</vt:lpwstr>
      </vt:variant>
      <vt:variant>
        <vt:i4>1048635</vt:i4>
      </vt:variant>
      <vt:variant>
        <vt:i4>236</vt:i4>
      </vt:variant>
      <vt:variant>
        <vt:i4>0</vt:i4>
      </vt:variant>
      <vt:variant>
        <vt:i4>5</vt:i4>
      </vt:variant>
      <vt:variant>
        <vt:lpwstr/>
      </vt:variant>
      <vt:variant>
        <vt:lpwstr>_Toc121235820</vt:lpwstr>
      </vt:variant>
      <vt:variant>
        <vt:i4>1245243</vt:i4>
      </vt:variant>
      <vt:variant>
        <vt:i4>230</vt:i4>
      </vt:variant>
      <vt:variant>
        <vt:i4>0</vt:i4>
      </vt:variant>
      <vt:variant>
        <vt:i4>5</vt:i4>
      </vt:variant>
      <vt:variant>
        <vt:lpwstr/>
      </vt:variant>
      <vt:variant>
        <vt:lpwstr>_Toc121235819</vt:lpwstr>
      </vt:variant>
      <vt:variant>
        <vt:i4>1245243</vt:i4>
      </vt:variant>
      <vt:variant>
        <vt:i4>224</vt:i4>
      </vt:variant>
      <vt:variant>
        <vt:i4>0</vt:i4>
      </vt:variant>
      <vt:variant>
        <vt:i4>5</vt:i4>
      </vt:variant>
      <vt:variant>
        <vt:lpwstr/>
      </vt:variant>
      <vt:variant>
        <vt:lpwstr>_Toc121235818</vt:lpwstr>
      </vt:variant>
      <vt:variant>
        <vt:i4>1245243</vt:i4>
      </vt:variant>
      <vt:variant>
        <vt:i4>218</vt:i4>
      </vt:variant>
      <vt:variant>
        <vt:i4>0</vt:i4>
      </vt:variant>
      <vt:variant>
        <vt:i4>5</vt:i4>
      </vt:variant>
      <vt:variant>
        <vt:lpwstr/>
      </vt:variant>
      <vt:variant>
        <vt:lpwstr>_Toc121235817</vt:lpwstr>
      </vt:variant>
      <vt:variant>
        <vt:i4>1245243</vt:i4>
      </vt:variant>
      <vt:variant>
        <vt:i4>212</vt:i4>
      </vt:variant>
      <vt:variant>
        <vt:i4>0</vt:i4>
      </vt:variant>
      <vt:variant>
        <vt:i4>5</vt:i4>
      </vt:variant>
      <vt:variant>
        <vt:lpwstr/>
      </vt:variant>
      <vt:variant>
        <vt:lpwstr>_Toc121235816</vt:lpwstr>
      </vt:variant>
      <vt:variant>
        <vt:i4>1245243</vt:i4>
      </vt:variant>
      <vt:variant>
        <vt:i4>206</vt:i4>
      </vt:variant>
      <vt:variant>
        <vt:i4>0</vt:i4>
      </vt:variant>
      <vt:variant>
        <vt:i4>5</vt:i4>
      </vt:variant>
      <vt:variant>
        <vt:lpwstr/>
      </vt:variant>
      <vt:variant>
        <vt:lpwstr>_Toc121235815</vt:lpwstr>
      </vt:variant>
      <vt:variant>
        <vt:i4>1245243</vt:i4>
      </vt:variant>
      <vt:variant>
        <vt:i4>200</vt:i4>
      </vt:variant>
      <vt:variant>
        <vt:i4>0</vt:i4>
      </vt:variant>
      <vt:variant>
        <vt:i4>5</vt:i4>
      </vt:variant>
      <vt:variant>
        <vt:lpwstr/>
      </vt:variant>
      <vt:variant>
        <vt:lpwstr>_Toc121235814</vt:lpwstr>
      </vt:variant>
      <vt:variant>
        <vt:i4>1245243</vt:i4>
      </vt:variant>
      <vt:variant>
        <vt:i4>194</vt:i4>
      </vt:variant>
      <vt:variant>
        <vt:i4>0</vt:i4>
      </vt:variant>
      <vt:variant>
        <vt:i4>5</vt:i4>
      </vt:variant>
      <vt:variant>
        <vt:lpwstr/>
      </vt:variant>
      <vt:variant>
        <vt:lpwstr>_Toc121235813</vt:lpwstr>
      </vt:variant>
      <vt:variant>
        <vt:i4>1245243</vt:i4>
      </vt:variant>
      <vt:variant>
        <vt:i4>188</vt:i4>
      </vt:variant>
      <vt:variant>
        <vt:i4>0</vt:i4>
      </vt:variant>
      <vt:variant>
        <vt:i4>5</vt:i4>
      </vt:variant>
      <vt:variant>
        <vt:lpwstr/>
      </vt:variant>
      <vt:variant>
        <vt:lpwstr>_Toc121235812</vt:lpwstr>
      </vt:variant>
      <vt:variant>
        <vt:i4>1245243</vt:i4>
      </vt:variant>
      <vt:variant>
        <vt:i4>182</vt:i4>
      </vt:variant>
      <vt:variant>
        <vt:i4>0</vt:i4>
      </vt:variant>
      <vt:variant>
        <vt:i4>5</vt:i4>
      </vt:variant>
      <vt:variant>
        <vt:lpwstr/>
      </vt:variant>
      <vt:variant>
        <vt:lpwstr>_Toc121235811</vt:lpwstr>
      </vt:variant>
      <vt:variant>
        <vt:i4>1245243</vt:i4>
      </vt:variant>
      <vt:variant>
        <vt:i4>176</vt:i4>
      </vt:variant>
      <vt:variant>
        <vt:i4>0</vt:i4>
      </vt:variant>
      <vt:variant>
        <vt:i4>5</vt:i4>
      </vt:variant>
      <vt:variant>
        <vt:lpwstr/>
      </vt:variant>
      <vt:variant>
        <vt:lpwstr>_Toc121235810</vt:lpwstr>
      </vt:variant>
      <vt:variant>
        <vt:i4>1179707</vt:i4>
      </vt:variant>
      <vt:variant>
        <vt:i4>170</vt:i4>
      </vt:variant>
      <vt:variant>
        <vt:i4>0</vt:i4>
      </vt:variant>
      <vt:variant>
        <vt:i4>5</vt:i4>
      </vt:variant>
      <vt:variant>
        <vt:lpwstr/>
      </vt:variant>
      <vt:variant>
        <vt:lpwstr>_Toc121235809</vt:lpwstr>
      </vt:variant>
      <vt:variant>
        <vt:i4>1179707</vt:i4>
      </vt:variant>
      <vt:variant>
        <vt:i4>164</vt:i4>
      </vt:variant>
      <vt:variant>
        <vt:i4>0</vt:i4>
      </vt:variant>
      <vt:variant>
        <vt:i4>5</vt:i4>
      </vt:variant>
      <vt:variant>
        <vt:lpwstr/>
      </vt:variant>
      <vt:variant>
        <vt:lpwstr>_Toc121235808</vt:lpwstr>
      </vt:variant>
      <vt:variant>
        <vt:i4>1179707</vt:i4>
      </vt:variant>
      <vt:variant>
        <vt:i4>158</vt:i4>
      </vt:variant>
      <vt:variant>
        <vt:i4>0</vt:i4>
      </vt:variant>
      <vt:variant>
        <vt:i4>5</vt:i4>
      </vt:variant>
      <vt:variant>
        <vt:lpwstr/>
      </vt:variant>
      <vt:variant>
        <vt:lpwstr>_Toc121235807</vt:lpwstr>
      </vt:variant>
      <vt:variant>
        <vt:i4>1179707</vt:i4>
      </vt:variant>
      <vt:variant>
        <vt:i4>152</vt:i4>
      </vt:variant>
      <vt:variant>
        <vt:i4>0</vt:i4>
      </vt:variant>
      <vt:variant>
        <vt:i4>5</vt:i4>
      </vt:variant>
      <vt:variant>
        <vt:lpwstr/>
      </vt:variant>
      <vt:variant>
        <vt:lpwstr>_Toc121235806</vt:lpwstr>
      </vt:variant>
      <vt:variant>
        <vt:i4>1179707</vt:i4>
      </vt:variant>
      <vt:variant>
        <vt:i4>146</vt:i4>
      </vt:variant>
      <vt:variant>
        <vt:i4>0</vt:i4>
      </vt:variant>
      <vt:variant>
        <vt:i4>5</vt:i4>
      </vt:variant>
      <vt:variant>
        <vt:lpwstr/>
      </vt:variant>
      <vt:variant>
        <vt:lpwstr>_Toc121235805</vt:lpwstr>
      </vt:variant>
      <vt:variant>
        <vt:i4>1179707</vt:i4>
      </vt:variant>
      <vt:variant>
        <vt:i4>140</vt:i4>
      </vt:variant>
      <vt:variant>
        <vt:i4>0</vt:i4>
      </vt:variant>
      <vt:variant>
        <vt:i4>5</vt:i4>
      </vt:variant>
      <vt:variant>
        <vt:lpwstr/>
      </vt:variant>
      <vt:variant>
        <vt:lpwstr>_Toc121235804</vt:lpwstr>
      </vt:variant>
      <vt:variant>
        <vt:i4>1179707</vt:i4>
      </vt:variant>
      <vt:variant>
        <vt:i4>134</vt:i4>
      </vt:variant>
      <vt:variant>
        <vt:i4>0</vt:i4>
      </vt:variant>
      <vt:variant>
        <vt:i4>5</vt:i4>
      </vt:variant>
      <vt:variant>
        <vt:lpwstr/>
      </vt:variant>
      <vt:variant>
        <vt:lpwstr>_Toc121235803</vt:lpwstr>
      </vt:variant>
      <vt:variant>
        <vt:i4>1179707</vt:i4>
      </vt:variant>
      <vt:variant>
        <vt:i4>128</vt:i4>
      </vt:variant>
      <vt:variant>
        <vt:i4>0</vt:i4>
      </vt:variant>
      <vt:variant>
        <vt:i4>5</vt:i4>
      </vt:variant>
      <vt:variant>
        <vt:lpwstr/>
      </vt:variant>
      <vt:variant>
        <vt:lpwstr>_Toc121235802</vt:lpwstr>
      </vt:variant>
      <vt:variant>
        <vt:i4>1179707</vt:i4>
      </vt:variant>
      <vt:variant>
        <vt:i4>122</vt:i4>
      </vt:variant>
      <vt:variant>
        <vt:i4>0</vt:i4>
      </vt:variant>
      <vt:variant>
        <vt:i4>5</vt:i4>
      </vt:variant>
      <vt:variant>
        <vt:lpwstr/>
      </vt:variant>
      <vt:variant>
        <vt:lpwstr>_Toc121235801</vt:lpwstr>
      </vt:variant>
      <vt:variant>
        <vt:i4>1179707</vt:i4>
      </vt:variant>
      <vt:variant>
        <vt:i4>116</vt:i4>
      </vt:variant>
      <vt:variant>
        <vt:i4>0</vt:i4>
      </vt:variant>
      <vt:variant>
        <vt:i4>5</vt:i4>
      </vt:variant>
      <vt:variant>
        <vt:lpwstr/>
      </vt:variant>
      <vt:variant>
        <vt:lpwstr>_Toc121235800</vt:lpwstr>
      </vt:variant>
      <vt:variant>
        <vt:i4>1769524</vt:i4>
      </vt:variant>
      <vt:variant>
        <vt:i4>110</vt:i4>
      </vt:variant>
      <vt:variant>
        <vt:i4>0</vt:i4>
      </vt:variant>
      <vt:variant>
        <vt:i4>5</vt:i4>
      </vt:variant>
      <vt:variant>
        <vt:lpwstr/>
      </vt:variant>
      <vt:variant>
        <vt:lpwstr>_Toc121235799</vt:lpwstr>
      </vt:variant>
      <vt:variant>
        <vt:i4>1769524</vt:i4>
      </vt:variant>
      <vt:variant>
        <vt:i4>104</vt:i4>
      </vt:variant>
      <vt:variant>
        <vt:i4>0</vt:i4>
      </vt:variant>
      <vt:variant>
        <vt:i4>5</vt:i4>
      </vt:variant>
      <vt:variant>
        <vt:lpwstr/>
      </vt:variant>
      <vt:variant>
        <vt:lpwstr>_Toc121235798</vt:lpwstr>
      </vt:variant>
      <vt:variant>
        <vt:i4>1769524</vt:i4>
      </vt:variant>
      <vt:variant>
        <vt:i4>98</vt:i4>
      </vt:variant>
      <vt:variant>
        <vt:i4>0</vt:i4>
      </vt:variant>
      <vt:variant>
        <vt:i4>5</vt:i4>
      </vt:variant>
      <vt:variant>
        <vt:lpwstr/>
      </vt:variant>
      <vt:variant>
        <vt:lpwstr>_Toc121235797</vt:lpwstr>
      </vt:variant>
      <vt:variant>
        <vt:i4>1769524</vt:i4>
      </vt:variant>
      <vt:variant>
        <vt:i4>92</vt:i4>
      </vt:variant>
      <vt:variant>
        <vt:i4>0</vt:i4>
      </vt:variant>
      <vt:variant>
        <vt:i4>5</vt:i4>
      </vt:variant>
      <vt:variant>
        <vt:lpwstr/>
      </vt:variant>
      <vt:variant>
        <vt:lpwstr>_Toc121235796</vt:lpwstr>
      </vt:variant>
      <vt:variant>
        <vt:i4>1769524</vt:i4>
      </vt:variant>
      <vt:variant>
        <vt:i4>86</vt:i4>
      </vt:variant>
      <vt:variant>
        <vt:i4>0</vt:i4>
      </vt:variant>
      <vt:variant>
        <vt:i4>5</vt:i4>
      </vt:variant>
      <vt:variant>
        <vt:lpwstr/>
      </vt:variant>
      <vt:variant>
        <vt:lpwstr>_Toc121235795</vt:lpwstr>
      </vt:variant>
      <vt:variant>
        <vt:i4>1769524</vt:i4>
      </vt:variant>
      <vt:variant>
        <vt:i4>80</vt:i4>
      </vt:variant>
      <vt:variant>
        <vt:i4>0</vt:i4>
      </vt:variant>
      <vt:variant>
        <vt:i4>5</vt:i4>
      </vt:variant>
      <vt:variant>
        <vt:lpwstr/>
      </vt:variant>
      <vt:variant>
        <vt:lpwstr>_Toc121235794</vt:lpwstr>
      </vt:variant>
      <vt:variant>
        <vt:i4>1769524</vt:i4>
      </vt:variant>
      <vt:variant>
        <vt:i4>74</vt:i4>
      </vt:variant>
      <vt:variant>
        <vt:i4>0</vt:i4>
      </vt:variant>
      <vt:variant>
        <vt:i4>5</vt:i4>
      </vt:variant>
      <vt:variant>
        <vt:lpwstr/>
      </vt:variant>
      <vt:variant>
        <vt:lpwstr>_Toc121235793</vt:lpwstr>
      </vt:variant>
      <vt:variant>
        <vt:i4>1769524</vt:i4>
      </vt:variant>
      <vt:variant>
        <vt:i4>68</vt:i4>
      </vt:variant>
      <vt:variant>
        <vt:i4>0</vt:i4>
      </vt:variant>
      <vt:variant>
        <vt:i4>5</vt:i4>
      </vt:variant>
      <vt:variant>
        <vt:lpwstr/>
      </vt:variant>
      <vt:variant>
        <vt:lpwstr>_Toc121235792</vt:lpwstr>
      </vt:variant>
      <vt:variant>
        <vt:i4>1769524</vt:i4>
      </vt:variant>
      <vt:variant>
        <vt:i4>62</vt:i4>
      </vt:variant>
      <vt:variant>
        <vt:i4>0</vt:i4>
      </vt:variant>
      <vt:variant>
        <vt:i4>5</vt:i4>
      </vt:variant>
      <vt:variant>
        <vt:lpwstr/>
      </vt:variant>
      <vt:variant>
        <vt:lpwstr>_Toc121235791</vt:lpwstr>
      </vt:variant>
      <vt:variant>
        <vt:i4>1769524</vt:i4>
      </vt:variant>
      <vt:variant>
        <vt:i4>56</vt:i4>
      </vt:variant>
      <vt:variant>
        <vt:i4>0</vt:i4>
      </vt:variant>
      <vt:variant>
        <vt:i4>5</vt:i4>
      </vt:variant>
      <vt:variant>
        <vt:lpwstr/>
      </vt:variant>
      <vt:variant>
        <vt:lpwstr>_Toc121235790</vt:lpwstr>
      </vt:variant>
      <vt:variant>
        <vt:i4>1703988</vt:i4>
      </vt:variant>
      <vt:variant>
        <vt:i4>50</vt:i4>
      </vt:variant>
      <vt:variant>
        <vt:i4>0</vt:i4>
      </vt:variant>
      <vt:variant>
        <vt:i4>5</vt:i4>
      </vt:variant>
      <vt:variant>
        <vt:lpwstr/>
      </vt:variant>
      <vt:variant>
        <vt:lpwstr>_Toc121235789</vt:lpwstr>
      </vt:variant>
      <vt:variant>
        <vt:i4>1703988</vt:i4>
      </vt:variant>
      <vt:variant>
        <vt:i4>44</vt:i4>
      </vt:variant>
      <vt:variant>
        <vt:i4>0</vt:i4>
      </vt:variant>
      <vt:variant>
        <vt:i4>5</vt:i4>
      </vt:variant>
      <vt:variant>
        <vt:lpwstr/>
      </vt:variant>
      <vt:variant>
        <vt:lpwstr>_Toc121235788</vt:lpwstr>
      </vt:variant>
      <vt:variant>
        <vt:i4>1703988</vt:i4>
      </vt:variant>
      <vt:variant>
        <vt:i4>38</vt:i4>
      </vt:variant>
      <vt:variant>
        <vt:i4>0</vt:i4>
      </vt:variant>
      <vt:variant>
        <vt:i4>5</vt:i4>
      </vt:variant>
      <vt:variant>
        <vt:lpwstr/>
      </vt:variant>
      <vt:variant>
        <vt:lpwstr>_Toc121235787</vt:lpwstr>
      </vt:variant>
      <vt:variant>
        <vt:i4>1703988</vt:i4>
      </vt:variant>
      <vt:variant>
        <vt:i4>32</vt:i4>
      </vt:variant>
      <vt:variant>
        <vt:i4>0</vt:i4>
      </vt:variant>
      <vt:variant>
        <vt:i4>5</vt:i4>
      </vt:variant>
      <vt:variant>
        <vt:lpwstr/>
      </vt:variant>
      <vt:variant>
        <vt:lpwstr>_Toc121235786</vt:lpwstr>
      </vt:variant>
      <vt:variant>
        <vt:i4>1703988</vt:i4>
      </vt:variant>
      <vt:variant>
        <vt:i4>26</vt:i4>
      </vt:variant>
      <vt:variant>
        <vt:i4>0</vt:i4>
      </vt:variant>
      <vt:variant>
        <vt:i4>5</vt:i4>
      </vt:variant>
      <vt:variant>
        <vt:lpwstr/>
      </vt:variant>
      <vt:variant>
        <vt:lpwstr>_Toc121235785</vt:lpwstr>
      </vt:variant>
      <vt:variant>
        <vt:i4>1703988</vt:i4>
      </vt:variant>
      <vt:variant>
        <vt:i4>20</vt:i4>
      </vt:variant>
      <vt:variant>
        <vt:i4>0</vt:i4>
      </vt:variant>
      <vt:variant>
        <vt:i4>5</vt:i4>
      </vt:variant>
      <vt:variant>
        <vt:lpwstr/>
      </vt:variant>
      <vt:variant>
        <vt:lpwstr>_Toc121235784</vt:lpwstr>
      </vt:variant>
      <vt:variant>
        <vt:i4>1703988</vt:i4>
      </vt:variant>
      <vt:variant>
        <vt:i4>14</vt:i4>
      </vt:variant>
      <vt:variant>
        <vt:i4>0</vt:i4>
      </vt:variant>
      <vt:variant>
        <vt:i4>5</vt:i4>
      </vt:variant>
      <vt:variant>
        <vt:lpwstr/>
      </vt:variant>
      <vt:variant>
        <vt:lpwstr>_Toc121235783</vt:lpwstr>
      </vt:variant>
      <vt:variant>
        <vt:i4>1703988</vt:i4>
      </vt:variant>
      <vt:variant>
        <vt:i4>8</vt:i4>
      </vt:variant>
      <vt:variant>
        <vt:i4>0</vt:i4>
      </vt:variant>
      <vt:variant>
        <vt:i4>5</vt:i4>
      </vt:variant>
      <vt:variant>
        <vt:lpwstr/>
      </vt:variant>
      <vt:variant>
        <vt:lpwstr>_Toc121235782</vt:lpwstr>
      </vt:variant>
      <vt:variant>
        <vt:i4>4915259</vt:i4>
      </vt:variant>
      <vt:variant>
        <vt:i4>3</vt:i4>
      </vt:variant>
      <vt:variant>
        <vt:i4>0</vt:i4>
      </vt:variant>
      <vt:variant>
        <vt:i4>5</vt:i4>
      </vt:variant>
      <vt:variant>
        <vt:lpwstr>mailto:info@transport.gov.scot</vt:lpwstr>
      </vt:variant>
      <vt:variant>
        <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Casey, Joanne</cp:lastModifiedBy>
  <cp:revision>1213</cp:revision>
  <cp:lastPrinted>2022-12-07T21:16:00Z</cp:lastPrinted>
  <dcterms:created xsi:type="dcterms:W3CDTF">2022-06-22T13:47:00Z</dcterms:created>
  <dcterms:modified xsi:type="dcterms:W3CDTF">2022-12-07T21:16:00Z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