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F39B" w14:textId="592F6F7B" w:rsidR="00402CD7" w:rsidRPr="007775AD" w:rsidRDefault="00402CD7" w:rsidP="00402CD7">
      <w:pPr>
        <w:pStyle w:val="STPR2Title1"/>
        <w:spacing w:after="0" w:line="240" w:lineRule="auto"/>
        <w:rPr>
          <w:color w:val="363636"/>
          <w:lang w:val="en-GB"/>
        </w:rPr>
      </w:pPr>
      <w:r w:rsidRPr="007775AD">
        <w:rPr>
          <w:noProof/>
          <w:color w:val="363636"/>
        </w:rPr>
        <w:drawing>
          <wp:anchor distT="0" distB="0" distL="114300" distR="114300" simplePos="0" relativeHeight="251658241" behindDoc="1" locked="1" layoutInCell="1" allowOverlap="1" wp14:anchorId="003B3766" wp14:editId="1DEC48DA">
            <wp:simplePos x="0" y="0"/>
            <wp:positionH relativeFrom="page">
              <wp:align>left</wp:align>
            </wp:positionH>
            <wp:positionV relativeFrom="page">
              <wp:align>top</wp:align>
            </wp:positionV>
            <wp:extent cx="7552944" cy="1068933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7775AD">
        <w:rPr>
          <w:noProof/>
          <w:color w:val="363636"/>
        </w:rPr>
        <w:drawing>
          <wp:anchor distT="0" distB="0" distL="114300" distR="114300" simplePos="0" relativeHeight="251658240" behindDoc="1" locked="1" layoutInCell="1" allowOverlap="1" wp14:anchorId="215D076D" wp14:editId="0CB38ADF">
            <wp:simplePos x="0" y="0"/>
            <wp:positionH relativeFrom="page">
              <wp:align>left</wp:align>
            </wp:positionH>
            <wp:positionV relativeFrom="page">
              <wp:align>top</wp:align>
            </wp:positionV>
            <wp:extent cx="7552944" cy="1068933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7775AD">
        <w:rPr>
          <w:color w:val="363636"/>
          <w:lang w:val="en-GB"/>
        </w:rPr>
        <w:t>Strategic Transport Projects Review (STPR2)</w:t>
      </w:r>
    </w:p>
    <w:p w14:paraId="0F1F73E1" w14:textId="77777777" w:rsidR="00402CD7" w:rsidRPr="007775AD" w:rsidRDefault="00402CD7" w:rsidP="00402CD7">
      <w:pPr>
        <w:pStyle w:val="STPR2Title1"/>
        <w:spacing w:after="11000" w:line="240" w:lineRule="auto"/>
        <w:rPr>
          <w:color w:val="363636"/>
          <w:lang w:val="en-GB"/>
        </w:rPr>
      </w:pPr>
      <w:r w:rsidRPr="007775AD">
        <w:rPr>
          <w:color w:val="363636"/>
          <w:lang w:val="en-GB"/>
        </w:rPr>
        <w:t>Consultancy Support Services Contract</w:t>
      </w:r>
      <w:r w:rsidRPr="007775AD">
        <w:rPr>
          <w:noProof/>
          <w:color w:val="363636"/>
        </w:rPr>
        <w:drawing>
          <wp:anchor distT="0" distB="0" distL="114300" distR="114300" simplePos="0" relativeHeight="251658242" behindDoc="1" locked="1" layoutInCell="1" allowOverlap="1" wp14:anchorId="49B11641" wp14:editId="5EE33EEA">
            <wp:simplePos x="0" y="0"/>
            <wp:positionH relativeFrom="page">
              <wp:align>left</wp:align>
            </wp:positionH>
            <wp:positionV relativeFrom="page">
              <wp:align>top</wp:align>
            </wp:positionV>
            <wp:extent cx="7552944" cy="1068933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4AD27CD" w14:textId="0ECFD90A" w:rsidR="00402CD7" w:rsidRPr="00E645D5" w:rsidRDefault="00AA72A6" w:rsidP="00402CD7">
      <w:pPr>
        <w:pStyle w:val="STPR2Title2"/>
        <w:rPr>
          <w:lang w:val="en-GB"/>
        </w:rPr>
      </w:pPr>
      <w:r>
        <w:rPr>
          <w:lang w:val="en-GB"/>
        </w:rPr>
        <w:t>Equalities Impact</w:t>
      </w:r>
      <w:r w:rsidR="00402CD7">
        <w:rPr>
          <w:lang w:val="en-GB"/>
        </w:rPr>
        <w:t xml:space="preserve"> Assessment (</w:t>
      </w:r>
      <w:r>
        <w:rPr>
          <w:lang w:val="en-GB"/>
        </w:rPr>
        <w:t>EqI</w:t>
      </w:r>
      <w:r w:rsidR="00402CD7">
        <w:rPr>
          <w:lang w:val="en-GB"/>
        </w:rPr>
        <w:t xml:space="preserve">A) </w:t>
      </w:r>
      <w:r w:rsidR="007F1A40">
        <w:rPr>
          <w:lang w:val="en-GB"/>
        </w:rPr>
        <w:t xml:space="preserve">Final </w:t>
      </w:r>
      <w:r w:rsidR="00402CD7">
        <w:rPr>
          <w:lang w:val="en-GB"/>
        </w:rPr>
        <w:t>Report</w:t>
      </w:r>
    </w:p>
    <w:p w14:paraId="41DCABA1" w14:textId="346DE5FE" w:rsidR="00402CD7" w:rsidRDefault="00642A77" w:rsidP="00402CD7">
      <w:pPr>
        <w:pStyle w:val="STPR2Title3"/>
        <w:spacing w:after="100" w:afterAutospacing="1"/>
        <w:rPr>
          <w:lang w:val="en-GB"/>
        </w:rPr>
      </w:pPr>
      <w:r>
        <w:rPr>
          <w:lang w:val="en-GB"/>
        </w:rPr>
        <w:t>December</w:t>
      </w:r>
      <w:r w:rsidR="003132A8">
        <w:rPr>
          <w:lang w:val="en-GB"/>
        </w:rPr>
        <w:t xml:space="preserve"> 2022</w:t>
      </w:r>
    </w:p>
    <w:p w14:paraId="1D940664" w14:textId="77777777" w:rsidR="00402CD7" w:rsidRDefault="00402CD7" w:rsidP="00402CD7">
      <w:pPr>
        <w:pStyle w:val="STPR2Title3"/>
        <w:spacing w:after="100" w:afterAutospacing="1"/>
        <w:rPr>
          <w:lang w:val="en-GB"/>
        </w:rPr>
      </w:pPr>
    </w:p>
    <w:p w14:paraId="1732BA81" w14:textId="48AFB154" w:rsidR="00D85E61" w:rsidRPr="00E645D5" w:rsidRDefault="00D85E61" w:rsidP="006F53DF">
      <w:pPr>
        <w:pStyle w:val="STPR2Title3"/>
        <w:rPr>
          <w:lang w:val="en-GB"/>
        </w:rPr>
        <w:sectPr w:rsidR="00D85E61" w:rsidRPr="00E645D5" w:rsidSect="008A4739">
          <w:type w:val="continuous"/>
          <w:pgSz w:w="11906" w:h="16838" w:code="9"/>
          <w:pgMar w:top="1134" w:right="1134" w:bottom="1134" w:left="1134" w:header="454" w:footer="567" w:gutter="0"/>
          <w:cols w:space="720"/>
          <w:noEndnote/>
          <w:docGrid w:linePitch="299"/>
        </w:sectPr>
      </w:pPr>
    </w:p>
    <w:bookmarkStart w:id="0" w:name="_Hlk85013139" w:displacedByCustomXml="next"/>
    <w:sdt>
      <w:sdtPr>
        <w:rPr>
          <w:rFonts w:asciiTheme="minorHAnsi" w:hAnsiTheme="minorHAnsi" w:cstheme="minorBidi"/>
          <w:bCs w:val="0"/>
          <w:color w:val="auto"/>
          <w:sz w:val="22"/>
          <w:szCs w:val="22"/>
          <w:lang w:val="en-GB" w:eastAsia="en-GB"/>
        </w:rPr>
        <w:id w:val="-503209858"/>
        <w:docPartObj>
          <w:docPartGallery w:val="Table of Contents"/>
          <w:docPartUnique/>
        </w:docPartObj>
      </w:sdtPr>
      <w:sdtEndPr>
        <w:rPr>
          <w:rFonts w:ascii="Arial" w:hAnsi="Arial" w:cs="Arial"/>
          <w:b/>
          <w:noProof/>
          <w:sz w:val="24"/>
          <w:szCs w:val="24"/>
        </w:rPr>
      </w:sdtEndPr>
      <w:sdtContent>
        <w:p w14:paraId="759AE7D6" w14:textId="0328B116" w:rsidR="00CF520A" w:rsidRDefault="00CF520A" w:rsidP="00874931">
          <w:pPr>
            <w:pStyle w:val="TOCHeading"/>
            <w:numPr>
              <w:ilvl w:val="0"/>
              <w:numId w:val="0"/>
            </w:numPr>
            <w:ind w:left="720" w:hanging="720"/>
            <w:rPr>
              <w:lang w:val="en-GB" w:eastAsia="en-GB"/>
            </w:rPr>
          </w:pPr>
          <w:r w:rsidRPr="00874931">
            <w:t>Contents</w:t>
          </w:r>
        </w:p>
        <w:p w14:paraId="49084658" w14:textId="4566FD44" w:rsidR="007100CE" w:rsidRDefault="007100CE">
          <w:pPr>
            <w:pStyle w:val="TOC1"/>
            <w:rPr>
              <w:rFonts w:asciiTheme="minorHAnsi" w:hAnsiTheme="minorHAnsi" w:cstheme="minorBidi"/>
              <w:b w:val="0"/>
              <w:color w:val="auto"/>
              <w:sz w:val="22"/>
              <w:szCs w:val="22"/>
              <w:lang w:val="en-US" w:eastAsia="en-US"/>
            </w:rPr>
          </w:pPr>
          <w:r>
            <w:rPr>
              <w:szCs w:val="24"/>
            </w:rPr>
            <w:fldChar w:fldCharType="begin"/>
          </w:r>
          <w:r>
            <w:rPr>
              <w:szCs w:val="24"/>
            </w:rPr>
            <w:instrText xml:space="preserve"> TOC \h \z \u \t "Heading 1,1,Heading 2,2,Heading 3,3" </w:instrText>
          </w:r>
          <w:r>
            <w:rPr>
              <w:szCs w:val="24"/>
            </w:rPr>
            <w:fldChar w:fldCharType="separate"/>
          </w:r>
          <w:hyperlink w:anchor="_Toc121233781" w:history="1">
            <w:r w:rsidRPr="005E6140">
              <w:rPr>
                <w:rStyle w:val="Hyperlink"/>
              </w:rPr>
              <w:t>1.</w:t>
            </w:r>
            <w:r>
              <w:rPr>
                <w:rFonts w:asciiTheme="minorHAnsi" w:hAnsiTheme="minorHAnsi" w:cstheme="minorBidi"/>
                <w:b w:val="0"/>
                <w:color w:val="auto"/>
                <w:sz w:val="22"/>
                <w:szCs w:val="22"/>
                <w:lang w:val="en-US" w:eastAsia="en-US"/>
              </w:rPr>
              <w:tab/>
            </w:r>
            <w:r w:rsidRPr="005E6140">
              <w:rPr>
                <w:rStyle w:val="Hyperlink"/>
              </w:rPr>
              <w:t>Introduction</w:t>
            </w:r>
            <w:r>
              <w:rPr>
                <w:webHidden/>
              </w:rPr>
              <w:tab/>
            </w:r>
            <w:r>
              <w:rPr>
                <w:webHidden/>
              </w:rPr>
              <w:fldChar w:fldCharType="begin"/>
            </w:r>
            <w:r>
              <w:rPr>
                <w:webHidden/>
              </w:rPr>
              <w:instrText xml:space="preserve"> PAGEREF _Toc121233781 \h </w:instrText>
            </w:r>
            <w:r>
              <w:rPr>
                <w:webHidden/>
              </w:rPr>
            </w:r>
            <w:r>
              <w:rPr>
                <w:webHidden/>
              </w:rPr>
              <w:fldChar w:fldCharType="separate"/>
            </w:r>
            <w:r w:rsidR="007F1A40">
              <w:rPr>
                <w:webHidden/>
              </w:rPr>
              <w:t>3</w:t>
            </w:r>
            <w:r>
              <w:rPr>
                <w:webHidden/>
              </w:rPr>
              <w:fldChar w:fldCharType="end"/>
            </w:r>
          </w:hyperlink>
        </w:p>
        <w:p w14:paraId="5D7F7E40" w14:textId="55DC6F45" w:rsidR="007100CE" w:rsidRDefault="004928B4">
          <w:pPr>
            <w:pStyle w:val="TOC2"/>
            <w:tabs>
              <w:tab w:val="left" w:pos="1320"/>
            </w:tabs>
            <w:rPr>
              <w:rFonts w:asciiTheme="minorHAnsi" w:hAnsiTheme="minorHAnsi" w:cstheme="minorBidi"/>
              <w:color w:val="auto"/>
              <w:sz w:val="22"/>
              <w:szCs w:val="22"/>
              <w:lang w:val="en-US" w:eastAsia="en-US"/>
            </w:rPr>
          </w:pPr>
          <w:hyperlink w:anchor="_Toc121233782" w:history="1">
            <w:r w:rsidR="007100CE" w:rsidRPr="005E6140">
              <w:rPr>
                <w:rStyle w:val="Hyperlink"/>
              </w:rPr>
              <w:t>1.1.</w:t>
            </w:r>
            <w:r w:rsidR="007100CE">
              <w:rPr>
                <w:rFonts w:asciiTheme="minorHAnsi" w:hAnsiTheme="minorHAnsi" w:cstheme="minorBidi"/>
                <w:color w:val="auto"/>
                <w:sz w:val="22"/>
                <w:szCs w:val="22"/>
                <w:lang w:val="en-US" w:eastAsia="en-US"/>
              </w:rPr>
              <w:tab/>
            </w:r>
            <w:r w:rsidR="007100CE" w:rsidRPr="005E6140">
              <w:rPr>
                <w:rStyle w:val="Hyperlink"/>
              </w:rPr>
              <w:t>Background</w:t>
            </w:r>
            <w:r w:rsidR="007100CE">
              <w:rPr>
                <w:webHidden/>
              </w:rPr>
              <w:tab/>
            </w:r>
            <w:r w:rsidR="007100CE">
              <w:rPr>
                <w:webHidden/>
              </w:rPr>
              <w:fldChar w:fldCharType="begin"/>
            </w:r>
            <w:r w:rsidR="007100CE">
              <w:rPr>
                <w:webHidden/>
              </w:rPr>
              <w:instrText xml:space="preserve"> PAGEREF _Toc121233782 \h </w:instrText>
            </w:r>
            <w:r w:rsidR="007100CE">
              <w:rPr>
                <w:webHidden/>
              </w:rPr>
            </w:r>
            <w:r w:rsidR="007100CE">
              <w:rPr>
                <w:webHidden/>
              </w:rPr>
              <w:fldChar w:fldCharType="separate"/>
            </w:r>
            <w:r w:rsidR="007F1A40">
              <w:rPr>
                <w:webHidden/>
              </w:rPr>
              <w:t>3</w:t>
            </w:r>
            <w:r w:rsidR="007100CE">
              <w:rPr>
                <w:webHidden/>
              </w:rPr>
              <w:fldChar w:fldCharType="end"/>
            </w:r>
          </w:hyperlink>
        </w:p>
        <w:p w14:paraId="7F1B46BF" w14:textId="5BC53855" w:rsidR="007100CE" w:rsidRDefault="004928B4">
          <w:pPr>
            <w:pStyle w:val="TOC2"/>
            <w:tabs>
              <w:tab w:val="left" w:pos="1320"/>
            </w:tabs>
            <w:rPr>
              <w:rFonts w:asciiTheme="minorHAnsi" w:hAnsiTheme="minorHAnsi" w:cstheme="minorBidi"/>
              <w:color w:val="auto"/>
              <w:sz w:val="22"/>
              <w:szCs w:val="22"/>
              <w:lang w:val="en-US" w:eastAsia="en-US"/>
            </w:rPr>
          </w:pPr>
          <w:hyperlink w:anchor="_Toc121233783" w:history="1">
            <w:r w:rsidR="007100CE" w:rsidRPr="005E6140">
              <w:rPr>
                <w:rStyle w:val="Hyperlink"/>
              </w:rPr>
              <w:t>1.2.</w:t>
            </w:r>
            <w:r w:rsidR="007100CE">
              <w:rPr>
                <w:rFonts w:asciiTheme="minorHAnsi" w:hAnsiTheme="minorHAnsi" w:cstheme="minorBidi"/>
                <w:color w:val="auto"/>
                <w:sz w:val="22"/>
                <w:szCs w:val="22"/>
                <w:lang w:val="en-US" w:eastAsia="en-US"/>
              </w:rPr>
              <w:tab/>
            </w:r>
            <w:r w:rsidR="007100CE" w:rsidRPr="005E6140">
              <w:rPr>
                <w:rStyle w:val="Hyperlink"/>
              </w:rPr>
              <w:t>STPR2 Integrated Impact Assessments</w:t>
            </w:r>
            <w:r w:rsidR="007100CE">
              <w:rPr>
                <w:webHidden/>
              </w:rPr>
              <w:tab/>
            </w:r>
            <w:r w:rsidR="007100CE">
              <w:rPr>
                <w:webHidden/>
              </w:rPr>
              <w:fldChar w:fldCharType="begin"/>
            </w:r>
            <w:r w:rsidR="007100CE">
              <w:rPr>
                <w:webHidden/>
              </w:rPr>
              <w:instrText xml:space="preserve"> PAGEREF _Toc121233783 \h </w:instrText>
            </w:r>
            <w:r w:rsidR="007100CE">
              <w:rPr>
                <w:webHidden/>
              </w:rPr>
            </w:r>
            <w:r w:rsidR="007100CE">
              <w:rPr>
                <w:webHidden/>
              </w:rPr>
              <w:fldChar w:fldCharType="separate"/>
            </w:r>
            <w:r w:rsidR="007F1A40">
              <w:rPr>
                <w:webHidden/>
              </w:rPr>
              <w:t>3</w:t>
            </w:r>
            <w:r w:rsidR="007100CE">
              <w:rPr>
                <w:webHidden/>
              </w:rPr>
              <w:fldChar w:fldCharType="end"/>
            </w:r>
          </w:hyperlink>
        </w:p>
        <w:p w14:paraId="547603FF" w14:textId="32727D4A" w:rsidR="007100CE" w:rsidRDefault="004928B4">
          <w:pPr>
            <w:pStyle w:val="TOC2"/>
            <w:tabs>
              <w:tab w:val="left" w:pos="1320"/>
            </w:tabs>
            <w:rPr>
              <w:rFonts w:asciiTheme="minorHAnsi" w:hAnsiTheme="minorHAnsi" w:cstheme="minorBidi"/>
              <w:color w:val="auto"/>
              <w:sz w:val="22"/>
              <w:szCs w:val="22"/>
              <w:lang w:val="en-US" w:eastAsia="en-US"/>
            </w:rPr>
          </w:pPr>
          <w:hyperlink w:anchor="_Toc121233784" w:history="1">
            <w:r w:rsidR="007100CE" w:rsidRPr="005E6140">
              <w:rPr>
                <w:rStyle w:val="Hyperlink"/>
              </w:rPr>
              <w:t>1.3.</w:t>
            </w:r>
            <w:r w:rsidR="007100CE">
              <w:rPr>
                <w:rFonts w:asciiTheme="minorHAnsi" w:hAnsiTheme="minorHAnsi" w:cstheme="minorBidi"/>
                <w:color w:val="auto"/>
                <w:sz w:val="22"/>
                <w:szCs w:val="22"/>
                <w:lang w:val="en-US" w:eastAsia="en-US"/>
              </w:rPr>
              <w:tab/>
            </w:r>
            <w:r w:rsidR="007100CE" w:rsidRPr="005E6140">
              <w:rPr>
                <w:rStyle w:val="Hyperlink"/>
              </w:rPr>
              <w:t>Purpose and Structure of EqIA Report</w:t>
            </w:r>
            <w:r w:rsidR="007100CE">
              <w:rPr>
                <w:webHidden/>
              </w:rPr>
              <w:tab/>
            </w:r>
            <w:r w:rsidR="007100CE">
              <w:rPr>
                <w:webHidden/>
              </w:rPr>
              <w:fldChar w:fldCharType="begin"/>
            </w:r>
            <w:r w:rsidR="007100CE">
              <w:rPr>
                <w:webHidden/>
              </w:rPr>
              <w:instrText xml:space="preserve"> PAGEREF _Toc121233784 \h </w:instrText>
            </w:r>
            <w:r w:rsidR="007100CE">
              <w:rPr>
                <w:webHidden/>
              </w:rPr>
            </w:r>
            <w:r w:rsidR="007100CE">
              <w:rPr>
                <w:webHidden/>
              </w:rPr>
              <w:fldChar w:fldCharType="separate"/>
            </w:r>
            <w:r w:rsidR="007F1A40">
              <w:rPr>
                <w:webHidden/>
              </w:rPr>
              <w:t>4</w:t>
            </w:r>
            <w:r w:rsidR="007100CE">
              <w:rPr>
                <w:webHidden/>
              </w:rPr>
              <w:fldChar w:fldCharType="end"/>
            </w:r>
          </w:hyperlink>
        </w:p>
        <w:p w14:paraId="4E843C28" w14:textId="63FE7304" w:rsidR="007100CE" w:rsidRDefault="004928B4">
          <w:pPr>
            <w:pStyle w:val="TOC1"/>
            <w:rPr>
              <w:rFonts w:asciiTheme="minorHAnsi" w:hAnsiTheme="minorHAnsi" w:cstheme="minorBidi"/>
              <w:b w:val="0"/>
              <w:color w:val="auto"/>
              <w:sz w:val="22"/>
              <w:szCs w:val="22"/>
              <w:lang w:val="en-US" w:eastAsia="en-US"/>
            </w:rPr>
          </w:pPr>
          <w:hyperlink w:anchor="_Toc121233785" w:history="1">
            <w:r w:rsidR="007100CE" w:rsidRPr="005E6140">
              <w:rPr>
                <w:rStyle w:val="Hyperlink"/>
              </w:rPr>
              <w:t>2.</w:t>
            </w:r>
            <w:r w:rsidR="007100CE">
              <w:rPr>
                <w:rFonts w:asciiTheme="minorHAnsi" w:hAnsiTheme="minorHAnsi" w:cstheme="minorBidi"/>
                <w:b w:val="0"/>
                <w:color w:val="auto"/>
                <w:sz w:val="22"/>
                <w:szCs w:val="22"/>
                <w:lang w:val="en-US" w:eastAsia="en-US"/>
              </w:rPr>
              <w:tab/>
            </w:r>
            <w:r w:rsidR="007100CE" w:rsidRPr="005E6140">
              <w:rPr>
                <w:rStyle w:val="Hyperlink"/>
              </w:rPr>
              <w:t>Legislation and Guidance</w:t>
            </w:r>
            <w:r w:rsidR="007100CE">
              <w:rPr>
                <w:webHidden/>
              </w:rPr>
              <w:tab/>
            </w:r>
            <w:r w:rsidR="007100CE">
              <w:rPr>
                <w:webHidden/>
              </w:rPr>
              <w:fldChar w:fldCharType="begin"/>
            </w:r>
            <w:r w:rsidR="007100CE">
              <w:rPr>
                <w:webHidden/>
              </w:rPr>
              <w:instrText xml:space="preserve"> PAGEREF _Toc121233785 \h </w:instrText>
            </w:r>
            <w:r w:rsidR="007100CE">
              <w:rPr>
                <w:webHidden/>
              </w:rPr>
            </w:r>
            <w:r w:rsidR="007100CE">
              <w:rPr>
                <w:webHidden/>
              </w:rPr>
              <w:fldChar w:fldCharType="separate"/>
            </w:r>
            <w:r w:rsidR="007F1A40">
              <w:rPr>
                <w:webHidden/>
              </w:rPr>
              <w:t>6</w:t>
            </w:r>
            <w:r w:rsidR="007100CE">
              <w:rPr>
                <w:webHidden/>
              </w:rPr>
              <w:fldChar w:fldCharType="end"/>
            </w:r>
          </w:hyperlink>
        </w:p>
        <w:p w14:paraId="4204A14C" w14:textId="1DDAE5F3" w:rsidR="007100CE" w:rsidRDefault="004928B4">
          <w:pPr>
            <w:pStyle w:val="TOC2"/>
            <w:tabs>
              <w:tab w:val="left" w:pos="1320"/>
            </w:tabs>
            <w:rPr>
              <w:rFonts w:asciiTheme="minorHAnsi" w:hAnsiTheme="minorHAnsi" w:cstheme="minorBidi"/>
              <w:color w:val="auto"/>
              <w:sz w:val="22"/>
              <w:szCs w:val="22"/>
              <w:lang w:val="en-US" w:eastAsia="en-US"/>
            </w:rPr>
          </w:pPr>
          <w:hyperlink w:anchor="_Toc121233786" w:history="1">
            <w:r w:rsidR="007100CE" w:rsidRPr="005E6140">
              <w:rPr>
                <w:rStyle w:val="Hyperlink"/>
                <w:rFonts w:eastAsia="Times New Roman"/>
              </w:rPr>
              <w:t>2.1.</w:t>
            </w:r>
            <w:r w:rsidR="007100CE">
              <w:rPr>
                <w:rFonts w:asciiTheme="minorHAnsi" w:hAnsiTheme="minorHAnsi" w:cstheme="minorBidi"/>
                <w:color w:val="auto"/>
                <w:sz w:val="22"/>
                <w:szCs w:val="22"/>
                <w:lang w:val="en-US" w:eastAsia="en-US"/>
              </w:rPr>
              <w:tab/>
            </w:r>
            <w:r w:rsidR="007100CE" w:rsidRPr="005E6140">
              <w:rPr>
                <w:rStyle w:val="Hyperlink"/>
              </w:rPr>
              <w:t>The Equality Act 2010 and Public Sector Equality Duty</w:t>
            </w:r>
            <w:r w:rsidR="007100CE">
              <w:rPr>
                <w:webHidden/>
              </w:rPr>
              <w:tab/>
            </w:r>
            <w:r w:rsidR="007100CE">
              <w:rPr>
                <w:webHidden/>
              </w:rPr>
              <w:fldChar w:fldCharType="begin"/>
            </w:r>
            <w:r w:rsidR="007100CE">
              <w:rPr>
                <w:webHidden/>
              </w:rPr>
              <w:instrText xml:space="preserve"> PAGEREF _Toc121233786 \h </w:instrText>
            </w:r>
            <w:r w:rsidR="007100CE">
              <w:rPr>
                <w:webHidden/>
              </w:rPr>
            </w:r>
            <w:r w:rsidR="007100CE">
              <w:rPr>
                <w:webHidden/>
              </w:rPr>
              <w:fldChar w:fldCharType="separate"/>
            </w:r>
            <w:r w:rsidR="007F1A40">
              <w:rPr>
                <w:webHidden/>
              </w:rPr>
              <w:t>6</w:t>
            </w:r>
            <w:r w:rsidR="007100CE">
              <w:rPr>
                <w:webHidden/>
              </w:rPr>
              <w:fldChar w:fldCharType="end"/>
            </w:r>
          </w:hyperlink>
        </w:p>
        <w:p w14:paraId="46ACC77C" w14:textId="2D43D387" w:rsidR="007100CE" w:rsidRDefault="004928B4">
          <w:pPr>
            <w:pStyle w:val="TOC2"/>
            <w:tabs>
              <w:tab w:val="left" w:pos="1320"/>
            </w:tabs>
            <w:rPr>
              <w:rFonts w:asciiTheme="minorHAnsi" w:hAnsiTheme="minorHAnsi" w:cstheme="minorBidi"/>
              <w:color w:val="auto"/>
              <w:sz w:val="22"/>
              <w:szCs w:val="22"/>
              <w:lang w:val="en-US" w:eastAsia="en-US"/>
            </w:rPr>
          </w:pPr>
          <w:hyperlink w:anchor="_Toc121233787" w:history="1">
            <w:r w:rsidR="007100CE" w:rsidRPr="005E6140">
              <w:rPr>
                <w:rStyle w:val="Hyperlink"/>
                <w:rFonts w:eastAsia="Times New Roman"/>
              </w:rPr>
              <w:t>2.2.</w:t>
            </w:r>
            <w:r w:rsidR="007100CE">
              <w:rPr>
                <w:rFonts w:asciiTheme="minorHAnsi" w:hAnsiTheme="minorHAnsi" w:cstheme="minorBidi"/>
                <w:color w:val="auto"/>
                <w:sz w:val="22"/>
                <w:szCs w:val="22"/>
                <w:lang w:val="en-US" w:eastAsia="en-US"/>
              </w:rPr>
              <w:tab/>
            </w:r>
            <w:r w:rsidR="007100CE" w:rsidRPr="005E6140">
              <w:rPr>
                <w:rStyle w:val="Hyperlink"/>
              </w:rPr>
              <w:t>Technical Guidance on the Public Sector Equality Duty</w:t>
            </w:r>
            <w:r w:rsidR="007100CE">
              <w:rPr>
                <w:webHidden/>
              </w:rPr>
              <w:tab/>
            </w:r>
            <w:r w:rsidR="007100CE">
              <w:rPr>
                <w:webHidden/>
              </w:rPr>
              <w:fldChar w:fldCharType="begin"/>
            </w:r>
            <w:r w:rsidR="007100CE">
              <w:rPr>
                <w:webHidden/>
              </w:rPr>
              <w:instrText xml:space="preserve"> PAGEREF _Toc121233787 \h </w:instrText>
            </w:r>
            <w:r w:rsidR="007100CE">
              <w:rPr>
                <w:webHidden/>
              </w:rPr>
            </w:r>
            <w:r w:rsidR="007100CE">
              <w:rPr>
                <w:webHidden/>
              </w:rPr>
              <w:fldChar w:fldCharType="separate"/>
            </w:r>
            <w:r w:rsidR="007F1A40">
              <w:rPr>
                <w:webHidden/>
              </w:rPr>
              <w:t>8</w:t>
            </w:r>
            <w:r w:rsidR="007100CE">
              <w:rPr>
                <w:webHidden/>
              </w:rPr>
              <w:fldChar w:fldCharType="end"/>
            </w:r>
          </w:hyperlink>
        </w:p>
        <w:p w14:paraId="6D6DC8F2" w14:textId="67E52DC6" w:rsidR="007100CE" w:rsidRDefault="004928B4">
          <w:pPr>
            <w:pStyle w:val="TOC1"/>
            <w:rPr>
              <w:rFonts w:asciiTheme="minorHAnsi" w:hAnsiTheme="minorHAnsi" w:cstheme="minorBidi"/>
              <w:b w:val="0"/>
              <w:color w:val="auto"/>
              <w:sz w:val="22"/>
              <w:szCs w:val="22"/>
              <w:lang w:val="en-US" w:eastAsia="en-US"/>
            </w:rPr>
          </w:pPr>
          <w:hyperlink w:anchor="_Toc121233788" w:history="1">
            <w:r w:rsidR="007100CE" w:rsidRPr="005E6140">
              <w:rPr>
                <w:rStyle w:val="Hyperlink"/>
              </w:rPr>
              <w:t>3.</w:t>
            </w:r>
            <w:r w:rsidR="007100CE">
              <w:rPr>
                <w:rFonts w:asciiTheme="minorHAnsi" w:hAnsiTheme="minorHAnsi" w:cstheme="minorBidi"/>
                <w:b w:val="0"/>
                <w:color w:val="auto"/>
                <w:sz w:val="22"/>
                <w:szCs w:val="22"/>
                <w:lang w:val="en-US" w:eastAsia="en-US"/>
              </w:rPr>
              <w:tab/>
            </w:r>
            <w:r w:rsidR="007100CE" w:rsidRPr="005E6140">
              <w:rPr>
                <w:rStyle w:val="Hyperlink"/>
              </w:rPr>
              <w:t>Baseline Summary</w:t>
            </w:r>
            <w:r w:rsidR="007100CE">
              <w:rPr>
                <w:webHidden/>
              </w:rPr>
              <w:tab/>
            </w:r>
            <w:r w:rsidR="007100CE">
              <w:rPr>
                <w:webHidden/>
              </w:rPr>
              <w:fldChar w:fldCharType="begin"/>
            </w:r>
            <w:r w:rsidR="007100CE">
              <w:rPr>
                <w:webHidden/>
              </w:rPr>
              <w:instrText xml:space="preserve"> PAGEREF _Toc121233788 \h </w:instrText>
            </w:r>
            <w:r w:rsidR="007100CE">
              <w:rPr>
                <w:webHidden/>
              </w:rPr>
            </w:r>
            <w:r w:rsidR="007100CE">
              <w:rPr>
                <w:webHidden/>
              </w:rPr>
              <w:fldChar w:fldCharType="separate"/>
            </w:r>
            <w:r w:rsidR="007F1A40">
              <w:rPr>
                <w:webHidden/>
              </w:rPr>
              <w:t>9</w:t>
            </w:r>
            <w:r w:rsidR="007100CE">
              <w:rPr>
                <w:webHidden/>
              </w:rPr>
              <w:fldChar w:fldCharType="end"/>
            </w:r>
          </w:hyperlink>
        </w:p>
        <w:p w14:paraId="27C2D125" w14:textId="24191F7F" w:rsidR="007100CE" w:rsidRDefault="004928B4">
          <w:pPr>
            <w:pStyle w:val="TOC2"/>
            <w:tabs>
              <w:tab w:val="left" w:pos="1320"/>
            </w:tabs>
            <w:rPr>
              <w:rFonts w:asciiTheme="minorHAnsi" w:hAnsiTheme="minorHAnsi" w:cstheme="minorBidi"/>
              <w:color w:val="auto"/>
              <w:sz w:val="22"/>
              <w:szCs w:val="22"/>
              <w:lang w:val="en-US" w:eastAsia="en-US"/>
            </w:rPr>
          </w:pPr>
          <w:hyperlink w:anchor="_Toc121233789" w:history="1">
            <w:r w:rsidR="007100CE" w:rsidRPr="005E6140">
              <w:rPr>
                <w:rStyle w:val="Hyperlink"/>
              </w:rPr>
              <w:t>3.1.</w:t>
            </w:r>
            <w:r w:rsidR="007100CE">
              <w:rPr>
                <w:rFonts w:asciiTheme="minorHAnsi" w:hAnsiTheme="minorHAnsi" w:cstheme="minorBidi"/>
                <w:color w:val="auto"/>
                <w:sz w:val="22"/>
                <w:szCs w:val="22"/>
                <w:lang w:val="en-US" w:eastAsia="en-US"/>
              </w:rPr>
              <w:tab/>
            </w:r>
            <w:r w:rsidR="007100CE" w:rsidRPr="005E6140">
              <w:rPr>
                <w:rStyle w:val="Hyperlink"/>
              </w:rPr>
              <w:t>Introduction</w:t>
            </w:r>
            <w:r w:rsidR="007100CE">
              <w:rPr>
                <w:webHidden/>
              </w:rPr>
              <w:tab/>
            </w:r>
            <w:r w:rsidR="007100CE">
              <w:rPr>
                <w:webHidden/>
              </w:rPr>
              <w:fldChar w:fldCharType="begin"/>
            </w:r>
            <w:r w:rsidR="007100CE">
              <w:rPr>
                <w:webHidden/>
              </w:rPr>
              <w:instrText xml:space="preserve"> PAGEREF _Toc121233789 \h </w:instrText>
            </w:r>
            <w:r w:rsidR="007100CE">
              <w:rPr>
                <w:webHidden/>
              </w:rPr>
            </w:r>
            <w:r w:rsidR="007100CE">
              <w:rPr>
                <w:webHidden/>
              </w:rPr>
              <w:fldChar w:fldCharType="separate"/>
            </w:r>
            <w:r w:rsidR="007F1A40">
              <w:rPr>
                <w:webHidden/>
              </w:rPr>
              <w:t>9</w:t>
            </w:r>
            <w:r w:rsidR="007100CE">
              <w:rPr>
                <w:webHidden/>
              </w:rPr>
              <w:fldChar w:fldCharType="end"/>
            </w:r>
          </w:hyperlink>
        </w:p>
        <w:p w14:paraId="77DE3B33" w14:textId="31A78C16" w:rsidR="007100CE" w:rsidRDefault="004928B4">
          <w:pPr>
            <w:pStyle w:val="TOC2"/>
            <w:tabs>
              <w:tab w:val="left" w:pos="1320"/>
            </w:tabs>
            <w:rPr>
              <w:rFonts w:asciiTheme="minorHAnsi" w:hAnsiTheme="minorHAnsi" w:cstheme="minorBidi"/>
              <w:color w:val="auto"/>
              <w:sz w:val="22"/>
              <w:szCs w:val="22"/>
              <w:lang w:val="en-US" w:eastAsia="en-US"/>
            </w:rPr>
          </w:pPr>
          <w:hyperlink w:anchor="_Toc121233790" w:history="1">
            <w:r w:rsidR="007100CE" w:rsidRPr="005E6140">
              <w:rPr>
                <w:rStyle w:val="Hyperlink"/>
              </w:rPr>
              <w:t>3.2.</w:t>
            </w:r>
            <w:r w:rsidR="007100CE">
              <w:rPr>
                <w:rFonts w:asciiTheme="minorHAnsi" w:hAnsiTheme="minorHAnsi" w:cstheme="minorBidi"/>
                <w:color w:val="auto"/>
                <w:sz w:val="22"/>
                <w:szCs w:val="22"/>
                <w:lang w:val="en-US" w:eastAsia="en-US"/>
              </w:rPr>
              <w:tab/>
            </w:r>
            <w:r w:rsidR="007100CE" w:rsidRPr="005E6140">
              <w:rPr>
                <w:rStyle w:val="Hyperlink"/>
              </w:rPr>
              <w:t>Age</w:t>
            </w:r>
            <w:r w:rsidR="007100CE">
              <w:rPr>
                <w:webHidden/>
              </w:rPr>
              <w:tab/>
            </w:r>
            <w:r w:rsidR="007100CE">
              <w:rPr>
                <w:webHidden/>
              </w:rPr>
              <w:fldChar w:fldCharType="begin"/>
            </w:r>
            <w:r w:rsidR="007100CE">
              <w:rPr>
                <w:webHidden/>
              </w:rPr>
              <w:instrText xml:space="preserve"> PAGEREF _Toc121233790 \h </w:instrText>
            </w:r>
            <w:r w:rsidR="007100CE">
              <w:rPr>
                <w:webHidden/>
              </w:rPr>
            </w:r>
            <w:r w:rsidR="007100CE">
              <w:rPr>
                <w:webHidden/>
              </w:rPr>
              <w:fldChar w:fldCharType="separate"/>
            </w:r>
            <w:r w:rsidR="007F1A40">
              <w:rPr>
                <w:webHidden/>
              </w:rPr>
              <w:t>9</w:t>
            </w:r>
            <w:r w:rsidR="007100CE">
              <w:rPr>
                <w:webHidden/>
              </w:rPr>
              <w:fldChar w:fldCharType="end"/>
            </w:r>
          </w:hyperlink>
        </w:p>
        <w:p w14:paraId="23920DAA" w14:textId="75B3B99A" w:rsidR="007100CE" w:rsidRDefault="004928B4">
          <w:pPr>
            <w:pStyle w:val="TOC3"/>
            <w:rPr>
              <w:rFonts w:asciiTheme="minorHAnsi" w:hAnsiTheme="minorHAnsi" w:cstheme="minorBidi"/>
              <w:i w:val="0"/>
              <w:color w:val="auto"/>
              <w:sz w:val="22"/>
              <w:szCs w:val="22"/>
              <w:lang w:val="en-US" w:eastAsia="en-US"/>
            </w:rPr>
          </w:pPr>
          <w:hyperlink w:anchor="_Toc121233791" w:history="1">
            <w:r w:rsidR="007100CE" w:rsidRPr="005E6140">
              <w:rPr>
                <w:rStyle w:val="Hyperlink"/>
              </w:rPr>
              <w:t>3.2.1.</w:t>
            </w:r>
            <w:r w:rsidR="007100CE">
              <w:rPr>
                <w:rFonts w:asciiTheme="minorHAnsi" w:hAnsiTheme="minorHAnsi" w:cstheme="minorBidi"/>
                <w:i w:val="0"/>
                <w:color w:val="auto"/>
                <w:sz w:val="22"/>
                <w:szCs w:val="22"/>
                <w:lang w:val="en-US" w:eastAsia="en-US"/>
              </w:rPr>
              <w:tab/>
            </w:r>
            <w:r w:rsidR="007100CE" w:rsidRPr="005E6140">
              <w:rPr>
                <w:rStyle w:val="Hyperlink"/>
              </w:rPr>
              <w:t>Children and young people</w:t>
            </w:r>
            <w:r w:rsidR="007100CE">
              <w:rPr>
                <w:webHidden/>
              </w:rPr>
              <w:tab/>
            </w:r>
            <w:r w:rsidR="007100CE">
              <w:rPr>
                <w:webHidden/>
              </w:rPr>
              <w:fldChar w:fldCharType="begin"/>
            </w:r>
            <w:r w:rsidR="007100CE">
              <w:rPr>
                <w:webHidden/>
              </w:rPr>
              <w:instrText xml:space="preserve"> PAGEREF _Toc121233791 \h </w:instrText>
            </w:r>
            <w:r w:rsidR="007100CE">
              <w:rPr>
                <w:webHidden/>
              </w:rPr>
            </w:r>
            <w:r w:rsidR="007100CE">
              <w:rPr>
                <w:webHidden/>
              </w:rPr>
              <w:fldChar w:fldCharType="separate"/>
            </w:r>
            <w:r w:rsidR="007F1A40">
              <w:rPr>
                <w:webHidden/>
              </w:rPr>
              <w:t>9</w:t>
            </w:r>
            <w:r w:rsidR="007100CE">
              <w:rPr>
                <w:webHidden/>
              </w:rPr>
              <w:fldChar w:fldCharType="end"/>
            </w:r>
          </w:hyperlink>
        </w:p>
        <w:p w14:paraId="3522E93B" w14:textId="73FC3B5B" w:rsidR="007100CE" w:rsidRDefault="004928B4">
          <w:pPr>
            <w:pStyle w:val="TOC3"/>
            <w:rPr>
              <w:rFonts w:asciiTheme="minorHAnsi" w:hAnsiTheme="minorHAnsi" w:cstheme="minorBidi"/>
              <w:i w:val="0"/>
              <w:color w:val="auto"/>
              <w:sz w:val="22"/>
              <w:szCs w:val="22"/>
              <w:lang w:val="en-US" w:eastAsia="en-US"/>
            </w:rPr>
          </w:pPr>
          <w:hyperlink w:anchor="_Toc121233792" w:history="1">
            <w:r w:rsidR="007100CE" w:rsidRPr="005E6140">
              <w:rPr>
                <w:rStyle w:val="Hyperlink"/>
              </w:rPr>
              <w:t>3.2.2.</w:t>
            </w:r>
            <w:r w:rsidR="007100CE">
              <w:rPr>
                <w:rFonts w:asciiTheme="minorHAnsi" w:hAnsiTheme="minorHAnsi" w:cstheme="minorBidi"/>
                <w:i w:val="0"/>
                <w:color w:val="auto"/>
                <w:sz w:val="22"/>
                <w:szCs w:val="22"/>
                <w:lang w:val="en-US" w:eastAsia="en-US"/>
              </w:rPr>
              <w:tab/>
            </w:r>
            <w:r w:rsidR="007100CE" w:rsidRPr="005E6140">
              <w:rPr>
                <w:rStyle w:val="Hyperlink"/>
              </w:rPr>
              <w:t>Older people</w:t>
            </w:r>
            <w:r w:rsidR="007100CE">
              <w:rPr>
                <w:webHidden/>
              </w:rPr>
              <w:tab/>
            </w:r>
            <w:r w:rsidR="007100CE">
              <w:rPr>
                <w:webHidden/>
              </w:rPr>
              <w:fldChar w:fldCharType="begin"/>
            </w:r>
            <w:r w:rsidR="007100CE">
              <w:rPr>
                <w:webHidden/>
              </w:rPr>
              <w:instrText xml:space="preserve"> PAGEREF _Toc121233792 \h </w:instrText>
            </w:r>
            <w:r w:rsidR="007100CE">
              <w:rPr>
                <w:webHidden/>
              </w:rPr>
            </w:r>
            <w:r w:rsidR="007100CE">
              <w:rPr>
                <w:webHidden/>
              </w:rPr>
              <w:fldChar w:fldCharType="separate"/>
            </w:r>
            <w:r w:rsidR="007F1A40">
              <w:rPr>
                <w:webHidden/>
              </w:rPr>
              <w:t>10</w:t>
            </w:r>
            <w:r w:rsidR="007100CE">
              <w:rPr>
                <w:webHidden/>
              </w:rPr>
              <w:fldChar w:fldCharType="end"/>
            </w:r>
          </w:hyperlink>
        </w:p>
        <w:p w14:paraId="175A584C" w14:textId="36C8B7EB" w:rsidR="007100CE" w:rsidRDefault="004928B4">
          <w:pPr>
            <w:pStyle w:val="TOC2"/>
            <w:tabs>
              <w:tab w:val="left" w:pos="1320"/>
            </w:tabs>
            <w:rPr>
              <w:rFonts w:asciiTheme="minorHAnsi" w:hAnsiTheme="minorHAnsi" w:cstheme="minorBidi"/>
              <w:color w:val="auto"/>
              <w:sz w:val="22"/>
              <w:szCs w:val="22"/>
              <w:lang w:val="en-US" w:eastAsia="en-US"/>
            </w:rPr>
          </w:pPr>
          <w:hyperlink w:anchor="_Toc121233793" w:history="1">
            <w:r w:rsidR="007100CE" w:rsidRPr="005E6140">
              <w:rPr>
                <w:rStyle w:val="Hyperlink"/>
              </w:rPr>
              <w:t>3.3.</w:t>
            </w:r>
            <w:r w:rsidR="007100CE">
              <w:rPr>
                <w:rFonts w:asciiTheme="minorHAnsi" w:hAnsiTheme="minorHAnsi" w:cstheme="minorBidi"/>
                <w:color w:val="auto"/>
                <w:sz w:val="22"/>
                <w:szCs w:val="22"/>
                <w:lang w:val="en-US" w:eastAsia="en-US"/>
              </w:rPr>
              <w:tab/>
            </w:r>
            <w:r w:rsidR="007100CE" w:rsidRPr="005E6140">
              <w:rPr>
                <w:rStyle w:val="Hyperlink"/>
              </w:rPr>
              <w:t>Disability</w:t>
            </w:r>
            <w:r w:rsidR="007100CE">
              <w:rPr>
                <w:webHidden/>
              </w:rPr>
              <w:tab/>
            </w:r>
            <w:r w:rsidR="007100CE">
              <w:rPr>
                <w:webHidden/>
              </w:rPr>
              <w:fldChar w:fldCharType="begin"/>
            </w:r>
            <w:r w:rsidR="007100CE">
              <w:rPr>
                <w:webHidden/>
              </w:rPr>
              <w:instrText xml:space="preserve"> PAGEREF _Toc121233793 \h </w:instrText>
            </w:r>
            <w:r w:rsidR="007100CE">
              <w:rPr>
                <w:webHidden/>
              </w:rPr>
            </w:r>
            <w:r w:rsidR="007100CE">
              <w:rPr>
                <w:webHidden/>
              </w:rPr>
              <w:fldChar w:fldCharType="separate"/>
            </w:r>
            <w:r w:rsidR="007F1A40">
              <w:rPr>
                <w:webHidden/>
              </w:rPr>
              <w:t>10</w:t>
            </w:r>
            <w:r w:rsidR="007100CE">
              <w:rPr>
                <w:webHidden/>
              </w:rPr>
              <w:fldChar w:fldCharType="end"/>
            </w:r>
          </w:hyperlink>
        </w:p>
        <w:p w14:paraId="7FFA299B" w14:textId="559F1502" w:rsidR="007100CE" w:rsidRDefault="004928B4">
          <w:pPr>
            <w:pStyle w:val="TOC2"/>
            <w:tabs>
              <w:tab w:val="left" w:pos="1320"/>
            </w:tabs>
            <w:rPr>
              <w:rFonts w:asciiTheme="minorHAnsi" w:hAnsiTheme="minorHAnsi" w:cstheme="minorBidi"/>
              <w:color w:val="auto"/>
              <w:sz w:val="22"/>
              <w:szCs w:val="22"/>
              <w:lang w:val="en-US" w:eastAsia="en-US"/>
            </w:rPr>
          </w:pPr>
          <w:hyperlink w:anchor="_Toc121233794" w:history="1">
            <w:r w:rsidR="007100CE" w:rsidRPr="005E6140">
              <w:rPr>
                <w:rStyle w:val="Hyperlink"/>
              </w:rPr>
              <w:t>3.4.</w:t>
            </w:r>
            <w:r w:rsidR="007100CE">
              <w:rPr>
                <w:rFonts w:asciiTheme="minorHAnsi" w:hAnsiTheme="minorHAnsi" w:cstheme="minorBidi"/>
                <w:color w:val="auto"/>
                <w:sz w:val="22"/>
                <w:szCs w:val="22"/>
                <w:lang w:val="en-US" w:eastAsia="en-US"/>
              </w:rPr>
              <w:tab/>
            </w:r>
            <w:r w:rsidR="007100CE" w:rsidRPr="005E6140">
              <w:rPr>
                <w:rStyle w:val="Hyperlink"/>
              </w:rPr>
              <w:t>Gender reassignment</w:t>
            </w:r>
            <w:r w:rsidR="007100CE">
              <w:rPr>
                <w:webHidden/>
              </w:rPr>
              <w:tab/>
            </w:r>
            <w:r w:rsidR="007100CE">
              <w:rPr>
                <w:webHidden/>
              </w:rPr>
              <w:fldChar w:fldCharType="begin"/>
            </w:r>
            <w:r w:rsidR="007100CE">
              <w:rPr>
                <w:webHidden/>
              </w:rPr>
              <w:instrText xml:space="preserve"> PAGEREF _Toc121233794 \h </w:instrText>
            </w:r>
            <w:r w:rsidR="007100CE">
              <w:rPr>
                <w:webHidden/>
              </w:rPr>
            </w:r>
            <w:r w:rsidR="007100CE">
              <w:rPr>
                <w:webHidden/>
              </w:rPr>
              <w:fldChar w:fldCharType="separate"/>
            </w:r>
            <w:r w:rsidR="007F1A40">
              <w:rPr>
                <w:webHidden/>
              </w:rPr>
              <w:t>11</w:t>
            </w:r>
            <w:r w:rsidR="007100CE">
              <w:rPr>
                <w:webHidden/>
              </w:rPr>
              <w:fldChar w:fldCharType="end"/>
            </w:r>
          </w:hyperlink>
        </w:p>
        <w:p w14:paraId="3B1B22E2" w14:textId="3D908DD6" w:rsidR="007100CE" w:rsidRDefault="004928B4">
          <w:pPr>
            <w:pStyle w:val="TOC2"/>
            <w:tabs>
              <w:tab w:val="left" w:pos="1320"/>
            </w:tabs>
            <w:rPr>
              <w:rFonts w:asciiTheme="minorHAnsi" w:hAnsiTheme="minorHAnsi" w:cstheme="minorBidi"/>
              <w:color w:val="auto"/>
              <w:sz w:val="22"/>
              <w:szCs w:val="22"/>
              <w:lang w:val="en-US" w:eastAsia="en-US"/>
            </w:rPr>
          </w:pPr>
          <w:hyperlink w:anchor="_Toc121233795" w:history="1">
            <w:r w:rsidR="007100CE" w:rsidRPr="005E6140">
              <w:rPr>
                <w:rStyle w:val="Hyperlink"/>
              </w:rPr>
              <w:t>3.5.</w:t>
            </w:r>
            <w:r w:rsidR="007100CE">
              <w:rPr>
                <w:rFonts w:asciiTheme="minorHAnsi" w:hAnsiTheme="minorHAnsi" w:cstheme="minorBidi"/>
                <w:color w:val="auto"/>
                <w:sz w:val="22"/>
                <w:szCs w:val="22"/>
                <w:lang w:val="en-US" w:eastAsia="en-US"/>
              </w:rPr>
              <w:tab/>
            </w:r>
            <w:r w:rsidR="007100CE" w:rsidRPr="005E6140">
              <w:rPr>
                <w:rStyle w:val="Hyperlink"/>
              </w:rPr>
              <w:t>Pregnancy and maternity</w:t>
            </w:r>
            <w:r w:rsidR="007100CE">
              <w:rPr>
                <w:webHidden/>
              </w:rPr>
              <w:tab/>
            </w:r>
            <w:r w:rsidR="007100CE">
              <w:rPr>
                <w:webHidden/>
              </w:rPr>
              <w:fldChar w:fldCharType="begin"/>
            </w:r>
            <w:r w:rsidR="007100CE">
              <w:rPr>
                <w:webHidden/>
              </w:rPr>
              <w:instrText xml:space="preserve"> PAGEREF _Toc121233795 \h </w:instrText>
            </w:r>
            <w:r w:rsidR="007100CE">
              <w:rPr>
                <w:webHidden/>
              </w:rPr>
            </w:r>
            <w:r w:rsidR="007100CE">
              <w:rPr>
                <w:webHidden/>
              </w:rPr>
              <w:fldChar w:fldCharType="separate"/>
            </w:r>
            <w:r w:rsidR="007F1A40">
              <w:rPr>
                <w:webHidden/>
              </w:rPr>
              <w:t>11</w:t>
            </w:r>
            <w:r w:rsidR="007100CE">
              <w:rPr>
                <w:webHidden/>
              </w:rPr>
              <w:fldChar w:fldCharType="end"/>
            </w:r>
          </w:hyperlink>
        </w:p>
        <w:p w14:paraId="1B161072" w14:textId="6416FA85" w:rsidR="007100CE" w:rsidRDefault="004928B4">
          <w:pPr>
            <w:pStyle w:val="TOC2"/>
            <w:tabs>
              <w:tab w:val="left" w:pos="1320"/>
            </w:tabs>
            <w:rPr>
              <w:rFonts w:asciiTheme="minorHAnsi" w:hAnsiTheme="minorHAnsi" w:cstheme="minorBidi"/>
              <w:color w:val="auto"/>
              <w:sz w:val="22"/>
              <w:szCs w:val="22"/>
              <w:lang w:val="en-US" w:eastAsia="en-US"/>
            </w:rPr>
          </w:pPr>
          <w:hyperlink w:anchor="_Toc121233796" w:history="1">
            <w:r w:rsidR="007100CE" w:rsidRPr="005E6140">
              <w:rPr>
                <w:rStyle w:val="Hyperlink"/>
              </w:rPr>
              <w:t>3.6.</w:t>
            </w:r>
            <w:r w:rsidR="007100CE">
              <w:rPr>
                <w:rFonts w:asciiTheme="minorHAnsi" w:hAnsiTheme="minorHAnsi" w:cstheme="minorBidi"/>
                <w:color w:val="auto"/>
                <w:sz w:val="22"/>
                <w:szCs w:val="22"/>
                <w:lang w:val="en-US" w:eastAsia="en-US"/>
              </w:rPr>
              <w:tab/>
            </w:r>
            <w:r w:rsidR="007100CE" w:rsidRPr="005E6140">
              <w:rPr>
                <w:rStyle w:val="Hyperlink"/>
              </w:rPr>
              <w:t>Race/ethnicity</w:t>
            </w:r>
            <w:r w:rsidR="007100CE">
              <w:rPr>
                <w:webHidden/>
              </w:rPr>
              <w:tab/>
            </w:r>
            <w:r w:rsidR="007100CE">
              <w:rPr>
                <w:webHidden/>
              </w:rPr>
              <w:fldChar w:fldCharType="begin"/>
            </w:r>
            <w:r w:rsidR="007100CE">
              <w:rPr>
                <w:webHidden/>
              </w:rPr>
              <w:instrText xml:space="preserve"> PAGEREF _Toc121233796 \h </w:instrText>
            </w:r>
            <w:r w:rsidR="007100CE">
              <w:rPr>
                <w:webHidden/>
              </w:rPr>
            </w:r>
            <w:r w:rsidR="007100CE">
              <w:rPr>
                <w:webHidden/>
              </w:rPr>
              <w:fldChar w:fldCharType="separate"/>
            </w:r>
            <w:r w:rsidR="007F1A40">
              <w:rPr>
                <w:webHidden/>
              </w:rPr>
              <w:t>11</w:t>
            </w:r>
            <w:r w:rsidR="007100CE">
              <w:rPr>
                <w:webHidden/>
              </w:rPr>
              <w:fldChar w:fldCharType="end"/>
            </w:r>
          </w:hyperlink>
        </w:p>
        <w:p w14:paraId="38819ECF" w14:textId="673EF714" w:rsidR="007100CE" w:rsidRDefault="004928B4">
          <w:pPr>
            <w:pStyle w:val="TOC2"/>
            <w:tabs>
              <w:tab w:val="left" w:pos="1320"/>
            </w:tabs>
            <w:rPr>
              <w:rFonts w:asciiTheme="minorHAnsi" w:hAnsiTheme="minorHAnsi" w:cstheme="minorBidi"/>
              <w:color w:val="auto"/>
              <w:sz w:val="22"/>
              <w:szCs w:val="22"/>
              <w:lang w:val="en-US" w:eastAsia="en-US"/>
            </w:rPr>
          </w:pPr>
          <w:hyperlink w:anchor="_Toc121233797" w:history="1">
            <w:r w:rsidR="007100CE" w:rsidRPr="005E6140">
              <w:rPr>
                <w:rStyle w:val="Hyperlink"/>
              </w:rPr>
              <w:t>3.7.</w:t>
            </w:r>
            <w:r w:rsidR="007100CE">
              <w:rPr>
                <w:rFonts w:asciiTheme="minorHAnsi" w:hAnsiTheme="minorHAnsi" w:cstheme="minorBidi"/>
                <w:color w:val="auto"/>
                <w:sz w:val="22"/>
                <w:szCs w:val="22"/>
                <w:lang w:val="en-US" w:eastAsia="en-US"/>
              </w:rPr>
              <w:tab/>
            </w:r>
            <w:r w:rsidR="007100CE" w:rsidRPr="005E6140">
              <w:rPr>
                <w:rStyle w:val="Hyperlink"/>
              </w:rPr>
              <w:t>Religion/belief</w:t>
            </w:r>
            <w:r w:rsidR="007100CE">
              <w:rPr>
                <w:webHidden/>
              </w:rPr>
              <w:tab/>
            </w:r>
            <w:r w:rsidR="007100CE">
              <w:rPr>
                <w:webHidden/>
              </w:rPr>
              <w:fldChar w:fldCharType="begin"/>
            </w:r>
            <w:r w:rsidR="007100CE">
              <w:rPr>
                <w:webHidden/>
              </w:rPr>
              <w:instrText xml:space="preserve"> PAGEREF _Toc121233797 \h </w:instrText>
            </w:r>
            <w:r w:rsidR="007100CE">
              <w:rPr>
                <w:webHidden/>
              </w:rPr>
            </w:r>
            <w:r w:rsidR="007100CE">
              <w:rPr>
                <w:webHidden/>
              </w:rPr>
              <w:fldChar w:fldCharType="separate"/>
            </w:r>
            <w:r w:rsidR="007F1A40">
              <w:rPr>
                <w:webHidden/>
              </w:rPr>
              <w:t>12</w:t>
            </w:r>
            <w:r w:rsidR="007100CE">
              <w:rPr>
                <w:webHidden/>
              </w:rPr>
              <w:fldChar w:fldCharType="end"/>
            </w:r>
          </w:hyperlink>
        </w:p>
        <w:p w14:paraId="5FB64A48" w14:textId="24236FD2" w:rsidR="007100CE" w:rsidRDefault="004928B4">
          <w:pPr>
            <w:pStyle w:val="TOC2"/>
            <w:tabs>
              <w:tab w:val="left" w:pos="1320"/>
            </w:tabs>
            <w:rPr>
              <w:rFonts w:asciiTheme="minorHAnsi" w:hAnsiTheme="minorHAnsi" w:cstheme="minorBidi"/>
              <w:color w:val="auto"/>
              <w:sz w:val="22"/>
              <w:szCs w:val="22"/>
              <w:lang w:val="en-US" w:eastAsia="en-US"/>
            </w:rPr>
          </w:pPr>
          <w:hyperlink w:anchor="_Toc121233798" w:history="1">
            <w:r w:rsidR="007100CE" w:rsidRPr="005E6140">
              <w:rPr>
                <w:rStyle w:val="Hyperlink"/>
              </w:rPr>
              <w:t>3.8.</w:t>
            </w:r>
            <w:r w:rsidR="007100CE">
              <w:rPr>
                <w:rFonts w:asciiTheme="minorHAnsi" w:hAnsiTheme="minorHAnsi" w:cstheme="minorBidi"/>
                <w:color w:val="auto"/>
                <w:sz w:val="22"/>
                <w:szCs w:val="22"/>
                <w:lang w:val="en-US" w:eastAsia="en-US"/>
              </w:rPr>
              <w:tab/>
            </w:r>
            <w:r w:rsidR="007100CE" w:rsidRPr="005E6140">
              <w:rPr>
                <w:rStyle w:val="Hyperlink"/>
              </w:rPr>
              <w:t>Sex</w:t>
            </w:r>
            <w:r w:rsidR="007100CE">
              <w:rPr>
                <w:webHidden/>
              </w:rPr>
              <w:tab/>
            </w:r>
            <w:r w:rsidR="007100CE">
              <w:rPr>
                <w:webHidden/>
              </w:rPr>
              <w:fldChar w:fldCharType="begin"/>
            </w:r>
            <w:r w:rsidR="007100CE">
              <w:rPr>
                <w:webHidden/>
              </w:rPr>
              <w:instrText xml:space="preserve"> PAGEREF _Toc121233798 \h </w:instrText>
            </w:r>
            <w:r w:rsidR="007100CE">
              <w:rPr>
                <w:webHidden/>
              </w:rPr>
            </w:r>
            <w:r w:rsidR="007100CE">
              <w:rPr>
                <w:webHidden/>
              </w:rPr>
              <w:fldChar w:fldCharType="separate"/>
            </w:r>
            <w:r w:rsidR="007F1A40">
              <w:rPr>
                <w:webHidden/>
              </w:rPr>
              <w:t>12</w:t>
            </w:r>
            <w:r w:rsidR="007100CE">
              <w:rPr>
                <w:webHidden/>
              </w:rPr>
              <w:fldChar w:fldCharType="end"/>
            </w:r>
          </w:hyperlink>
        </w:p>
        <w:p w14:paraId="6F4C9940" w14:textId="66A145BB" w:rsidR="007100CE" w:rsidRDefault="004928B4">
          <w:pPr>
            <w:pStyle w:val="TOC2"/>
            <w:tabs>
              <w:tab w:val="left" w:pos="1320"/>
            </w:tabs>
            <w:rPr>
              <w:rFonts w:asciiTheme="minorHAnsi" w:hAnsiTheme="minorHAnsi" w:cstheme="minorBidi"/>
              <w:color w:val="auto"/>
              <w:sz w:val="22"/>
              <w:szCs w:val="22"/>
              <w:lang w:val="en-US" w:eastAsia="en-US"/>
            </w:rPr>
          </w:pPr>
          <w:hyperlink w:anchor="_Toc121233799" w:history="1">
            <w:r w:rsidR="007100CE" w:rsidRPr="005E6140">
              <w:rPr>
                <w:rStyle w:val="Hyperlink"/>
              </w:rPr>
              <w:t>3.9.</w:t>
            </w:r>
            <w:r w:rsidR="007100CE">
              <w:rPr>
                <w:rFonts w:asciiTheme="minorHAnsi" w:hAnsiTheme="minorHAnsi" w:cstheme="minorBidi"/>
                <w:color w:val="auto"/>
                <w:sz w:val="22"/>
                <w:szCs w:val="22"/>
                <w:lang w:val="en-US" w:eastAsia="en-US"/>
              </w:rPr>
              <w:tab/>
            </w:r>
            <w:r w:rsidR="007100CE" w:rsidRPr="005E6140">
              <w:rPr>
                <w:rStyle w:val="Hyperlink"/>
              </w:rPr>
              <w:t>Sexual orientation</w:t>
            </w:r>
            <w:r w:rsidR="007100CE">
              <w:rPr>
                <w:webHidden/>
              </w:rPr>
              <w:tab/>
            </w:r>
            <w:r w:rsidR="007100CE">
              <w:rPr>
                <w:webHidden/>
              </w:rPr>
              <w:fldChar w:fldCharType="begin"/>
            </w:r>
            <w:r w:rsidR="007100CE">
              <w:rPr>
                <w:webHidden/>
              </w:rPr>
              <w:instrText xml:space="preserve"> PAGEREF _Toc121233799 \h </w:instrText>
            </w:r>
            <w:r w:rsidR="007100CE">
              <w:rPr>
                <w:webHidden/>
              </w:rPr>
            </w:r>
            <w:r w:rsidR="007100CE">
              <w:rPr>
                <w:webHidden/>
              </w:rPr>
              <w:fldChar w:fldCharType="separate"/>
            </w:r>
            <w:r w:rsidR="007F1A40">
              <w:rPr>
                <w:webHidden/>
              </w:rPr>
              <w:t>12</w:t>
            </w:r>
            <w:r w:rsidR="007100CE">
              <w:rPr>
                <w:webHidden/>
              </w:rPr>
              <w:fldChar w:fldCharType="end"/>
            </w:r>
          </w:hyperlink>
        </w:p>
        <w:p w14:paraId="68A01812" w14:textId="2AAAA239" w:rsidR="007100CE" w:rsidRDefault="004928B4">
          <w:pPr>
            <w:pStyle w:val="TOC1"/>
            <w:rPr>
              <w:rFonts w:asciiTheme="minorHAnsi" w:hAnsiTheme="minorHAnsi" w:cstheme="minorBidi"/>
              <w:b w:val="0"/>
              <w:color w:val="auto"/>
              <w:sz w:val="22"/>
              <w:szCs w:val="22"/>
              <w:lang w:val="en-US" w:eastAsia="en-US"/>
            </w:rPr>
          </w:pPr>
          <w:hyperlink w:anchor="_Toc121233800" w:history="1">
            <w:r w:rsidR="007100CE" w:rsidRPr="005E6140">
              <w:rPr>
                <w:rStyle w:val="Hyperlink"/>
              </w:rPr>
              <w:t>4.</w:t>
            </w:r>
            <w:r w:rsidR="007100CE">
              <w:rPr>
                <w:rFonts w:asciiTheme="minorHAnsi" w:hAnsiTheme="minorHAnsi" w:cstheme="minorBidi"/>
                <w:b w:val="0"/>
                <w:color w:val="auto"/>
                <w:sz w:val="22"/>
                <w:szCs w:val="22"/>
                <w:lang w:val="en-US" w:eastAsia="en-US"/>
              </w:rPr>
              <w:tab/>
            </w:r>
            <w:r w:rsidR="007100CE" w:rsidRPr="005E6140">
              <w:rPr>
                <w:rStyle w:val="Hyperlink"/>
              </w:rPr>
              <w:t>Engagement</w:t>
            </w:r>
            <w:r w:rsidR="007100CE">
              <w:rPr>
                <w:webHidden/>
              </w:rPr>
              <w:tab/>
            </w:r>
            <w:r w:rsidR="007100CE">
              <w:rPr>
                <w:webHidden/>
              </w:rPr>
              <w:fldChar w:fldCharType="begin"/>
            </w:r>
            <w:r w:rsidR="007100CE">
              <w:rPr>
                <w:webHidden/>
              </w:rPr>
              <w:instrText xml:space="preserve"> PAGEREF _Toc121233800 \h </w:instrText>
            </w:r>
            <w:r w:rsidR="007100CE">
              <w:rPr>
                <w:webHidden/>
              </w:rPr>
            </w:r>
            <w:r w:rsidR="007100CE">
              <w:rPr>
                <w:webHidden/>
              </w:rPr>
              <w:fldChar w:fldCharType="separate"/>
            </w:r>
            <w:r w:rsidR="007F1A40">
              <w:rPr>
                <w:webHidden/>
              </w:rPr>
              <w:t>13</w:t>
            </w:r>
            <w:r w:rsidR="007100CE">
              <w:rPr>
                <w:webHidden/>
              </w:rPr>
              <w:fldChar w:fldCharType="end"/>
            </w:r>
          </w:hyperlink>
        </w:p>
        <w:p w14:paraId="60C85310" w14:textId="73A6314F" w:rsidR="007100CE" w:rsidRDefault="004928B4">
          <w:pPr>
            <w:pStyle w:val="TOC2"/>
            <w:tabs>
              <w:tab w:val="left" w:pos="1320"/>
            </w:tabs>
            <w:rPr>
              <w:rFonts w:asciiTheme="minorHAnsi" w:hAnsiTheme="minorHAnsi" w:cstheme="minorBidi"/>
              <w:color w:val="auto"/>
              <w:sz w:val="22"/>
              <w:szCs w:val="22"/>
              <w:lang w:val="en-US" w:eastAsia="en-US"/>
            </w:rPr>
          </w:pPr>
          <w:hyperlink w:anchor="_Toc121233801" w:history="1">
            <w:r w:rsidR="007100CE" w:rsidRPr="005E6140">
              <w:rPr>
                <w:rStyle w:val="Hyperlink"/>
              </w:rPr>
              <w:t>4.1.</w:t>
            </w:r>
            <w:r w:rsidR="007100CE">
              <w:rPr>
                <w:rFonts w:asciiTheme="minorHAnsi" w:hAnsiTheme="minorHAnsi" w:cstheme="minorBidi"/>
                <w:color w:val="auto"/>
                <w:sz w:val="22"/>
                <w:szCs w:val="22"/>
                <w:lang w:val="en-US" w:eastAsia="en-US"/>
              </w:rPr>
              <w:tab/>
            </w:r>
            <w:r w:rsidR="007100CE" w:rsidRPr="005E6140">
              <w:rPr>
                <w:rStyle w:val="Hyperlink"/>
              </w:rPr>
              <w:t>Overview</w:t>
            </w:r>
            <w:r w:rsidR="007100CE">
              <w:rPr>
                <w:webHidden/>
              </w:rPr>
              <w:tab/>
            </w:r>
            <w:r w:rsidR="007100CE">
              <w:rPr>
                <w:webHidden/>
              </w:rPr>
              <w:fldChar w:fldCharType="begin"/>
            </w:r>
            <w:r w:rsidR="007100CE">
              <w:rPr>
                <w:webHidden/>
              </w:rPr>
              <w:instrText xml:space="preserve"> PAGEREF _Toc121233801 \h </w:instrText>
            </w:r>
            <w:r w:rsidR="007100CE">
              <w:rPr>
                <w:webHidden/>
              </w:rPr>
            </w:r>
            <w:r w:rsidR="007100CE">
              <w:rPr>
                <w:webHidden/>
              </w:rPr>
              <w:fldChar w:fldCharType="separate"/>
            </w:r>
            <w:r w:rsidR="007F1A40">
              <w:rPr>
                <w:webHidden/>
              </w:rPr>
              <w:t>13</w:t>
            </w:r>
            <w:r w:rsidR="007100CE">
              <w:rPr>
                <w:webHidden/>
              </w:rPr>
              <w:fldChar w:fldCharType="end"/>
            </w:r>
          </w:hyperlink>
        </w:p>
        <w:p w14:paraId="00277591" w14:textId="2F134427" w:rsidR="007100CE" w:rsidRDefault="004928B4">
          <w:pPr>
            <w:pStyle w:val="TOC2"/>
            <w:tabs>
              <w:tab w:val="left" w:pos="1320"/>
            </w:tabs>
            <w:rPr>
              <w:rFonts w:asciiTheme="minorHAnsi" w:hAnsiTheme="minorHAnsi" w:cstheme="minorBidi"/>
              <w:color w:val="auto"/>
              <w:sz w:val="22"/>
              <w:szCs w:val="22"/>
              <w:lang w:val="en-US" w:eastAsia="en-US"/>
            </w:rPr>
          </w:pPr>
          <w:hyperlink w:anchor="_Toc121233802" w:history="1">
            <w:r w:rsidR="007100CE" w:rsidRPr="005E6140">
              <w:rPr>
                <w:rStyle w:val="Hyperlink"/>
              </w:rPr>
              <w:t>4.2.</w:t>
            </w:r>
            <w:r w:rsidR="007100CE">
              <w:rPr>
                <w:rFonts w:asciiTheme="minorHAnsi" w:hAnsiTheme="minorHAnsi" w:cstheme="minorBidi"/>
                <w:color w:val="auto"/>
                <w:sz w:val="22"/>
                <w:szCs w:val="22"/>
                <w:lang w:val="en-US" w:eastAsia="en-US"/>
              </w:rPr>
              <w:tab/>
            </w:r>
            <w:r w:rsidR="007100CE" w:rsidRPr="005E6140">
              <w:rPr>
                <w:rStyle w:val="Hyperlink"/>
              </w:rPr>
              <w:t>Stakeholder Engagement Activities</w:t>
            </w:r>
            <w:r w:rsidR="007100CE">
              <w:rPr>
                <w:webHidden/>
              </w:rPr>
              <w:tab/>
            </w:r>
            <w:r w:rsidR="007100CE">
              <w:rPr>
                <w:webHidden/>
              </w:rPr>
              <w:fldChar w:fldCharType="begin"/>
            </w:r>
            <w:r w:rsidR="007100CE">
              <w:rPr>
                <w:webHidden/>
              </w:rPr>
              <w:instrText xml:space="preserve"> PAGEREF _Toc121233802 \h </w:instrText>
            </w:r>
            <w:r w:rsidR="007100CE">
              <w:rPr>
                <w:webHidden/>
              </w:rPr>
            </w:r>
            <w:r w:rsidR="007100CE">
              <w:rPr>
                <w:webHidden/>
              </w:rPr>
              <w:fldChar w:fldCharType="separate"/>
            </w:r>
            <w:r w:rsidR="007F1A40">
              <w:rPr>
                <w:webHidden/>
              </w:rPr>
              <w:t>13</w:t>
            </w:r>
            <w:r w:rsidR="007100CE">
              <w:rPr>
                <w:webHidden/>
              </w:rPr>
              <w:fldChar w:fldCharType="end"/>
            </w:r>
          </w:hyperlink>
        </w:p>
        <w:p w14:paraId="04D5EC9C" w14:textId="20A6E2C6" w:rsidR="007100CE" w:rsidRDefault="004928B4">
          <w:pPr>
            <w:pStyle w:val="TOC2"/>
            <w:tabs>
              <w:tab w:val="left" w:pos="1320"/>
            </w:tabs>
            <w:rPr>
              <w:rFonts w:asciiTheme="minorHAnsi" w:hAnsiTheme="minorHAnsi" w:cstheme="minorBidi"/>
              <w:color w:val="auto"/>
              <w:sz w:val="22"/>
              <w:szCs w:val="22"/>
              <w:lang w:val="en-US" w:eastAsia="en-US"/>
            </w:rPr>
          </w:pPr>
          <w:hyperlink w:anchor="_Toc121233803" w:history="1">
            <w:r w:rsidR="007100CE" w:rsidRPr="005E6140">
              <w:rPr>
                <w:rStyle w:val="Hyperlink"/>
              </w:rPr>
              <w:t>4.3.</w:t>
            </w:r>
            <w:r w:rsidR="007100CE">
              <w:rPr>
                <w:rFonts w:asciiTheme="minorHAnsi" w:hAnsiTheme="minorHAnsi" w:cstheme="minorBidi"/>
                <w:color w:val="auto"/>
                <w:sz w:val="22"/>
                <w:szCs w:val="22"/>
                <w:lang w:val="en-US" w:eastAsia="en-US"/>
              </w:rPr>
              <w:tab/>
            </w:r>
            <w:r w:rsidR="007100CE" w:rsidRPr="005E6140">
              <w:rPr>
                <w:rStyle w:val="Hyperlink"/>
              </w:rPr>
              <w:t>Statutory Consultation</w:t>
            </w:r>
            <w:r w:rsidR="007100CE">
              <w:rPr>
                <w:webHidden/>
              </w:rPr>
              <w:tab/>
            </w:r>
            <w:r w:rsidR="007100CE">
              <w:rPr>
                <w:webHidden/>
              </w:rPr>
              <w:fldChar w:fldCharType="begin"/>
            </w:r>
            <w:r w:rsidR="007100CE">
              <w:rPr>
                <w:webHidden/>
              </w:rPr>
              <w:instrText xml:space="preserve"> PAGEREF _Toc121233803 \h </w:instrText>
            </w:r>
            <w:r w:rsidR="007100CE">
              <w:rPr>
                <w:webHidden/>
              </w:rPr>
            </w:r>
            <w:r w:rsidR="007100CE">
              <w:rPr>
                <w:webHidden/>
              </w:rPr>
              <w:fldChar w:fldCharType="separate"/>
            </w:r>
            <w:r w:rsidR="007F1A40">
              <w:rPr>
                <w:webHidden/>
              </w:rPr>
              <w:t>14</w:t>
            </w:r>
            <w:r w:rsidR="007100CE">
              <w:rPr>
                <w:webHidden/>
              </w:rPr>
              <w:fldChar w:fldCharType="end"/>
            </w:r>
          </w:hyperlink>
        </w:p>
        <w:p w14:paraId="1DE2C13E" w14:textId="3CC69690" w:rsidR="007100CE" w:rsidRDefault="004928B4">
          <w:pPr>
            <w:pStyle w:val="TOC1"/>
            <w:rPr>
              <w:rFonts w:asciiTheme="minorHAnsi" w:hAnsiTheme="minorHAnsi" w:cstheme="minorBidi"/>
              <w:b w:val="0"/>
              <w:color w:val="auto"/>
              <w:sz w:val="22"/>
              <w:szCs w:val="22"/>
              <w:lang w:val="en-US" w:eastAsia="en-US"/>
            </w:rPr>
          </w:pPr>
          <w:hyperlink w:anchor="_Toc121233804" w:history="1">
            <w:r w:rsidR="007100CE" w:rsidRPr="005E6140">
              <w:rPr>
                <w:rStyle w:val="Hyperlink"/>
              </w:rPr>
              <w:t>5.</w:t>
            </w:r>
            <w:r w:rsidR="007100CE">
              <w:rPr>
                <w:rFonts w:asciiTheme="minorHAnsi" w:hAnsiTheme="minorHAnsi" w:cstheme="minorBidi"/>
                <w:b w:val="0"/>
                <w:color w:val="auto"/>
                <w:sz w:val="22"/>
                <w:szCs w:val="22"/>
                <w:lang w:val="en-US" w:eastAsia="en-US"/>
              </w:rPr>
              <w:tab/>
            </w:r>
            <w:r w:rsidR="007100CE" w:rsidRPr="005E6140">
              <w:rPr>
                <w:rStyle w:val="Hyperlink"/>
              </w:rPr>
              <w:t>Approach to the EqIA</w:t>
            </w:r>
            <w:r w:rsidR="007100CE">
              <w:rPr>
                <w:webHidden/>
              </w:rPr>
              <w:tab/>
            </w:r>
            <w:r w:rsidR="007100CE">
              <w:rPr>
                <w:webHidden/>
              </w:rPr>
              <w:fldChar w:fldCharType="begin"/>
            </w:r>
            <w:r w:rsidR="007100CE">
              <w:rPr>
                <w:webHidden/>
              </w:rPr>
              <w:instrText xml:space="preserve"> PAGEREF _Toc121233804 \h </w:instrText>
            </w:r>
            <w:r w:rsidR="007100CE">
              <w:rPr>
                <w:webHidden/>
              </w:rPr>
            </w:r>
            <w:r w:rsidR="007100CE">
              <w:rPr>
                <w:webHidden/>
              </w:rPr>
              <w:fldChar w:fldCharType="separate"/>
            </w:r>
            <w:r w:rsidR="007F1A40">
              <w:rPr>
                <w:webHidden/>
              </w:rPr>
              <w:t>16</w:t>
            </w:r>
            <w:r w:rsidR="007100CE">
              <w:rPr>
                <w:webHidden/>
              </w:rPr>
              <w:fldChar w:fldCharType="end"/>
            </w:r>
          </w:hyperlink>
        </w:p>
        <w:p w14:paraId="1F1C1B96" w14:textId="4EC6A60B" w:rsidR="007100CE" w:rsidRDefault="004928B4">
          <w:pPr>
            <w:pStyle w:val="TOC2"/>
            <w:tabs>
              <w:tab w:val="left" w:pos="1320"/>
            </w:tabs>
            <w:rPr>
              <w:rFonts w:asciiTheme="minorHAnsi" w:hAnsiTheme="minorHAnsi" w:cstheme="minorBidi"/>
              <w:color w:val="auto"/>
              <w:sz w:val="22"/>
              <w:szCs w:val="22"/>
              <w:lang w:val="en-US" w:eastAsia="en-US"/>
            </w:rPr>
          </w:pPr>
          <w:hyperlink w:anchor="_Toc121233805" w:history="1">
            <w:r w:rsidR="007100CE" w:rsidRPr="005E6140">
              <w:rPr>
                <w:rStyle w:val="Hyperlink"/>
              </w:rPr>
              <w:t>5.1.</w:t>
            </w:r>
            <w:r w:rsidR="007100CE">
              <w:rPr>
                <w:rFonts w:asciiTheme="minorHAnsi" w:hAnsiTheme="minorHAnsi" w:cstheme="minorBidi"/>
                <w:color w:val="auto"/>
                <w:sz w:val="22"/>
                <w:szCs w:val="22"/>
                <w:lang w:val="en-US" w:eastAsia="en-US"/>
              </w:rPr>
              <w:tab/>
            </w:r>
            <w:r w:rsidR="007100CE" w:rsidRPr="005E6140">
              <w:rPr>
                <w:rStyle w:val="Hyperlink"/>
              </w:rPr>
              <w:t>Introduction</w:t>
            </w:r>
            <w:r w:rsidR="007100CE">
              <w:rPr>
                <w:webHidden/>
              </w:rPr>
              <w:tab/>
            </w:r>
            <w:r w:rsidR="007100CE">
              <w:rPr>
                <w:webHidden/>
              </w:rPr>
              <w:fldChar w:fldCharType="begin"/>
            </w:r>
            <w:r w:rsidR="007100CE">
              <w:rPr>
                <w:webHidden/>
              </w:rPr>
              <w:instrText xml:space="preserve"> PAGEREF _Toc121233805 \h </w:instrText>
            </w:r>
            <w:r w:rsidR="007100CE">
              <w:rPr>
                <w:webHidden/>
              </w:rPr>
            </w:r>
            <w:r w:rsidR="007100CE">
              <w:rPr>
                <w:webHidden/>
              </w:rPr>
              <w:fldChar w:fldCharType="separate"/>
            </w:r>
            <w:r w:rsidR="007F1A40">
              <w:rPr>
                <w:webHidden/>
              </w:rPr>
              <w:t>16</w:t>
            </w:r>
            <w:r w:rsidR="007100CE">
              <w:rPr>
                <w:webHidden/>
              </w:rPr>
              <w:fldChar w:fldCharType="end"/>
            </w:r>
          </w:hyperlink>
        </w:p>
        <w:p w14:paraId="145B15A9" w14:textId="714D4DDF" w:rsidR="007100CE" w:rsidRDefault="004928B4">
          <w:pPr>
            <w:pStyle w:val="TOC2"/>
            <w:tabs>
              <w:tab w:val="left" w:pos="1320"/>
            </w:tabs>
            <w:rPr>
              <w:rFonts w:asciiTheme="minorHAnsi" w:hAnsiTheme="minorHAnsi" w:cstheme="minorBidi"/>
              <w:color w:val="auto"/>
              <w:sz w:val="22"/>
              <w:szCs w:val="22"/>
              <w:lang w:val="en-US" w:eastAsia="en-US"/>
            </w:rPr>
          </w:pPr>
          <w:hyperlink w:anchor="_Toc121233806" w:history="1">
            <w:r w:rsidR="007100CE" w:rsidRPr="005E6140">
              <w:rPr>
                <w:rStyle w:val="Hyperlink"/>
              </w:rPr>
              <w:t>5.2.</w:t>
            </w:r>
            <w:r w:rsidR="007100CE">
              <w:rPr>
                <w:rFonts w:asciiTheme="minorHAnsi" w:hAnsiTheme="minorHAnsi" w:cstheme="minorBidi"/>
                <w:color w:val="auto"/>
                <w:sz w:val="22"/>
                <w:szCs w:val="22"/>
                <w:lang w:val="en-US" w:eastAsia="en-US"/>
              </w:rPr>
              <w:tab/>
            </w:r>
            <w:r w:rsidR="007100CE" w:rsidRPr="005E6140">
              <w:rPr>
                <w:rStyle w:val="Hyperlink"/>
              </w:rPr>
              <w:t>EqIA Topics and Objectives</w:t>
            </w:r>
            <w:r w:rsidR="007100CE">
              <w:rPr>
                <w:webHidden/>
              </w:rPr>
              <w:tab/>
            </w:r>
            <w:r w:rsidR="007100CE">
              <w:rPr>
                <w:webHidden/>
              </w:rPr>
              <w:fldChar w:fldCharType="begin"/>
            </w:r>
            <w:r w:rsidR="007100CE">
              <w:rPr>
                <w:webHidden/>
              </w:rPr>
              <w:instrText xml:space="preserve"> PAGEREF _Toc121233806 \h </w:instrText>
            </w:r>
            <w:r w:rsidR="007100CE">
              <w:rPr>
                <w:webHidden/>
              </w:rPr>
            </w:r>
            <w:r w:rsidR="007100CE">
              <w:rPr>
                <w:webHidden/>
              </w:rPr>
              <w:fldChar w:fldCharType="separate"/>
            </w:r>
            <w:r w:rsidR="007F1A40">
              <w:rPr>
                <w:webHidden/>
              </w:rPr>
              <w:t>17</w:t>
            </w:r>
            <w:r w:rsidR="007100CE">
              <w:rPr>
                <w:webHidden/>
              </w:rPr>
              <w:fldChar w:fldCharType="end"/>
            </w:r>
          </w:hyperlink>
        </w:p>
        <w:p w14:paraId="055AAD28" w14:textId="5670258E" w:rsidR="007100CE" w:rsidRDefault="004928B4">
          <w:pPr>
            <w:pStyle w:val="TOC2"/>
            <w:tabs>
              <w:tab w:val="left" w:pos="1320"/>
            </w:tabs>
            <w:rPr>
              <w:rFonts w:asciiTheme="minorHAnsi" w:hAnsiTheme="minorHAnsi" w:cstheme="minorBidi"/>
              <w:color w:val="auto"/>
              <w:sz w:val="22"/>
              <w:szCs w:val="22"/>
              <w:lang w:val="en-US" w:eastAsia="en-US"/>
            </w:rPr>
          </w:pPr>
          <w:hyperlink w:anchor="_Toc121233807" w:history="1">
            <w:r w:rsidR="007100CE" w:rsidRPr="005E6140">
              <w:rPr>
                <w:rStyle w:val="Hyperlink"/>
              </w:rPr>
              <w:t>5.3.</w:t>
            </w:r>
            <w:r w:rsidR="007100CE">
              <w:rPr>
                <w:rFonts w:asciiTheme="minorHAnsi" w:hAnsiTheme="minorHAnsi" w:cstheme="minorBidi"/>
                <w:color w:val="auto"/>
                <w:sz w:val="22"/>
                <w:szCs w:val="22"/>
                <w:lang w:val="en-US" w:eastAsia="en-US"/>
              </w:rPr>
              <w:tab/>
            </w:r>
            <w:r w:rsidR="007100CE" w:rsidRPr="005E6140">
              <w:rPr>
                <w:rStyle w:val="Hyperlink"/>
              </w:rPr>
              <w:t>Matrix Approach</w:t>
            </w:r>
            <w:r w:rsidR="007100CE">
              <w:rPr>
                <w:webHidden/>
              </w:rPr>
              <w:tab/>
            </w:r>
            <w:r w:rsidR="007100CE">
              <w:rPr>
                <w:webHidden/>
              </w:rPr>
              <w:fldChar w:fldCharType="begin"/>
            </w:r>
            <w:r w:rsidR="007100CE">
              <w:rPr>
                <w:webHidden/>
              </w:rPr>
              <w:instrText xml:space="preserve"> PAGEREF _Toc121233807 \h </w:instrText>
            </w:r>
            <w:r w:rsidR="007100CE">
              <w:rPr>
                <w:webHidden/>
              </w:rPr>
            </w:r>
            <w:r w:rsidR="007100CE">
              <w:rPr>
                <w:webHidden/>
              </w:rPr>
              <w:fldChar w:fldCharType="separate"/>
            </w:r>
            <w:r w:rsidR="007F1A40">
              <w:rPr>
                <w:webHidden/>
              </w:rPr>
              <w:t>18</w:t>
            </w:r>
            <w:r w:rsidR="007100CE">
              <w:rPr>
                <w:webHidden/>
              </w:rPr>
              <w:fldChar w:fldCharType="end"/>
            </w:r>
          </w:hyperlink>
        </w:p>
        <w:p w14:paraId="02B18E92" w14:textId="4E033788" w:rsidR="007100CE" w:rsidRDefault="004928B4">
          <w:pPr>
            <w:pStyle w:val="TOC1"/>
            <w:rPr>
              <w:rFonts w:asciiTheme="minorHAnsi" w:hAnsiTheme="minorHAnsi" w:cstheme="minorBidi"/>
              <w:b w:val="0"/>
              <w:color w:val="auto"/>
              <w:sz w:val="22"/>
              <w:szCs w:val="22"/>
              <w:lang w:val="en-US" w:eastAsia="en-US"/>
            </w:rPr>
          </w:pPr>
          <w:hyperlink w:anchor="_Toc121233808" w:history="1">
            <w:r w:rsidR="007100CE" w:rsidRPr="005E6140">
              <w:rPr>
                <w:rStyle w:val="Hyperlink"/>
              </w:rPr>
              <w:t>6.</w:t>
            </w:r>
            <w:r w:rsidR="007100CE">
              <w:rPr>
                <w:rFonts w:asciiTheme="minorHAnsi" w:hAnsiTheme="minorHAnsi" w:cstheme="minorBidi"/>
                <w:b w:val="0"/>
                <w:color w:val="auto"/>
                <w:sz w:val="22"/>
                <w:szCs w:val="22"/>
                <w:lang w:val="en-US" w:eastAsia="en-US"/>
              </w:rPr>
              <w:tab/>
            </w:r>
            <w:r w:rsidR="007100CE" w:rsidRPr="005E6140">
              <w:rPr>
                <w:rStyle w:val="Hyperlink"/>
              </w:rPr>
              <w:t>Assessment of Impacts</w:t>
            </w:r>
            <w:r w:rsidR="007100CE">
              <w:rPr>
                <w:webHidden/>
              </w:rPr>
              <w:tab/>
            </w:r>
            <w:r w:rsidR="007100CE">
              <w:rPr>
                <w:webHidden/>
              </w:rPr>
              <w:fldChar w:fldCharType="begin"/>
            </w:r>
            <w:r w:rsidR="007100CE">
              <w:rPr>
                <w:webHidden/>
              </w:rPr>
              <w:instrText xml:space="preserve"> PAGEREF _Toc121233808 \h </w:instrText>
            </w:r>
            <w:r w:rsidR="007100CE">
              <w:rPr>
                <w:webHidden/>
              </w:rPr>
            </w:r>
            <w:r w:rsidR="007100CE">
              <w:rPr>
                <w:webHidden/>
              </w:rPr>
              <w:fldChar w:fldCharType="separate"/>
            </w:r>
            <w:r w:rsidR="007F1A40">
              <w:rPr>
                <w:webHidden/>
              </w:rPr>
              <w:t>19</w:t>
            </w:r>
            <w:r w:rsidR="007100CE">
              <w:rPr>
                <w:webHidden/>
              </w:rPr>
              <w:fldChar w:fldCharType="end"/>
            </w:r>
          </w:hyperlink>
        </w:p>
        <w:p w14:paraId="70B72741" w14:textId="118F9815" w:rsidR="007100CE" w:rsidRDefault="004928B4">
          <w:pPr>
            <w:pStyle w:val="TOC2"/>
            <w:tabs>
              <w:tab w:val="left" w:pos="1320"/>
            </w:tabs>
            <w:rPr>
              <w:rFonts w:asciiTheme="minorHAnsi" w:hAnsiTheme="minorHAnsi" w:cstheme="minorBidi"/>
              <w:color w:val="auto"/>
              <w:sz w:val="22"/>
              <w:szCs w:val="22"/>
              <w:lang w:val="en-US" w:eastAsia="en-US"/>
            </w:rPr>
          </w:pPr>
          <w:hyperlink w:anchor="_Toc121233809" w:history="1">
            <w:r w:rsidR="007100CE" w:rsidRPr="005E6140">
              <w:rPr>
                <w:rStyle w:val="Hyperlink"/>
              </w:rPr>
              <w:t>6.1.</w:t>
            </w:r>
            <w:r w:rsidR="007100CE">
              <w:rPr>
                <w:rFonts w:asciiTheme="minorHAnsi" w:hAnsiTheme="minorHAnsi" w:cstheme="minorBidi"/>
                <w:color w:val="auto"/>
                <w:sz w:val="22"/>
                <w:szCs w:val="22"/>
                <w:lang w:val="en-US" w:eastAsia="en-US"/>
              </w:rPr>
              <w:tab/>
            </w:r>
            <w:r w:rsidR="007100CE" w:rsidRPr="005E6140">
              <w:rPr>
                <w:rStyle w:val="Hyperlink"/>
              </w:rPr>
              <w:t>Introduction</w:t>
            </w:r>
            <w:r w:rsidR="007100CE">
              <w:rPr>
                <w:webHidden/>
              </w:rPr>
              <w:tab/>
            </w:r>
            <w:r w:rsidR="007100CE">
              <w:rPr>
                <w:webHidden/>
              </w:rPr>
              <w:fldChar w:fldCharType="begin"/>
            </w:r>
            <w:r w:rsidR="007100CE">
              <w:rPr>
                <w:webHidden/>
              </w:rPr>
              <w:instrText xml:space="preserve"> PAGEREF _Toc121233809 \h </w:instrText>
            </w:r>
            <w:r w:rsidR="007100CE">
              <w:rPr>
                <w:webHidden/>
              </w:rPr>
            </w:r>
            <w:r w:rsidR="007100CE">
              <w:rPr>
                <w:webHidden/>
              </w:rPr>
              <w:fldChar w:fldCharType="separate"/>
            </w:r>
            <w:r w:rsidR="007F1A40">
              <w:rPr>
                <w:webHidden/>
              </w:rPr>
              <w:t>19</w:t>
            </w:r>
            <w:r w:rsidR="007100CE">
              <w:rPr>
                <w:webHidden/>
              </w:rPr>
              <w:fldChar w:fldCharType="end"/>
            </w:r>
          </w:hyperlink>
        </w:p>
        <w:p w14:paraId="3D69D141" w14:textId="011B722C" w:rsidR="007100CE" w:rsidRDefault="004928B4">
          <w:pPr>
            <w:pStyle w:val="TOC2"/>
            <w:tabs>
              <w:tab w:val="left" w:pos="1320"/>
            </w:tabs>
            <w:rPr>
              <w:rFonts w:asciiTheme="minorHAnsi" w:hAnsiTheme="minorHAnsi" w:cstheme="minorBidi"/>
              <w:color w:val="auto"/>
              <w:sz w:val="22"/>
              <w:szCs w:val="22"/>
              <w:lang w:val="en-US" w:eastAsia="en-US"/>
            </w:rPr>
          </w:pPr>
          <w:hyperlink w:anchor="_Toc121233810" w:history="1">
            <w:r w:rsidR="007100CE" w:rsidRPr="005E6140">
              <w:rPr>
                <w:rStyle w:val="Hyperlink"/>
              </w:rPr>
              <w:t>6.2.</w:t>
            </w:r>
            <w:r w:rsidR="007100CE">
              <w:rPr>
                <w:rFonts w:asciiTheme="minorHAnsi" w:hAnsiTheme="minorHAnsi" w:cstheme="minorBidi"/>
                <w:color w:val="auto"/>
                <w:sz w:val="22"/>
                <w:szCs w:val="22"/>
                <w:lang w:val="en-US" w:eastAsia="en-US"/>
              </w:rPr>
              <w:tab/>
            </w:r>
            <w:r w:rsidR="007100CE" w:rsidRPr="005E6140">
              <w:rPr>
                <w:rStyle w:val="Hyperlink"/>
              </w:rPr>
              <w:t>Improving Active Travel Infrastructure</w:t>
            </w:r>
            <w:r w:rsidR="007100CE">
              <w:rPr>
                <w:webHidden/>
              </w:rPr>
              <w:tab/>
            </w:r>
            <w:r w:rsidR="007100CE">
              <w:rPr>
                <w:webHidden/>
              </w:rPr>
              <w:fldChar w:fldCharType="begin"/>
            </w:r>
            <w:r w:rsidR="007100CE">
              <w:rPr>
                <w:webHidden/>
              </w:rPr>
              <w:instrText xml:space="preserve"> PAGEREF _Toc121233810 \h </w:instrText>
            </w:r>
            <w:r w:rsidR="007100CE">
              <w:rPr>
                <w:webHidden/>
              </w:rPr>
            </w:r>
            <w:r w:rsidR="007100CE">
              <w:rPr>
                <w:webHidden/>
              </w:rPr>
              <w:fldChar w:fldCharType="separate"/>
            </w:r>
            <w:r w:rsidR="007F1A40">
              <w:rPr>
                <w:webHidden/>
              </w:rPr>
              <w:t>19</w:t>
            </w:r>
            <w:r w:rsidR="007100CE">
              <w:rPr>
                <w:webHidden/>
              </w:rPr>
              <w:fldChar w:fldCharType="end"/>
            </w:r>
          </w:hyperlink>
        </w:p>
        <w:p w14:paraId="1F8D7B50" w14:textId="7CC88F3F" w:rsidR="007100CE" w:rsidRDefault="004928B4">
          <w:pPr>
            <w:pStyle w:val="TOC2"/>
            <w:tabs>
              <w:tab w:val="left" w:pos="1320"/>
            </w:tabs>
            <w:rPr>
              <w:rFonts w:asciiTheme="minorHAnsi" w:hAnsiTheme="minorHAnsi" w:cstheme="minorBidi"/>
              <w:color w:val="auto"/>
              <w:sz w:val="22"/>
              <w:szCs w:val="22"/>
              <w:lang w:val="en-US" w:eastAsia="en-US"/>
            </w:rPr>
          </w:pPr>
          <w:hyperlink w:anchor="_Toc121233811" w:history="1">
            <w:r w:rsidR="007100CE" w:rsidRPr="005E6140">
              <w:rPr>
                <w:rStyle w:val="Hyperlink"/>
              </w:rPr>
              <w:t>6.3.</w:t>
            </w:r>
            <w:r w:rsidR="007100CE">
              <w:rPr>
                <w:rFonts w:asciiTheme="minorHAnsi" w:hAnsiTheme="minorHAnsi" w:cstheme="minorBidi"/>
                <w:color w:val="auto"/>
                <w:sz w:val="22"/>
                <w:szCs w:val="22"/>
                <w:lang w:val="en-US" w:eastAsia="en-US"/>
              </w:rPr>
              <w:tab/>
            </w:r>
            <w:r w:rsidR="007100CE" w:rsidRPr="005E6140">
              <w:rPr>
                <w:rStyle w:val="Hyperlink"/>
              </w:rPr>
              <w:t>Influencing Travel Choices and Behaviour</w:t>
            </w:r>
            <w:r w:rsidR="007100CE">
              <w:rPr>
                <w:webHidden/>
              </w:rPr>
              <w:tab/>
            </w:r>
            <w:r w:rsidR="007100CE">
              <w:rPr>
                <w:webHidden/>
              </w:rPr>
              <w:fldChar w:fldCharType="begin"/>
            </w:r>
            <w:r w:rsidR="007100CE">
              <w:rPr>
                <w:webHidden/>
              </w:rPr>
              <w:instrText xml:space="preserve"> PAGEREF _Toc121233811 \h </w:instrText>
            </w:r>
            <w:r w:rsidR="007100CE">
              <w:rPr>
                <w:webHidden/>
              </w:rPr>
            </w:r>
            <w:r w:rsidR="007100CE">
              <w:rPr>
                <w:webHidden/>
              </w:rPr>
              <w:fldChar w:fldCharType="separate"/>
            </w:r>
            <w:r w:rsidR="007F1A40">
              <w:rPr>
                <w:webHidden/>
              </w:rPr>
              <w:t>20</w:t>
            </w:r>
            <w:r w:rsidR="007100CE">
              <w:rPr>
                <w:webHidden/>
              </w:rPr>
              <w:fldChar w:fldCharType="end"/>
            </w:r>
          </w:hyperlink>
        </w:p>
        <w:p w14:paraId="11C07798" w14:textId="0129FDAD" w:rsidR="007100CE" w:rsidRDefault="004928B4">
          <w:pPr>
            <w:pStyle w:val="TOC2"/>
            <w:tabs>
              <w:tab w:val="left" w:pos="1320"/>
            </w:tabs>
            <w:rPr>
              <w:rFonts w:asciiTheme="minorHAnsi" w:hAnsiTheme="minorHAnsi" w:cstheme="minorBidi"/>
              <w:color w:val="auto"/>
              <w:sz w:val="22"/>
              <w:szCs w:val="22"/>
              <w:lang w:val="en-US" w:eastAsia="en-US"/>
            </w:rPr>
          </w:pPr>
          <w:hyperlink w:anchor="_Toc121233812" w:history="1">
            <w:r w:rsidR="007100CE" w:rsidRPr="005E6140">
              <w:rPr>
                <w:rStyle w:val="Hyperlink"/>
              </w:rPr>
              <w:t>6.4.</w:t>
            </w:r>
            <w:r w:rsidR="007100CE">
              <w:rPr>
                <w:rFonts w:asciiTheme="minorHAnsi" w:hAnsiTheme="minorHAnsi" w:cstheme="minorBidi"/>
                <w:color w:val="auto"/>
                <w:sz w:val="22"/>
                <w:szCs w:val="22"/>
                <w:lang w:val="en-US" w:eastAsia="en-US"/>
              </w:rPr>
              <w:tab/>
            </w:r>
            <w:r w:rsidR="007100CE" w:rsidRPr="005E6140">
              <w:rPr>
                <w:rStyle w:val="Hyperlink"/>
              </w:rPr>
              <w:t>Enhancing Access to Affordable Public Transport</w:t>
            </w:r>
            <w:r w:rsidR="007100CE">
              <w:rPr>
                <w:webHidden/>
              </w:rPr>
              <w:tab/>
            </w:r>
            <w:r w:rsidR="007100CE">
              <w:rPr>
                <w:webHidden/>
              </w:rPr>
              <w:fldChar w:fldCharType="begin"/>
            </w:r>
            <w:r w:rsidR="007100CE">
              <w:rPr>
                <w:webHidden/>
              </w:rPr>
              <w:instrText xml:space="preserve"> PAGEREF _Toc121233812 \h </w:instrText>
            </w:r>
            <w:r w:rsidR="007100CE">
              <w:rPr>
                <w:webHidden/>
              </w:rPr>
            </w:r>
            <w:r w:rsidR="007100CE">
              <w:rPr>
                <w:webHidden/>
              </w:rPr>
              <w:fldChar w:fldCharType="separate"/>
            </w:r>
            <w:r w:rsidR="007F1A40">
              <w:rPr>
                <w:webHidden/>
              </w:rPr>
              <w:t>22</w:t>
            </w:r>
            <w:r w:rsidR="007100CE">
              <w:rPr>
                <w:webHidden/>
              </w:rPr>
              <w:fldChar w:fldCharType="end"/>
            </w:r>
          </w:hyperlink>
        </w:p>
        <w:p w14:paraId="1FB8B94B" w14:textId="61799D20" w:rsidR="007100CE" w:rsidRDefault="004928B4">
          <w:pPr>
            <w:pStyle w:val="TOC2"/>
            <w:tabs>
              <w:tab w:val="left" w:pos="1320"/>
            </w:tabs>
            <w:rPr>
              <w:rFonts w:asciiTheme="minorHAnsi" w:hAnsiTheme="minorHAnsi" w:cstheme="minorBidi"/>
              <w:color w:val="auto"/>
              <w:sz w:val="22"/>
              <w:szCs w:val="22"/>
              <w:lang w:val="en-US" w:eastAsia="en-US"/>
            </w:rPr>
          </w:pPr>
          <w:hyperlink w:anchor="_Toc121233813" w:history="1">
            <w:r w:rsidR="007100CE" w:rsidRPr="005E6140">
              <w:rPr>
                <w:rStyle w:val="Hyperlink"/>
              </w:rPr>
              <w:t>6.5.</w:t>
            </w:r>
            <w:r w:rsidR="007100CE">
              <w:rPr>
                <w:rFonts w:asciiTheme="minorHAnsi" w:hAnsiTheme="minorHAnsi" w:cstheme="minorBidi"/>
                <w:color w:val="auto"/>
                <w:sz w:val="22"/>
                <w:szCs w:val="22"/>
                <w:lang w:val="en-US" w:eastAsia="en-US"/>
              </w:rPr>
              <w:tab/>
            </w:r>
            <w:r w:rsidR="007100CE" w:rsidRPr="005E6140">
              <w:rPr>
                <w:rStyle w:val="Hyperlink"/>
              </w:rPr>
              <w:t>Decarbonising Transport</w:t>
            </w:r>
            <w:r w:rsidR="007100CE">
              <w:rPr>
                <w:webHidden/>
              </w:rPr>
              <w:tab/>
            </w:r>
            <w:r w:rsidR="007100CE">
              <w:rPr>
                <w:webHidden/>
              </w:rPr>
              <w:fldChar w:fldCharType="begin"/>
            </w:r>
            <w:r w:rsidR="007100CE">
              <w:rPr>
                <w:webHidden/>
              </w:rPr>
              <w:instrText xml:space="preserve"> PAGEREF _Toc121233813 \h </w:instrText>
            </w:r>
            <w:r w:rsidR="007100CE">
              <w:rPr>
                <w:webHidden/>
              </w:rPr>
            </w:r>
            <w:r w:rsidR="007100CE">
              <w:rPr>
                <w:webHidden/>
              </w:rPr>
              <w:fldChar w:fldCharType="separate"/>
            </w:r>
            <w:r w:rsidR="007F1A40">
              <w:rPr>
                <w:webHidden/>
              </w:rPr>
              <w:t>24</w:t>
            </w:r>
            <w:r w:rsidR="007100CE">
              <w:rPr>
                <w:webHidden/>
              </w:rPr>
              <w:fldChar w:fldCharType="end"/>
            </w:r>
          </w:hyperlink>
        </w:p>
        <w:p w14:paraId="0CA93922" w14:textId="04BE0DA5" w:rsidR="007100CE" w:rsidRDefault="004928B4">
          <w:pPr>
            <w:pStyle w:val="TOC2"/>
            <w:tabs>
              <w:tab w:val="left" w:pos="1320"/>
            </w:tabs>
            <w:rPr>
              <w:rFonts w:asciiTheme="minorHAnsi" w:hAnsiTheme="minorHAnsi" w:cstheme="minorBidi"/>
              <w:color w:val="auto"/>
              <w:sz w:val="22"/>
              <w:szCs w:val="22"/>
              <w:lang w:val="en-US" w:eastAsia="en-US"/>
            </w:rPr>
          </w:pPr>
          <w:hyperlink w:anchor="_Toc121233814" w:history="1">
            <w:r w:rsidR="007100CE" w:rsidRPr="005E6140">
              <w:rPr>
                <w:rStyle w:val="Hyperlink"/>
              </w:rPr>
              <w:t>6.6.</w:t>
            </w:r>
            <w:r w:rsidR="007100CE">
              <w:rPr>
                <w:rFonts w:asciiTheme="minorHAnsi" w:hAnsiTheme="minorHAnsi" w:cstheme="minorBidi"/>
                <w:color w:val="auto"/>
                <w:sz w:val="22"/>
                <w:szCs w:val="22"/>
                <w:lang w:val="en-US" w:eastAsia="en-US"/>
              </w:rPr>
              <w:tab/>
            </w:r>
            <w:r w:rsidR="007100CE" w:rsidRPr="005E6140">
              <w:rPr>
                <w:rStyle w:val="Hyperlink"/>
              </w:rPr>
              <w:t>Increasing Safety and Resilience on the Strategic Transport Network</w:t>
            </w:r>
            <w:r w:rsidR="007100CE">
              <w:rPr>
                <w:webHidden/>
              </w:rPr>
              <w:tab/>
            </w:r>
            <w:r w:rsidR="007100CE">
              <w:rPr>
                <w:webHidden/>
              </w:rPr>
              <w:fldChar w:fldCharType="begin"/>
            </w:r>
            <w:r w:rsidR="007100CE">
              <w:rPr>
                <w:webHidden/>
              </w:rPr>
              <w:instrText xml:space="preserve"> PAGEREF _Toc121233814 \h </w:instrText>
            </w:r>
            <w:r w:rsidR="007100CE">
              <w:rPr>
                <w:webHidden/>
              </w:rPr>
            </w:r>
            <w:r w:rsidR="007100CE">
              <w:rPr>
                <w:webHidden/>
              </w:rPr>
              <w:fldChar w:fldCharType="separate"/>
            </w:r>
            <w:r w:rsidR="007F1A40">
              <w:rPr>
                <w:webHidden/>
              </w:rPr>
              <w:t>24</w:t>
            </w:r>
            <w:r w:rsidR="007100CE">
              <w:rPr>
                <w:webHidden/>
              </w:rPr>
              <w:fldChar w:fldCharType="end"/>
            </w:r>
          </w:hyperlink>
        </w:p>
        <w:p w14:paraId="53017A62" w14:textId="438093DA" w:rsidR="007100CE" w:rsidRDefault="004928B4">
          <w:pPr>
            <w:pStyle w:val="TOC2"/>
            <w:tabs>
              <w:tab w:val="left" w:pos="1320"/>
            </w:tabs>
            <w:rPr>
              <w:rFonts w:asciiTheme="minorHAnsi" w:hAnsiTheme="minorHAnsi" w:cstheme="minorBidi"/>
              <w:color w:val="auto"/>
              <w:sz w:val="22"/>
              <w:szCs w:val="22"/>
              <w:lang w:val="en-US" w:eastAsia="en-US"/>
            </w:rPr>
          </w:pPr>
          <w:hyperlink w:anchor="_Toc121233815" w:history="1">
            <w:r w:rsidR="007100CE" w:rsidRPr="005E6140">
              <w:rPr>
                <w:rStyle w:val="Hyperlink"/>
              </w:rPr>
              <w:t>6.7.</w:t>
            </w:r>
            <w:r w:rsidR="007100CE">
              <w:rPr>
                <w:rFonts w:asciiTheme="minorHAnsi" w:hAnsiTheme="minorHAnsi" w:cstheme="minorBidi"/>
                <w:color w:val="auto"/>
                <w:sz w:val="22"/>
                <w:szCs w:val="22"/>
                <w:lang w:val="en-US" w:eastAsia="en-US"/>
              </w:rPr>
              <w:tab/>
            </w:r>
            <w:r w:rsidR="007100CE" w:rsidRPr="005E6140">
              <w:rPr>
                <w:rStyle w:val="Hyperlink"/>
              </w:rPr>
              <w:t>Strengthening Strategic Connections</w:t>
            </w:r>
            <w:r w:rsidR="007100CE">
              <w:rPr>
                <w:webHidden/>
              </w:rPr>
              <w:tab/>
            </w:r>
            <w:r w:rsidR="007100CE">
              <w:rPr>
                <w:webHidden/>
              </w:rPr>
              <w:fldChar w:fldCharType="begin"/>
            </w:r>
            <w:r w:rsidR="007100CE">
              <w:rPr>
                <w:webHidden/>
              </w:rPr>
              <w:instrText xml:space="preserve"> PAGEREF _Toc121233815 \h </w:instrText>
            </w:r>
            <w:r w:rsidR="007100CE">
              <w:rPr>
                <w:webHidden/>
              </w:rPr>
            </w:r>
            <w:r w:rsidR="007100CE">
              <w:rPr>
                <w:webHidden/>
              </w:rPr>
              <w:fldChar w:fldCharType="separate"/>
            </w:r>
            <w:r w:rsidR="007F1A40">
              <w:rPr>
                <w:webHidden/>
              </w:rPr>
              <w:t>26</w:t>
            </w:r>
            <w:r w:rsidR="007100CE">
              <w:rPr>
                <w:webHidden/>
              </w:rPr>
              <w:fldChar w:fldCharType="end"/>
            </w:r>
          </w:hyperlink>
        </w:p>
        <w:p w14:paraId="7AC0E1CE" w14:textId="54AAB422" w:rsidR="007100CE" w:rsidRDefault="004928B4">
          <w:pPr>
            <w:pStyle w:val="TOC1"/>
            <w:rPr>
              <w:rFonts w:asciiTheme="minorHAnsi" w:hAnsiTheme="minorHAnsi" w:cstheme="minorBidi"/>
              <w:b w:val="0"/>
              <w:color w:val="auto"/>
              <w:sz w:val="22"/>
              <w:szCs w:val="22"/>
              <w:lang w:val="en-US" w:eastAsia="en-US"/>
            </w:rPr>
          </w:pPr>
          <w:hyperlink w:anchor="_Toc121233816" w:history="1">
            <w:r w:rsidR="007100CE" w:rsidRPr="005E6140">
              <w:rPr>
                <w:rStyle w:val="Hyperlink"/>
              </w:rPr>
              <w:t>7.</w:t>
            </w:r>
            <w:r w:rsidR="007100CE">
              <w:rPr>
                <w:rFonts w:asciiTheme="minorHAnsi" w:hAnsiTheme="minorHAnsi" w:cstheme="minorBidi"/>
                <w:b w:val="0"/>
                <w:color w:val="auto"/>
                <w:sz w:val="22"/>
                <w:szCs w:val="22"/>
                <w:lang w:val="en-US" w:eastAsia="en-US"/>
              </w:rPr>
              <w:tab/>
            </w:r>
            <w:r w:rsidR="007100CE" w:rsidRPr="005E6140">
              <w:rPr>
                <w:rStyle w:val="Hyperlink"/>
              </w:rPr>
              <w:t>Next Steps</w:t>
            </w:r>
            <w:r w:rsidR="007100CE">
              <w:rPr>
                <w:webHidden/>
              </w:rPr>
              <w:tab/>
            </w:r>
            <w:r w:rsidR="007100CE">
              <w:rPr>
                <w:webHidden/>
              </w:rPr>
              <w:fldChar w:fldCharType="begin"/>
            </w:r>
            <w:r w:rsidR="007100CE">
              <w:rPr>
                <w:webHidden/>
              </w:rPr>
              <w:instrText xml:space="preserve"> PAGEREF _Toc121233816 \h </w:instrText>
            </w:r>
            <w:r w:rsidR="007100CE">
              <w:rPr>
                <w:webHidden/>
              </w:rPr>
            </w:r>
            <w:r w:rsidR="007100CE">
              <w:rPr>
                <w:webHidden/>
              </w:rPr>
              <w:fldChar w:fldCharType="separate"/>
            </w:r>
            <w:r w:rsidR="007F1A40">
              <w:rPr>
                <w:webHidden/>
              </w:rPr>
              <w:t>28</w:t>
            </w:r>
            <w:r w:rsidR="007100CE">
              <w:rPr>
                <w:webHidden/>
              </w:rPr>
              <w:fldChar w:fldCharType="end"/>
            </w:r>
          </w:hyperlink>
        </w:p>
        <w:p w14:paraId="54A3A4BB" w14:textId="671FEB17" w:rsidR="007100CE" w:rsidRDefault="004928B4">
          <w:pPr>
            <w:pStyle w:val="TOC2"/>
            <w:tabs>
              <w:tab w:val="left" w:pos="1320"/>
            </w:tabs>
            <w:rPr>
              <w:rFonts w:asciiTheme="minorHAnsi" w:hAnsiTheme="minorHAnsi" w:cstheme="minorBidi"/>
              <w:color w:val="auto"/>
              <w:sz w:val="22"/>
              <w:szCs w:val="22"/>
              <w:lang w:val="en-US" w:eastAsia="en-US"/>
            </w:rPr>
          </w:pPr>
          <w:hyperlink w:anchor="_Toc121233817" w:history="1">
            <w:r w:rsidR="007100CE" w:rsidRPr="005E6140">
              <w:rPr>
                <w:rStyle w:val="Hyperlink"/>
              </w:rPr>
              <w:t>7.1.</w:t>
            </w:r>
            <w:r w:rsidR="007100CE">
              <w:rPr>
                <w:rFonts w:asciiTheme="minorHAnsi" w:hAnsiTheme="minorHAnsi" w:cstheme="minorBidi"/>
                <w:color w:val="auto"/>
                <w:sz w:val="22"/>
                <w:szCs w:val="22"/>
                <w:lang w:val="en-US" w:eastAsia="en-US"/>
              </w:rPr>
              <w:tab/>
            </w:r>
            <w:r w:rsidR="007100CE" w:rsidRPr="005E6140">
              <w:rPr>
                <w:rStyle w:val="Hyperlink"/>
              </w:rPr>
              <w:t>Recommendations for enhancing equality of opportunity</w:t>
            </w:r>
            <w:r w:rsidR="007100CE">
              <w:rPr>
                <w:webHidden/>
              </w:rPr>
              <w:tab/>
            </w:r>
            <w:r w:rsidR="007100CE">
              <w:rPr>
                <w:webHidden/>
              </w:rPr>
              <w:fldChar w:fldCharType="begin"/>
            </w:r>
            <w:r w:rsidR="007100CE">
              <w:rPr>
                <w:webHidden/>
              </w:rPr>
              <w:instrText xml:space="preserve"> PAGEREF _Toc121233817 \h </w:instrText>
            </w:r>
            <w:r w:rsidR="007100CE">
              <w:rPr>
                <w:webHidden/>
              </w:rPr>
            </w:r>
            <w:r w:rsidR="007100CE">
              <w:rPr>
                <w:webHidden/>
              </w:rPr>
              <w:fldChar w:fldCharType="separate"/>
            </w:r>
            <w:r w:rsidR="007F1A40">
              <w:rPr>
                <w:webHidden/>
              </w:rPr>
              <w:t>28</w:t>
            </w:r>
            <w:r w:rsidR="007100CE">
              <w:rPr>
                <w:webHidden/>
              </w:rPr>
              <w:fldChar w:fldCharType="end"/>
            </w:r>
          </w:hyperlink>
        </w:p>
        <w:p w14:paraId="24F36E61" w14:textId="3E906CE1" w:rsidR="007100CE" w:rsidRDefault="004928B4">
          <w:pPr>
            <w:pStyle w:val="TOC2"/>
            <w:tabs>
              <w:tab w:val="left" w:pos="1320"/>
            </w:tabs>
            <w:rPr>
              <w:rFonts w:asciiTheme="minorHAnsi" w:hAnsiTheme="minorHAnsi" w:cstheme="minorBidi"/>
              <w:color w:val="auto"/>
              <w:sz w:val="22"/>
              <w:szCs w:val="22"/>
              <w:lang w:val="en-US" w:eastAsia="en-US"/>
            </w:rPr>
          </w:pPr>
          <w:hyperlink w:anchor="_Toc121233818" w:history="1">
            <w:r w:rsidR="007100CE" w:rsidRPr="005E6140">
              <w:rPr>
                <w:rStyle w:val="Hyperlink"/>
              </w:rPr>
              <w:t>7.2.</w:t>
            </w:r>
            <w:r w:rsidR="007100CE">
              <w:rPr>
                <w:rFonts w:asciiTheme="minorHAnsi" w:hAnsiTheme="minorHAnsi" w:cstheme="minorBidi"/>
                <w:color w:val="auto"/>
                <w:sz w:val="22"/>
                <w:szCs w:val="22"/>
                <w:lang w:val="en-US" w:eastAsia="en-US"/>
              </w:rPr>
              <w:tab/>
            </w:r>
            <w:r w:rsidR="007100CE" w:rsidRPr="005E6140">
              <w:rPr>
                <w:rStyle w:val="Hyperlink"/>
              </w:rPr>
              <w:t>Monitoring</w:t>
            </w:r>
            <w:r w:rsidR="007100CE">
              <w:rPr>
                <w:webHidden/>
              </w:rPr>
              <w:tab/>
            </w:r>
            <w:r w:rsidR="007100CE">
              <w:rPr>
                <w:webHidden/>
              </w:rPr>
              <w:fldChar w:fldCharType="begin"/>
            </w:r>
            <w:r w:rsidR="007100CE">
              <w:rPr>
                <w:webHidden/>
              </w:rPr>
              <w:instrText xml:space="preserve"> PAGEREF _Toc121233818 \h </w:instrText>
            </w:r>
            <w:r w:rsidR="007100CE">
              <w:rPr>
                <w:webHidden/>
              </w:rPr>
            </w:r>
            <w:r w:rsidR="007100CE">
              <w:rPr>
                <w:webHidden/>
              </w:rPr>
              <w:fldChar w:fldCharType="separate"/>
            </w:r>
            <w:r w:rsidR="007F1A40">
              <w:rPr>
                <w:webHidden/>
              </w:rPr>
              <w:t>29</w:t>
            </w:r>
            <w:r w:rsidR="007100CE">
              <w:rPr>
                <w:webHidden/>
              </w:rPr>
              <w:fldChar w:fldCharType="end"/>
            </w:r>
          </w:hyperlink>
        </w:p>
        <w:p w14:paraId="29DE4DEA" w14:textId="38DF6AFD" w:rsidR="007100CE" w:rsidRDefault="004928B4">
          <w:pPr>
            <w:pStyle w:val="TOC1"/>
            <w:rPr>
              <w:rFonts w:asciiTheme="minorHAnsi" w:hAnsiTheme="minorHAnsi" w:cstheme="minorBidi"/>
              <w:b w:val="0"/>
              <w:color w:val="auto"/>
              <w:sz w:val="22"/>
              <w:szCs w:val="22"/>
              <w:lang w:val="en-US" w:eastAsia="en-US"/>
            </w:rPr>
          </w:pPr>
          <w:hyperlink w:anchor="_Toc121233819" w:history="1">
            <w:r w:rsidR="007100CE" w:rsidRPr="005E6140">
              <w:rPr>
                <w:rStyle w:val="Hyperlink"/>
              </w:rPr>
              <w:t>References</w:t>
            </w:r>
            <w:r w:rsidR="007100CE">
              <w:rPr>
                <w:webHidden/>
              </w:rPr>
              <w:tab/>
            </w:r>
            <w:r w:rsidR="007100CE">
              <w:rPr>
                <w:webHidden/>
              </w:rPr>
              <w:fldChar w:fldCharType="begin"/>
            </w:r>
            <w:r w:rsidR="007100CE">
              <w:rPr>
                <w:webHidden/>
              </w:rPr>
              <w:instrText xml:space="preserve"> PAGEREF _Toc121233819 \h </w:instrText>
            </w:r>
            <w:r w:rsidR="007100CE">
              <w:rPr>
                <w:webHidden/>
              </w:rPr>
            </w:r>
            <w:r w:rsidR="007100CE">
              <w:rPr>
                <w:webHidden/>
              </w:rPr>
              <w:fldChar w:fldCharType="separate"/>
            </w:r>
            <w:r w:rsidR="007F1A40">
              <w:rPr>
                <w:webHidden/>
              </w:rPr>
              <w:t>30</w:t>
            </w:r>
            <w:r w:rsidR="007100CE">
              <w:rPr>
                <w:webHidden/>
              </w:rPr>
              <w:fldChar w:fldCharType="end"/>
            </w:r>
          </w:hyperlink>
        </w:p>
        <w:p w14:paraId="52BCE258" w14:textId="505FD935" w:rsidR="00CF520A" w:rsidRPr="00D839CB" w:rsidRDefault="007100CE">
          <w:pPr>
            <w:rPr>
              <w:rFonts w:ascii="Arial" w:hAnsi="Arial" w:cs="Arial"/>
              <w:sz w:val="24"/>
              <w:szCs w:val="24"/>
            </w:rPr>
          </w:pPr>
          <w:r>
            <w:rPr>
              <w:rFonts w:ascii="Arial" w:hAnsi="Arial" w:cs="Arial"/>
              <w:noProof/>
              <w:color w:val="626266"/>
              <w:sz w:val="24"/>
              <w:szCs w:val="24"/>
            </w:rPr>
            <w:fldChar w:fldCharType="end"/>
          </w:r>
        </w:p>
      </w:sdtContent>
    </w:sdt>
    <w:p w14:paraId="5E2A04DD" w14:textId="77777777" w:rsidR="00433F21" w:rsidRPr="00E645D5" w:rsidRDefault="00433F21" w:rsidP="00433F21">
      <w:pPr>
        <w:pStyle w:val="STPR2AppendicesHeading2"/>
        <w:keepLines/>
        <w:rPr>
          <w:lang w:val="en-GB"/>
        </w:rPr>
      </w:pPr>
      <w:bookmarkStart w:id="1" w:name="_Hlk121217653"/>
      <w:r w:rsidRPr="00E645D5">
        <w:rPr>
          <w:lang w:val="en-GB"/>
        </w:rPr>
        <w:t>Appendices</w:t>
      </w:r>
    </w:p>
    <w:p w14:paraId="0D096DA0" w14:textId="77777777" w:rsidR="00433F21" w:rsidRDefault="00433F21" w:rsidP="00433F21">
      <w:pPr>
        <w:pStyle w:val="STPR2BodyText"/>
      </w:pPr>
      <w:r>
        <w:t>A</w:t>
      </w:r>
      <w:r>
        <w:tab/>
        <w:t>Glossary</w:t>
      </w:r>
    </w:p>
    <w:p w14:paraId="3DBF56B6" w14:textId="77777777" w:rsidR="00433F21" w:rsidRDefault="00433F21" w:rsidP="00433F21">
      <w:pPr>
        <w:pStyle w:val="STPR2BodyText"/>
      </w:pPr>
      <w:r>
        <w:t>B</w:t>
      </w:r>
      <w:r>
        <w:tab/>
      </w:r>
      <w:r w:rsidRPr="00F110EE">
        <w:t>Equality Topics, Objectives and Guidance Questions</w:t>
      </w:r>
    </w:p>
    <w:p w14:paraId="706E57CF" w14:textId="77777777" w:rsidR="00433F21" w:rsidRDefault="00433F21" w:rsidP="00433F21">
      <w:pPr>
        <w:pStyle w:val="STPR2AppendicesHeading2"/>
        <w:spacing w:before="240"/>
        <w:rPr>
          <w:rFonts w:eastAsiaTheme="majorEastAsia"/>
        </w:rPr>
      </w:pPr>
      <w:r>
        <w:rPr>
          <w:rFonts w:eastAsiaTheme="majorEastAsia"/>
        </w:rPr>
        <w:t>Tables</w:t>
      </w:r>
    </w:p>
    <w:p w14:paraId="3236AF08" w14:textId="332A7494" w:rsidR="007100CE" w:rsidRDefault="00433F21" w:rsidP="007100CE">
      <w:pPr>
        <w:pStyle w:val="TableofFigures"/>
        <w:rPr>
          <w:rFonts w:asciiTheme="minorHAnsi" w:hAnsiTheme="minorHAnsi"/>
          <w:color w:val="auto"/>
          <w:sz w:val="22"/>
          <w:lang w:val="en-US" w:eastAsia="en-US"/>
        </w:rPr>
      </w:pPr>
      <w:r>
        <w:rPr>
          <w:rFonts w:eastAsiaTheme="majorEastAsia"/>
        </w:rPr>
        <w:fldChar w:fldCharType="begin"/>
      </w:r>
      <w:r>
        <w:rPr>
          <w:rFonts w:eastAsiaTheme="majorEastAsia"/>
        </w:rPr>
        <w:instrText xml:space="preserve"> TOC \h \z \c "Table" </w:instrText>
      </w:r>
      <w:r>
        <w:rPr>
          <w:rFonts w:eastAsiaTheme="majorEastAsia"/>
        </w:rPr>
        <w:fldChar w:fldCharType="separate"/>
      </w:r>
      <w:hyperlink w:anchor="_Toc121233684" w:history="1">
        <w:r w:rsidR="007100CE" w:rsidRPr="000F2EBB">
          <w:rPr>
            <w:rStyle w:val="Hyperlink"/>
          </w:rPr>
          <w:t>Table 1 – EqIA Stages of Assessment</w:t>
        </w:r>
        <w:r w:rsidR="007100CE">
          <w:rPr>
            <w:webHidden/>
          </w:rPr>
          <w:tab/>
        </w:r>
        <w:r w:rsidR="007100CE">
          <w:rPr>
            <w:webHidden/>
          </w:rPr>
          <w:fldChar w:fldCharType="begin"/>
        </w:r>
        <w:r w:rsidR="007100CE">
          <w:rPr>
            <w:webHidden/>
          </w:rPr>
          <w:instrText xml:space="preserve"> PAGEREF _Toc121233684 \h </w:instrText>
        </w:r>
        <w:r w:rsidR="007100CE">
          <w:rPr>
            <w:webHidden/>
          </w:rPr>
        </w:r>
        <w:r w:rsidR="007100CE">
          <w:rPr>
            <w:webHidden/>
          </w:rPr>
          <w:fldChar w:fldCharType="separate"/>
        </w:r>
        <w:r w:rsidR="007F1A40">
          <w:rPr>
            <w:webHidden/>
          </w:rPr>
          <w:t>16</w:t>
        </w:r>
        <w:r w:rsidR="007100CE">
          <w:rPr>
            <w:webHidden/>
          </w:rPr>
          <w:fldChar w:fldCharType="end"/>
        </w:r>
      </w:hyperlink>
    </w:p>
    <w:p w14:paraId="76E5A13E" w14:textId="3A5F254A" w:rsidR="007100CE" w:rsidRDefault="004928B4" w:rsidP="007100CE">
      <w:pPr>
        <w:pStyle w:val="TableofFigures"/>
        <w:rPr>
          <w:rFonts w:asciiTheme="minorHAnsi" w:hAnsiTheme="minorHAnsi"/>
          <w:color w:val="auto"/>
          <w:sz w:val="22"/>
          <w:lang w:val="en-US" w:eastAsia="en-US"/>
        </w:rPr>
      </w:pPr>
      <w:hyperlink w:anchor="_Toc121233685" w:history="1">
        <w:r w:rsidR="007100CE" w:rsidRPr="000F2EBB">
          <w:rPr>
            <w:rStyle w:val="Hyperlink"/>
          </w:rPr>
          <w:t>Table 2 – EqIA Scoring System for Detailed Appraisal of Options</w:t>
        </w:r>
        <w:r w:rsidR="007100CE">
          <w:rPr>
            <w:webHidden/>
          </w:rPr>
          <w:tab/>
        </w:r>
        <w:r w:rsidR="007100CE">
          <w:rPr>
            <w:webHidden/>
          </w:rPr>
          <w:fldChar w:fldCharType="begin"/>
        </w:r>
        <w:r w:rsidR="007100CE">
          <w:rPr>
            <w:webHidden/>
          </w:rPr>
          <w:instrText xml:space="preserve"> PAGEREF _Toc121233685 \h </w:instrText>
        </w:r>
        <w:r w:rsidR="007100CE">
          <w:rPr>
            <w:webHidden/>
          </w:rPr>
        </w:r>
        <w:r w:rsidR="007100CE">
          <w:rPr>
            <w:webHidden/>
          </w:rPr>
          <w:fldChar w:fldCharType="separate"/>
        </w:r>
        <w:r w:rsidR="007F1A40">
          <w:rPr>
            <w:webHidden/>
          </w:rPr>
          <w:t>18</w:t>
        </w:r>
        <w:r w:rsidR="007100CE">
          <w:rPr>
            <w:webHidden/>
          </w:rPr>
          <w:fldChar w:fldCharType="end"/>
        </w:r>
      </w:hyperlink>
    </w:p>
    <w:p w14:paraId="614D6E7E" w14:textId="0D297931" w:rsidR="00433F21" w:rsidRDefault="00433F21" w:rsidP="00433F21">
      <w:pPr>
        <w:pStyle w:val="STPR2AppendicesHeading2"/>
        <w:spacing w:before="240"/>
        <w:rPr>
          <w:rFonts w:eastAsiaTheme="majorEastAsia"/>
        </w:rPr>
      </w:pPr>
      <w:r>
        <w:rPr>
          <w:rFonts w:eastAsiaTheme="majorEastAsia"/>
        </w:rPr>
        <w:fldChar w:fldCharType="end"/>
      </w:r>
      <w:r>
        <w:rPr>
          <w:rFonts w:eastAsiaTheme="majorEastAsia"/>
        </w:rPr>
        <w:t>Figures</w:t>
      </w:r>
    </w:p>
    <w:bookmarkEnd w:id="1"/>
    <w:p w14:paraId="6451EE99" w14:textId="3006B64B" w:rsidR="007100CE" w:rsidRDefault="007100CE">
      <w:pPr>
        <w:pStyle w:val="TableofFigures"/>
        <w:rPr>
          <w:rFonts w:asciiTheme="minorHAnsi" w:hAnsiTheme="minorHAnsi"/>
          <w:color w:val="auto"/>
          <w:sz w:val="22"/>
          <w:lang w:val="en-US" w:eastAsia="en-US"/>
        </w:rPr>
      </w:pPr>
      <w:r>
        <w:rPr>
          <w:sz w:val="22"/>
        </w:rPr>
        <w:fldChar w:fldCharType="begin"/>
      </w:r>
      <w:r>
        <w:rPr>
          <w:sz w:val="22"/>
        </w:rPr>
        <w:instrText xml:space="preserve"> TOC \h \z \c "Figure" </w:instrText>
      </w:r>
      <w:r>
        <w:rPr>
          <w:sz w:val="22"/>
        </w:rPr>
        <w:fldChar w:fldCharType="separate"/>
      </w:r>
      <w:hyperlink w:anchor="_Toc121233720" w:history="1">
        <w:r w:rsidRPr="007940E9">
          <w:rPr>
            <w:rStyle w:val="Hyperlink"/>
          </w:rPr>
          <w:t xml:space="preserve">Figure 1 </w:t>
        </w:r>
        <w:r w:rsidRPr="007940E9">
          <w:rPr>
            <w:rStyle w:val="Hyperlink"/>
            <w:i/>
          </w:rPr>
          <w:t>–</w:t>
        </w:r>
        <w:r w:rsidRPr="007940E9">
          <w:rPr>
            <w:rStyle w:val="Hyperlink"/>
          </w:rPr>
          <w:t xml:space="preserve"> Relationship Between Impact Assessments, SEA and STAG</w:t>
        </w:r>
        <w:r>
          <w:rPr>
            <w:webHidden/>
          </w:rPr>
          <w:tab/>
        </w:r>
        <w:r>
          <w:rPr>
            <w:webHidden/>
          </w:rPr>
          <w:fldChar w:fldCharType="begin"/>
        </w:r>
        <w:r>
          <w:rPr>
            <w:webHidden/>
          </w:rPr>
          <w:instrText xml:space="preserve"> PAGEREF _Toc121233720 \h </w:instrText>
        </w:r>
        <w:r>
          <w:rPr>
            <w:webHidden/>
          </w:rPr>
        </w:r>
        <w:r>
          <w:rPr>
            <w:webHidden/>
          </w:rPr>
          <w:fldChar w:fldCharType="separate"/>
        </w:r>
        <w:r w:rsidR="007F1A40">
          <w:rPr>
            <w:webHidden/>
          </w:rPr>
          <w:t>4</w:t>
        </w:r>
        <w:r>
          <w:rPr>
            <w:webHidden/>
          </w:rPr>
          <w:fldChar w:fldCharType="end"/>
        </w:r>
      </w:hyperlink>
    </w:p>
    <w:p w14:paraId="4A25F83C" w14:textId="363B5BC5" w:rsidR="00433F21" w:rsidRDefault="007100CE" w:rsidP="00433F21">
      <w:pPr>
        <w:pStyle w:val="Para0"/>
        <w:sectPr w:rsidR="00433F21" w:rsidSect="00F110EE">
          <w:headerReference w:type="even" r:id="rId13"/>
          <w:headerReference w:type="default" r:id="rId14"/>
          <w:footerReference w:type="default" r:id="rId15"/>
          <w:headerReference w:type="first" r:id="rId16"/>
          <w:pgSz w:w="11906" w:h="16838" w:code="9"/>
          <w:pgMar w:top="1699" w:right="1138" w:bottom="1138" w:left="1138" w:header="454" w:footer="567" w:gutter="0"/>
          <w:pgNumType w:fmt="lowerRoman" w:start="1"/>
          <w:cols w:space="720"/>
          <w:noEndnote/>
          <w:docGrid w:linePitch="299"/>
        </w:sectPr>
      </w:pPr>
      <w:r>
        <w:rPr>
          <w:noProof/>
          <w:sz w:val="22"/>
        </w:rPr>
        <w:fldChar w:fldCharType="end"/>
      </w:r>
    </w:p>
    <w:p w14:paraId="60BCF237" w14:textId="5A6840FA" w:rsidR="000C6958" w:rsidRDefault="000C6958" w:rsidP="00731A9E">
      <w:pPr>
        <w:pStyle w:val="Heading1"/>
      </w:pPr>
      <w:bookmarkStart w:id="2" w:name="_Toc81993565"/>
      <w:bookmarkStart w:id="3" w:name="_Toc121233781"/>
      <w:r w:rsidRPr="004E21C4">
        <w:lastRenderedPageBreak/>
        <w:t>Introduction</w:t>
      </w:r>
      <w:bookmarkEnd w:id="2"/>
      <w:bookmarkEnd w:id="3"/>
    </w:p>
    <w:p w14:paraId="4BA52243" w14:textId="3D22D1C7" w:rsidR="000C6958" w:rsidRPr="00D040E3" w:rsidRDefault="00646395" w:rsidP="00D040E3">
      <w:pPr>
        <w:pStyle w:val="Heading2"/>
      </w:pPr>
      <w:bookmarkStart w:id="4" w:name="_Toc121233782"/>
      <w:r w:rsidRPr="00D040E3">
        <w:t>Back</w:t>
      </w:r>
      <w:r w:rsidR="006534FD" w:rsidRPr="00D040E3">
        <w:t>ground</w:t>
      </w:r>
      <w:bookmarkEnd w:id="4"/>
    </w:p>
    <w:p w14:paraId="338BD32A" w14:textId="4E1E5E46" w:rsidR="00CF7B30" w:rsidRPr="00433F21" w:rsidRDefault="000C6958" w:rsidP="00433F21">
      <w:pPr>
        <w:pStyle w:val="STPR2BodyText"/>
      </w:pPr>
      <w:r w:rsidRPr="00433F21">
        <w:t xml:space="preserve">In </w:t>
      </w:r>
      <w:r w:rsidR="00B64BAF" w:rsidRPr="00433F21">
        <w:t xml:space="preserve">early 2019, Transport Scotland commenced the second </w:t>
      </w:r>
      <w:r w:rsidRPr="00433F21">
        <w:t>Strategic Transport Projects Review (</w:t>
      </w:r>
      <w:r w:rsidR="00B64BAF" w:rsidRPr="00433F21">
        <w:t xml:space="preserve">STPR2) to help inform </w:t>
      </w:r>
      <w:r w:rsidRPr="00433F21">
        <w:t xml:space="preserve">transport investment </w:t>
      </w:r>
      <w:r w:rsidR="00B64BAF" w:rsidRPr="00433F21">
        <w:t xml:space="preserve">in Scotland for the next 20 years. </w:t>
      </w:r>
      <w:r w:rsidRPr="00433F21">
        <w:t xml:space="preserve">STPR2 </w:t>
      </w:r>
      <w:r w:rsidR="00B64BAF" w:rsidRPr="00433F21">
        <w:t>will help to deliver</w:t>
      </w:r>
      <w:r w:rsidR="00A84CD0" w:rsidRPr="00433F21">
        <w:t xml:space="preserve"> t</w:t>
      </w:r>
      <w:r w:rsidR="0094783E" w:rsidRPr="00433F21">
        <w:t>he</w:t>
      </w:r>
      <w:r w:rsidRPr="00433F21">
        <w:t xml:space="preserve"> vision, priorities and </w:t>
      </w:r>
      <w:r w:rsidR="00B64BAF" w:rsidRPr="00433F21">
        <w:t>outcomes for transport set out in</w:t>
      </w:r>
      <w:r w:rsidR="003E6B85" w:rsidRPr="00433F21">
        <w:t xml:space="preserve"> the </w:t>
      </w:r>
      <w:hyperlink r:id="rId17" w:history="1">
        <w:r w:rsidR="003E6B85" w:rsidRPr="00433F21">
          <w:rPr>
            <w:rStyle w:val="Hyperlink"/>
            <w:sz w:val="24"/>
          </w:rPr>
          <w:t>National Transport Strategy (</w:t>
        </w:r>
        <w:r w:rsidRPr="00433F21">
          <w:rPr>
            <w:rStyle w:val="Hyperlink"/>
            <w:sz w:val="24"/>
          </w:rPr>
          <w:t>NTS2</w:t>
        </w:r>
        <w:r w:rsidR="003E6B85" w:rsidRPr="00433F21">
          <w:rPr>
            <w:rStyle w:val="Hyperlink"/>
            <w:sz w:val="24"/>
          </w:rPr>
          <w:t>)</w:t>
        </w:r>
      </w:hyperlink>
      <w:r w:rsidR="00B64BAF" w:rsidRPr="00433F21">
        <w:t>, aligning</w:t>
      </w:r>
      <w:r w:rsidRPr="00433F21">
        <w:t xml:space="preserve"> with other national plans</w:t>
      </w:r>
      <w:r w:rsidR="00B64BAF" w:rsidRPr="00433F21">
        <w:t xml:space="preserve"> such as the </w:t>
      </w:r>
      <w:hyperlink r:id="rId18" w:history="1">
        <w:r w:rsidR="00B64BAF" w:rsidRPr="00433F21">
          <w:rPr>
            <w:rStyle w:val="Hyperlink"/>
            <w:sz w:val="24"/>
          </w:rPr>
          <w:t>Climate Change Plan</w:t>
        </w:r>
      </w:hyperlink>
      <w:r w:rsidR="00B64BAF" w:rsidRPr="00433F21">
        <w:t xml:space="preserve">, the </w:t>
      </w:r>
      <w:hyperlink r:id="rId19" w:history="1">
        <w:r w:rsidR="00B64BAF" w:rsidRPr="00433F21">
          <w:rPr>
            <w:rStyle w:val="Hyperlink"/>
            <w:sz w:val="24"/>
          </w:rPr>
          <w:t xml:space="preserve">second Cleaner Air </w:t>
        </w:r>
        <w:r w:rsidR="00EB0EF3" w:rsidRPr="00433F21">
          <w:rPr>
            <w:rStyle w:val="Hyperlink"/>
            <w:sz w:val="24"/>
          </w:rPr>
          <w:t>for</w:t>
        </w:r>
        <w:r w:rsidR="00B64BAF" w:rsidRPr="00433F21">
          <w:rPr>
            <w:rStyle w:val="Hyperlink"/>
            <w:sz w:val="24"/>
          </w:rPr>
          <w:t xml:space="preserve"> Scotland strategy</w:t>
        </w:r>
      </w:hyperlink>
      <w:r w:rsidR="00B64BAF" w:rsidRPr="00433F21">
        <w:t xml:space="preserve"> and </w:t>
      </w:r>
      <w:r w:rsidRPr="00433F21">
        <w:t xml:space="preserve">the </w:t>
      </w:r>
      <w:hyperlink r:id="rId20" w:history="1">
        <w:r w:rsidRPr="00433F21">
          <w:rPr>
            <w:rStyle w:val="Hyperlink"/>
            <w:sz w:val="24"/>
          </w:rPr>
          <w:t>National Planning Framework (NPF4</w:t>
        </w:r>
        <w:r w:rsidR="00B64BAF" w:rsidRPr="00433F21">
          <w:rPr>
            <w:rStyle w:val="Hyperlink"/>
            <w:sz w:val="24"/>
          </w:rPr>
          <w:t>)</w:t>
        </w:r>
      </w:hyperlink>
      <w:r w:rsidR="00B64BAF" w:rsidRPr="00433F21">
        <w:t>.</w:t>
      </w:r>
    </w:p>
    <w:p w14:paraId="3324E133" w14:textId="34A1D4D7" w:rsidR="00CF7B30" w:rsidRPr="00433F21" w:rsidRDefault="00E3760C" w:rsidP="00433F21">
      <w:pPr>
        <w:pStyle w:val="STPR2BodyText"/>
      </w:pPr>
      <w:r w:rsidRPr="00433F21">
        <w:t>Detailed</w:t>
      </w:r>
      <w:r w:rsidR="00CF7B30" w:rsidRPr="00433F21">
        <w:t xml:space="preserve"> information on </w:t>
      </w:r>
      <w:r w:rsidR="00EE084E" w:rsidRPr="00433F21">
        <w:t>the</w:t>
      </w:r>
      <w:r w:rsidR="00CF7B30" w:rsidRPr="00433F21">
        <w:t xml:space="preserve"> STPR2</w:t>
      </w:r>
      <w:r w:rsidR="00EE084E" w:rsidRPr="00433F21">
        <w:t xml:space="preserve"> process and findings</w:t>
      </w:r>
      <w:r w:rsidR="00CF7B30" w:rsidRPr="00433F21">
        <w:t xml:space="preserve"> is provided </w:t>
      </w:r>
      <w:r w:rsidR="00A06255" w:rsidRPr="00433F21">
        <w:t xml:space="preserve">at </w:t>
      </w:r>
      <w:hyperlink r:id="rId21" w:history="1">
        <w:r w:rsidR="3467D903" w:rsidRPr="00433F21">
          <w:rPr>
            <w:rStyle w:val="Hyperlink"/>
            <w:sz w:val="24"/>
          </w:rPr>
          <w:t>Strategic Transport Projects Review 2</w:t>
        </w:r>
      </w:hyperlink>
      <w:r w:rsidR="00CF7B30" w:rsidRPr="00433F21">
        <w:t>.</w:t>
      </w:r>
    </w:p>
    <w:p w14:paraId="28E02A49" w14:textId="49A113C4" w:rsidR="00CF7B30" w:rsidRPr="00433F21" w:rsidRDefault="00CF7B30" w:rsidP="00433F21">
      <w:pPr>
        <w:pStyle w:val="STPR2BodyText"/>
      </w:pPr>
      <w:r w:rsidRPr="00433F21">
        <w:t xml:space="preserve">STPR2 involves conducting an evidence-based review of the performance of Scotland’s strategic transport network across </w:t>
      </w:r>
      <w:r w:rsidR="00BF36BE" w:rsidRPr="00433F21">
        <w:t>walking, wheeling, cycling</w:t>
      </w:r>
      <w:r w:rsidRPr="00433F21">
        <w:t>, bus, ferry, rail and the trunk road network. The outcomes from STPR2 will:</w:t>
      </w:r>
    </w:p>
    <w:p w14:paraId="3AC2F44F" w14:textId="77777777" w:rsidR="00CF7B30" w:rsidRPr="00646395" w:rsidRDefault="00CF7B30" w:rsidP="00987575">
      <w:pPr>
        <w:pStyle w:val="STPR2BulletsLevel1"/>
      </w:pPr>
      <w:r w:rsidRPr="00646395">
        <w:t>enhance accessibility across Scotland for residents, visitors and businesses;</w:t>
      </w:r>
    </w:p>
    <w:p w14:paraId="6423409B" w14:textId="77777777" w:rsidR="00CF7B30" w:rsidRPr="00646395" w:rsidRDefault="00CF7B30">
      <w:pPr>
        <w:pStyle w:val="STPR2BulletsLevel1"/>
      </w:pPr>
      <w:r w:rsidRPr="00646395">
        <w:t>create better connectivity with sustainable, smart and cleaner transport options; and</w:t>
      </w:r>
    </w:p>
    <w:p w14:paraId="37726635" w14:textId="77777777" w:rsidR="00CF7B30" w:rsidRPr="00646395" w:rsidRDefault="00CF7B30">
      <w:pPr>
        <w:pStyle w:val="STPR2BulletsLevel1"/>
      </w:pPr>
      <w:r w:rsidRPr="00646395">
        <w:t>highlight the vital contribution that transport investment can play in enabling and sustaining Scotland’s economic growth.</w:t>
      </w:r>
    </w:p>
    <w:p w14:paraId="3AC7C84F" w14:textId="2780C9F7" w:rsidR="005C7C0D" w:rsidRPr="005C7C0D" w:rsidRDefault="00CF7B30">
      <w:pPr>
        <w:pStyle w:val="STPR2BodyText"/>
      </w:pPr>
      <w:r w:rsidRPr="00C477D4">
        <w:t xml:space="preserve">The review will </w:t>
      </w:r>
      <w:r>
        <w:t xml:space="preserve">help inform </w:t>
      </w:r>
      <w:r w:rsidRPr="00C477D4">
        <w:t xml:space="preserve">Scottish Ministers </w:t>
      </w:r>
      <w:r>
        <w:t xml:space="preserve">on </w:t>
      </w:r>
      <w:r w:rsidRPr="00C477D4">
        <w:t xml:space="preserve">a programme of potential transport investment opportunities for the period </w:t>
      </w:r>
      <w:r>
        <w:t xml:space="preserve">between </w:t>
      </w:r>
      <w:r w:rsidRPr="00C477D4">
        <w:t>2022</w:t>
      </w:r>
      <w:r>
        <w:t xml:space="preserve"> and </w:t>
      </w:r>
      <w:r w:rsidRPr="00C477D4">
        <w:t>2042.</w:t>
      </w:r>
    </w:p>
    <w:p w14:paraId="29E6006A" w14:textId="5CAAFF81" w:rsidR="007A5B17" w:rsidRPr="007A5B17" w:rsidRDefault="007A5B17">
      <w:pPr>
        <w:pStyle w:val="STPR2BodyText"/>
      </w:pPr>
      <w:r w:rsidRPr="007A5B17">
        <w:t>As part of their commission, Jacobs and AECOM have undertaken a series of impact assessments on STPR2, which includes this Equalities Impact Assessment (EqIA).</w:t>
      </w:r>
    </w:p>
    <w:p w14:paraId="52D60C94" w14:textId="584A659D" w:rsidR="00DE5D4F" w:rsidRDefault="007304A1" w:rsidP="008D0A5B">
      <w:pPr>
        <w:pStyle w:val="Heading2"/>
      </w:pPr>
      <w:bookmarkStart w:id="5" w:name="_Toc19802848"/>
      <w:bookmarkStart w:id="6" w:name="_Toc19871974"/>
      <w:bookmarkStart w:id="7" w:name="_Toc19882144"/>
      <w:bookmarkStart w:id="8" w:name="_Toc19882315"/>
      <w:bookmarkStart w:id="9" w:name="_Toc19889642"/>
      <w:bookmarkStart w:id="10" w:name="_Toc20124034"/>
      <w:bookmarkStart w:id="11" w:name="_Toc20124166"/>
      <w:bookmarkStart w:id="12" w:name="_Toc20124954"/>
      <w:bookmarkStart w:id="13" w:name="_Toc20127007"/>
      <w:bookmarkStart w:id="14" w:name="_Toc20380969"/>
      <w:bookmarkStart w:id="15" w:name="_Toc20484715"/>
      <w:bookmarkStart w:id="16" w:name="_Toc20484960"/>
      <w:bookmarkStart w:id="17" w:name="_Toc20487770"/>
      <w:bookmarkStart w:id="18" w:name="_Toc20487965"/>
      <w:bookmarkStart w:id="19" w:name="_Toc20744579"/>
      <w:bookmarkStart w:id="20" w:name="_Toc20754054"/>
      <w:bookmarkStart w:id="21" w:name="_Toc20756441"/>
      <w:bookmarkStart w:id="22" w:name="_Toc20758874"/>
      <w:bookmarkStart w:id="23" w:name="_Toc20758947"/>
      <w:bookmarkStart w:id="24" w:name="_Toc20759020"/>
      <w:bookmarkStart w:id="25" w:name="_Toc20759212"/>
      <w:bookmarkStart w:id="26" w:name="_Toc20898697"/>
      <w:bookmarkStart w:id="27" w:name="_Toc20898982"/>
      <w:bookmarkStart w:id="28" w:name="_Toc20903601"/>
      <w:bookmarkStart w:id="29" w:name="_Toc20903713"/>
      <w:bookmarkStart w:id="30" w:name="_Toc20903830"/>
      <w:bookmarkStart w:id="31" w:name="_Toc21078470"/>
      <w:bookmarkStart w:id="32" w:name="_Toc21080096"/>
      <w:bookmarkStart w:id="33" w:name="_Toc21353714"/>
      <w:bookmarkStart w:id="34" w:name="_Toc21354180"/>
      <w:bookmarkStart w:id="35" w:name="_Toc21446865"/>
      <w:bookmarkStart w:id="36" w:name="_Toc21447119"/>
      <w:bookmarkStart w:id="37" w:name="_Toc21447233"/>
      <w:bookmarkStart w:id="38" w:name="_Toc21447478"/>
      <w:bookmarkStart w:id="39" w:name="_Toc21447612"/>
      <w:bookmarkStart w:id="40" w:name="_Toc21510381"/>
      <w:bookmarkStart w:id="41" w:name="_Toc21510983"/>
      <w:bookmarkStart w:id="42" w:name="_Toc21523052"/>
      <w:bookmarkStart w:id="43" w:name="_Toc1212337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t>STPR2</w:t>
      </w:r>
      <w:r w:rsidR="00FB2B60">
        <w:t xml:space="preserve"> </w:t>
      </w:r>
      <w:r w:rsidR="00325526">
        <w:t>Integrated</w:t>
      </w:r>
      <w:r>
        <w:t xml:space="preserve"> Impact Assessments</w:t>
      </w:r>
      <w:bookmarkEnd w:id="43"/>
    </w:p>
    <w:p w14:paraId="2918E040" w14:textId="77777777" w:rsidR="00055D91" w:rsidRDefault="000C6958" w:rsidP="007C7756">
      <w:pPr>
        <w:pStyle w:val="STPR2BodyText"/>
      </w:pPr>
      <w:r w:rsidRPr="001D6D7D">
        <w:t>STPR2 is</w:t>
      </w:r>
      <w:r w:rsidRPr="00C1750C">
        <w:t xml:space="preserve"> accompanied by various</w:t>
      </w:r>
      <w:r w:rsidR="00A61034" w:rsidRPr="00352646">
        <w:t xml:space="preserve"> social and </w:t>
      </w:r>
      <w:r w:rsidR="00F42750" w:rsidRPr="00352646">
        <w:t xml:space="preserve">environmental </w:t>
      </w:r>
      <w:r w:rsidR="003E6B85" w:rsidRPr="001D6D7D">
        <w:t>impact</w:t>
      </w:r>
      <w:r w:rsidRPr="001D6D7D">
        <w:t xml:space="preserve"> assessments that </w:t>
      </w:r>
      <w:r w:rsidR="00B52AC9" w:rsidRPr="001D6D7D">
        <w:t>have been</w:t>
      </w:r>
      <w:r w:rsidRPr="001D6D7D">
        <w:t xml:space="preserve"> integrated into each stage of STPR2</w:t>
      </w:r>
      <w:r w:rsidR="00C64D9D" w:rsidRPr="001D6D7D">
        <w:t xml:space="preserve"> </w:t>
      </w:r>
      <w:r w:rsidR="00B23E3C" w:rsidRPr="001D6D7D">
        <w:t xml:space="preserve">- </w:t>
      </w:r>
      <w:r w:rsidR="001945BE" w:rsidRPr="001D6D7D">
        <w:t>Scottish Transport Appraisal Guidance (</w:t>
      </w:r>
      <w:r w:rsidR="00C64D9D" w:rsidRPr="001D6D7D">
        <w:t>STAG</w:t>
      </w:r>
      <w:r w:rsidR="001945BE" w:rsidRPr="001D6D7D">
        <w:t>)</w:t>
      </w:r>
      <w:r w:rsidR="003C17FB">
        <w:t xml:space="preserve"> </w:t>
      </w:r>
      <w:r w:rsidR="00B97DDE">
        <w:t>development</w:t>
      </w:r>
      <w:r w:rsidRPr="001D6D7D">
        <w:t xml:space="preserve">. </w:t>
      </w:r>
      <w:r w:rsidRPr="005A1036">
        <w:t>These</w:t>
      </w:r>
      <w:r w:rsidR="00636403">
        <w:t xml:space="preserve"> </w:t>
      </w:r>
      <w:r w:rsidRPr="005A1036">
        <w:t xml:space="preserve">comprise </w:t>
      </w:r>
      <w:r w:rsidR="00DD241A">
        <w:t>t</w:t>
      </w:r>
      <w:r w:rsidR="00C550D3">
        <w:t>his</w:t>
      </w:r>
      <w:r w:rsidR="00DD241A">
        <w:t xml:space="preserve"> </w:t>
      </w:r>
      <w:r w:rsidR="00CF237B">
        <w:t>EqIA</w:t>
      </w:r>
      <w:r w:rsidR="00DD241A">
        <w:t xml:space="preserve">, a </w:t>
      </w:r>
      <w:r w:rsidR="00DD241A" w:rsidRPr="005A1036">
        <w:t>Child Rights and Wellbeing Impact Assessment</w:t>
      </w:r>
      <w:r w:rsidR="00DD241A">
        <w:t xml:space="preserve"> (CRWIA), an</w:t>
      </w:r>
      <w:r w:rsidR="00DD241A" w:rsidRPr="005A1036">
        <w:t xml:space="preserve"> Island Communities Impact Assessment</w:t>
      </w:r>
      <w:r w:rsidR="00DD241A">
        <w:t xml:space="preserve"> (ICIA), a</w:t>
      </w:r>
      <w:r w:rsidR="00DD241A" w:rsidRPr="005A1036">
        <w:t xml:space="preserve"> Fairer Scotland Duty Assessment</w:t>
      </w:r>
      <w:r w:rsidR="00DD241A">
        <w:t xml:space="preserve"> (FSDA)</w:t>
      </w:r>
      <w:r w:rsidR="007A5BA8">
        <w:t>, a</w:t>
      </w:r>
      <w:r w:rsidRPr="005A1036">
        <w:t xml:space="preserve"> Strategic Environmental Assessment (SEA)</w:t>
      </w:r>
      <w:r w:rsidR="0074350D">
        <w:t xml:space="preserve"> and </w:t>
      </w:r>
      <w:r w:rsidR="00E91F10">
        <w:t xml:space="preserve">a </w:t>
      </w:r>
      <w:r w:rsidR="0074350D">
        <w:t>Habitats Regulation Appraisal</w:t>
      </w:r>
      <w:r w:rsidR="007F478B">
        <w:t xml:space="preserve"> (HRA)</w:t>
      </w:r>
      <w:r w:rsidR="005A1036">
        <w:t xml:space="preserve">. </w:t>
      </w:r>
      <w:r w:rsidRPr="00670E66">
        <w:t xml:space="preserve">These </w:t>
      </w:r>
      <w:r>
        <w:t>impact assessments</w:t>
      </w:r>
      <w:r w:rsidRPr="00670E66">
        <w:t xml:space="preserve"> interact</w:t>
      </w:r>
      <w:r w:rsidR="00FA74BB">
        <w:t xml:space="preserve"> and</w:t>
      </w:r>
      <w:r>
        <w:t xml:space="preserve"> complement each other</w:t>
      </w:r>
      <w:r w:rsidRPr="00670E66">
        <w:t xml:space="preserve"> </w:t>
      </w:r>
      <w:r w:rsidR="00FA74BB">
        <w:t>to</w:t>
      </w:r>
      <w:r w:rsidRPr="00670E66">
        <w:t xml:space="preserve"> ensure th</w:t>
      </w:r>
      <w:r w:rsidR="005A1036">
        <w:t>at</w:t>
      </w:r>
      <w:r w:rsidRPr="00670E66">
        <w:t xml:space="preserve"> STPR2 is environmentally sustainable and socially equitable. </w:t>
      </w:r>
      <w:r>
        <w:t>They share baseline data wherever possible</w:t>
      </w:r>
      <w:r w:rsidR="00325526">
        <w:t xml:space="preserve"> and</w:t>
      </w:r>
      <w:r w:rsidR="001427CE">
        <w:t>,</w:t>
      </w:r>
      <w:r w:rsidR="00325526">
        <w:t xml:space="preserve"> as such</w:t>
      </w:r>
      <w:r w:rsidR="001427CE">
        <w:t>,</w:t>
      </w:r>
      <w:r w:rsidR="00325526">
        <w:t xml:space="preserve"> an integrated approach to the assessment process has been undertaken</w:t>
      </w:r>
      <w:r>
        <w:t xml:space="preserve">. </w:t>
      </w:r>
      <w:r w:rsidR="002E206D" w:rsidRPr="00041A41">
        <w:t>Figure 1</w:t>
      </w:r>
      <w:r w:rsidR="002E206D">
        <w:rPr>
          <w:b/>
        </w:rPr>
        <w:t xml:space="preserve"> </w:t>
      </w:r>
      <w:r w:rsidR="002E206D">
        <w:t>shows the impact assessments required for STPR2.</w:t>
      </w:r>
    </w:p>
    <w:p w14:paraId="255E4C24" w14:textId="2C3FBA15" w:rsidR="000C6958" w:rsidRDefault="00D8530E" w:rsidP="000C6958">
      <w:pPr>
        <w:keepNext/>
      </w:pPr>
      <w:r>
        <w:rPr>
          <w:noProof/>
        </w:rPr>
        <w:lastRenderedPageBreak/>
        <w:drawing>
          <wp:inline distT="0" distB="0" distL="0" distR="0" wp14:anchorId="63BD02AE" wp14:editId="4EB69639">
            <wp:extent cx="6038707" cy="2444806"/>
            <wp:effectExtent l="0" t="0" r="63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2"/>
                    <a:stretch>
                      <a:fillRect/>
                    </a:stretch>
                  </pic:blipFill>
                  <pic:spPr>
                    <a:xfrm>
                      <a:off x="0" y="0"/>
                      <a:ext cx="6047543" cy="2448383"/>
                    </a:xfrm>
                    <a:prstGeom prst="rect">
                      <a:avLst/>
                    </a:prstGeom>
                  </pic:spPr>
                </pic:pic>
              </a:graphicData>
            </a:graphic>
          </wp:inline>
        </w:drawing>
      </w:r>
    </w:p>
    <w:p w14:paraId="08AF759C" w14:textId="55527508" w:rsidR="00AA3DB3" w:rsidRPr="007100CE" w:rsidRDefault="007100CE" w:rsidP="007100CE">
      <w:pPr>
        <w:pStyle w:val="STPR2CaptionFigures"/>
        <w:rPr>
          <w:rFonts w:asciiTheme="minorHAnsi" w:hAnsiTheme="minorHAnsi" w:cstheme="minorBidi"/>
          <w:i/>
          <w:sz w:val="18"/>
          <w:szCs w:val="18"/>
        </w:rPr>
      </w:pPr>
      <w:bookmarkStart w:id="44" w:name="_Ref85023913"/>
      <w:bookmarkStart w:id="45" w:name="_Toc121233720"/>
      <w:r>
        <w:t xml:space="preserve">Figure </w:t>
      </w:r>
      <w:fldSimple w:instr=" SEQ Figure \* ARABIC ">
        <w:r w:rsidR="007F1A40">
          <w:rPr>
            <w:noProof/>
          </w:rPr>
          <w:t>1</w:t>
        </w:r>
      </w:fldSimple>
      <w:r>
        <w:t xml:space="preserve"> </w:t>
      </w:r>
      <w:r w:rsidR="00731A9E">
        <w:rPr>
          <w:i/>
        </w:rPr>
        <w:t>–</w:t>
      </w:r>
      <w:r w:rsidR="000C6958" w:rsidRPr="006442E6">
        <w:t xml:space="preserve"> </w:t>
      </w:r>
      <w:r w:rsidR="00EF1FD3" w:rsidRPr="00EF1FD3">
        <w:t>Relationship Between Impact Assessments, SEA and STAG</w:t>
      </w:r>
      <w:bookmarkEnd w:id="44"/>
      <w:bookmarkEnd w:id="45"/>
    </w:p>
    <w:p w14:paraId="4E231948" w14:textId="53CDEF28" w:rsidR="002E67DD" w:rsidRDefault="002E67DD" w:rsidP="00C1750C">
      <w:pPr>
        <w:pStyle w:val="STPR2BodyText"/>
      </w:pPr>
      <w:r>
        <w:t xml:space="preserve">Until this point, EqIA reporting was combined with the CRWIA, ICIA and FSDA as an integrated assessment. </w:t>
      </w:r>
      <w:r w:rsidRPr="005A24A6">
        <w:t>An EqIA Scoping Report</w:t>
      </w:r>
      <w:r>
        <w:t xml:space="preserve"> encompassing all assessments</w:t>
      </w:r>
      <w:r w:rsidRPr="005A24A6">
        <w:t xml:space="preserve"> was </w:t>
      </w:r>
      <w:r>
        <w:t>initially developed for STPR2 and</w:t>
      </w:r>
      <w:r w:rsidRPr="005A24A6">
        <w:t xml:space="preserve"> published for consultation between December 2019 and February 2020 in order to gather views on the scope and </w:t>
      </w:r>
      <w:r>
        <w:t xml:space="preserve">proposed </w:t>
      </w:r>
      <w:r w:rsidRPr="005A24A6">
        <w:t>approach. </w:t>
      </w:r>
      <w:r w:rsidR="004143BF">
        <w:t>This provided a full policy review, baseline evidence, findings from stakeholder engagement activities and set out proposed equality topics and objectives to use as a framework for the assessments.</w:t>
      </w:r>
    </w:p>
    <w:p w14:paraId="47388064" w14:textId="5B1F652D" w:rsidR="00FB2A9D" w:rsidRDefault="002E67DD" w:rsidP="007C7756">
      <w:pPr>
        <w:pStyle w:val="STPR2BodyText"/>
      </w:pPr>
      <w:r>
        <w:t xml:space="preserve">An </w:t>
      </w:r>
      <w:hyperlink r:id="rId23" w:history="1">
        <w:r w:rsidRPr="00B6598A">
          <w:rPr>
            <w:rStyle w:val="Hyperlink"/>
          </w:rPr>
          <w:t>EqIA Progress Report</w:t>
        </w:r>
      </w:hyperlink>
      <w:r>
        <w:t xml:space="preserve"> was published in January 2021</w:t>
      </w:r>
      <w:r w:rsidR="00C73C90">
        <w:t xml:space="preserve">. </w:t>
      </w:r>
      <w:r>
        <w:t>This summarised the assessment conducted until that point on the EqIA, CRWIA, ICIA and FSDA</w:t>
      </w:r>
      <w:r w:rsidR="00FB2A9D">
        <w:t xml:space="preserve">. </w:t>
      </w:r>
    </w:p>
    <w:p w14:paraId="68AB6583" w14:textId="32E739FF" w:rsidR="001D59E2" w:rsidRPr="00063CAC" w:rsidRDefault="00E914CE" w:rsidP="00C23F99">
      <w:pPr>
        <w:pStyle w:val="STPR2BodyText"/>
      </w:pPr>
      <w:r>
        <w:t>I</w:t>
      </w:r>
      <w:r w:rsidR="00024292" w:rsidRPr="00063CAC">
        <w:t>n January 2022</w:t>
      </w:r>
      <w:r>
        <w:t>, t</w:t>
      </w:r>
      <w:r w:rsidRPr="00D94367">
        <w:t xml:space="preserve">he STPR2 </w:t>
      </w:r>
      <w:r w:rsidR="006223E4">
        <w:t>Draft Technical R</w:t>
      </w:r>
      <w:r w:rsidRPr="00D94367">
        <w:t>eport</w:t>
      </w:r>
      <w:r w:rsidR="00651B61">
        <w:t xml:space="preserve"> (Jacobs </w:t>
      </w:r>
      <w:r w:rsidR="00B6598A">
        <w:t xml:space="preserve">AECOM </w:t>
      </w:r>
      <w:r w:rsidR="00651B61">
        <w:t>2022</w:t>
      </w:r>
      <w:r w:rsidR="007F44E7">
        <w:t>a</w:t>
      </w:r>
      <w:r w:rsidR="00651B61">
        <w:t>)</w:t>
      </w:r>
      <w:r>
        <w:t xml:space="preserve"> was published alongside</w:t>
      </w:r>
      <w:r w:rsidRPr="00D94367">
        <w:t xml:space="preserve"> associated documents and </w:t>
      </w:r>
      <w:r w:rsidR="001E1AF6">
        <w:t xml:space="preserve">individual </w:t>
      </w:r>
      <w:r w:rsidRPr="00D94367">
        <w:t>draft impact assessments</w:t>
      </w:r>
      <w:r w:rsidR="001E1AF6">
        <w:t xml:space="preserve"> (including </w:t>
      </w:r>
      <w:r w:rsidR="000636DF">
        <w:t>the</w:t>
      </w:r>
      <w:r w:rsidR="001E1AF6">
        <w:t xml:space="preserve"> </w:t>
      </w:r>
      <w:r w:rsidR="001A51F3">
        <w:t>D</w:t>
      </w:r>
      <w:r w:rsidR="001E1AF6">
        <w:t>raft EqIA report</w:t>
      </w:r>
      <w:r w:rsidR="000636DF">
        <w:t xml:space="preserve"> (Jacobs </w:t>
      </w:r>
      <w:r w:rsidR="00B6598A">
        <w:t xml:space="preserve">AECOM </w:t>
      </w:r>
      <w:r w:rsidR="000636DF">
        <w:t>2022</w:t>
      </w:r>
      <w:r w:rsidR="007F44E7">
        <w:t>b</w:t>
      </w:r>
      <w:r w:rsidR="000636DF">
        <w:t>)</w:t>
      </w:r>
      <w:r w:rsidR="001E1AF6">
        <w:t>)</w:t>
      </w:r>
      <w:r w:rsidR="00C12BF5">
        <w:t>. A</w:t>
      </w:r>
      <w:r w:rsidR="00024292" w:rsidRPr="00063CAC">
        <w:t xml:space="preserve"> 12-week public consultation period</w:t>
      </w:r>
      <w:r w:rsidR="00C12BF5">
        <w:t xml:space="preserve"> was undertaken</w:t>
      </w:r>
      <w:r w:rsidR="00024292" w:rsidRPr="00063CAC">
        <w:t xml:space="preserve">, hosted on the Scottish Government’s consultation platform Citizen Space. </w:t>
      </w:r>
      <w:r w:rsidR="001D59E2" w:rsidRPr="00063CAC">
        <w:t xml:space="preserve">Further details of the statutory consultation process are provided in Chapter </w:t>
      </w:r>
      <w:r w:rsidR="006C0AD6">
        <w:t>Four</w:t>
      </w:r>
      <w:r w:rsidR="001D59E2">
        <w:t>.</w:t>
      </w:r>
    </w:p>
    <w:p w14:paraId="231427D6" w14:textId="3102EDB4" w:rsidR="00024292" w:rsidRDefault="00024292" w:rsidP="00987575">
      <w:pPr>
        <w:pStyle w:val="STPR2BodyText"/>
      </w:pPr>
      <w:r w:rsidRPr="00063CAC">
        <w:t>The views of statutory consultees, wider stakeholders and the public on the processes, findings and recommendations have been used to shape th</w:t>
      </w:r>
      <w:r w:rsidR="001714A1">
        <w:t>e</w:t>
      </w:r>
      <w:r w:rsidRPr="00063CAC">
        <w:t xml:space="preserve"> </w:t>
      </w:r>
      <w:r>
        <w:t>Final</w:t>
      </w:r>
      <w:r w:rsidR="002C2887">
        <w:t xml:space="preserve"> STPR2</w:t>
      </w:r>
      <w:r>
        <w:t xml:space="preserve"> </w:t>
      </w:r>
      <w:r w:rsidRPr="00063CAC">
        <w:t>Technical</w:t>
      </w:r>
      <w:r w:rsidR="00731A9E">
        <w:t> </w:t>
      </w:r>
      <w:r w:rsidRPr="00063CAC">
        <w:t>Report</w:t>
      </w:r>
      <w:r w:rsidR="001A51F3">
        <w:t>.</w:t>
      </w:r>
    </w:p>
    <w:p w14:paraId="2535AA71" w14:textId="40D86C44" w:rsidR="00024292" w:rsidRPr="00EB2444" w:rsidRDefault="009E5F52">
      <w:pPr>
        <w:pStyle w:val="STPR2BodyText"/>
      </w:pPr>
      <w:r>
        <w:t>In addition,</w:t>
      </w:r>
      <w:r w:rsidR="006D2445">
        <w:t xml:space="preserve"> where relevant,</w:t>
      </w:r>
      <w:r>
        <w:t xml:space="preserve"> </w:t>
      </w:r>
      <w:r w:rsidR="00024292" w:rsidRPr="00591573">
        <w:t xml:space="preserve">feedback </w:t>
      </w:r>
      <w:r w:rsidR="004D1E2B">
        <w:t>relating to the</w:t>
      </w:r>
      <w:r w:rsidR="00024292" w:rsidRPr="00591573">
        <w:t xml:space="preserve"> Draft </w:t>
      </w:r>
      <w:r>
        <w:t xml:space="preserve">EqIA </w:t>
      </w:r>
      <w:r w:rsidR="00B95D21">
        <w:t>r</w:t>
      </w:r>
      <w:r w:rsidR="00024292" w:rsidRPr="00591573">
        <w:t xml:space="preserve">eport </w:t>
      </w:r>
      <w:r w:rsidR="00B95D21">
        <w:t>is addressed within this Final EqIA report</w:t>
      </w:r>
      <w:r w:rsidR="00024292" w:rsidRPr="00591573">
        <w:t>.</w:t>
      </w:r>
    </w:p>
    <w:p w14:paraId="52FCB48E" w14:textId="13469213" w:rsidR="000C6958" w:rsidRDefault="000C6958" w:rsidP="00731A9E">
      <w:pPr>
        <w:pStyle w:val="Heading2"/>
        <w:spacing w:before="240"/>
      </w:pPr>
      <w:bookmarkStart w:id="46" w:name="_Toc88563890"/>
      <w:bookmarkStart w:id="47" w:name="_Toc88563891"/>
      <w:bookmarkStart w:id="48" w:name="_Toc88563892"/>
      <w:bookmarkStart w:id="49" w:name="_Toc88563893"/>
      <w:bookmarkStart w:id="50" w:name="_Toc88563894"/>
      <w:bookmarkStart w:id="51" w:name="_Toc88563895"/>
      <w:bookmarkStart w:id="52" w:name="_Toc81993571"/>
      <w:bookmarkStart w:id="53" w:name="_Toc121233784"/>
      <w:bookmarkEnd w:id="46"/>
      <w:bookmarkEnd w:id="47"/>
      <w:bookmarkEnd w:id="48"/>
      <w:bookmarkEnd w:id="49"/>
      <w:bookmarkEnd w:id="50"/>
      <w:bookmarkEnd w:id="51"/>
      <w:r>
        <w:t xml:space="preserve">Purpose </w:t>
      </w:r>
      <w:r w:rsidR="00BF4B31">
        <w:t>and Structure</w:t>
      </w:r>
      <w:r>
        <w:t xml:space="preserve"> of </w:t>
      </w:r>
      <w:r w:rsidR="00526760">
        <w:t xml:space="preserve">EqIA </w:t>
      </w:r>
      <w:r>
        <w:t>Report</w:t>
      </w:r>
      <w:bookmarkEnd w:id="52"/>
      <w:bookmarkEnd w:id="53"/>
      <w:r>
        <w:t xml:space="preserve"> </w:t>
      </w:r>
    </w:p>
    <w:p w14:paraId="13EEDB5A" w14:textId="77777777" w:rsidR="005837E4" w:rsidRDefault="005837E4" w:rsidP="00C1750C">
      <w:pPr>
        <w:pStyle w:val="STPR2BodyText"/>
        <w:rPr>
          <w:rStyle w:val="eop"/>
        </w:rPr>
      </w:pPr>
      <w:r w:rsidRPr="00766F24">
        <w:rPr>
          <w:rStyle w:val="normaltextrun"/>
        </w:rPr>
        <w:t>As a public body, Transport Scotland has a legal duty when creating new plans and policies to pay due regard to the Public Sector Equality Duty (PSED) included within the Equality Act 2010. The PSED aims to eliminate unlawful discrimination, promote equality and cohesion between different groups and advance equality of opportunity. Supplementary legislation (the Equality Act 2010 (Specific Duties) (Scotland) Regulations 2012), requires Transport Scotland to be proactive in meeting the PSED of eliminating unlawful discrimination, advancing equality and fostering good relations.</w:t>
      </w:r>
      <w:r w:rsidRPr="00766F24">
        <w:rPr>
          <w:rStyle w:val="eop"/>
        </w:rPr>
        <w:t> </w:t>
      </w:r>
    </w:p>
    <w:p w14:paraId="4D61C683" w14:textId="418BD6C7" w:rsidR="005837E4" w:rsidRDefault="00BD72AC" w:rsidP="00731A9E">
      <w:pPr>
        <w:pStyle w:val="STPR2BodyText"/>
        <w:keepNext/>
        <w:keepLines/>
      </w:pPr>
      <w:r>
        <w:lastRenderedPageBreak/>
        <w:t>This report ident</w:t>
      </w:r>
      <w:r w:rsidR="009253E6">
        <w:t>ifies potential impacts of STPR2</w:t>
      </w:r>
      <w:r w:rsidR="00606955">
        <w:t xml:space="preserve"> </w:t>
      </w:r>
      <w:r w:rsidR="003A3B2D">
        <w:t xml:space="preserve">Recommendations </w:t>
      </w:r>
      <w:r w:rsidR="00606955">
        <w:t>on groups identified under the Equality Act 201</w:t>
      </w:r>
      <w:r w:rsidR="00281208">
        <w:t>0</w:t>
      </w:r>
      <w:r w:rsidR="009253E6">
        <w:t xml:space="preserve"> and demonstrates </w:t>
      </w:r>
      <w:r w:rsidR="00232E1B">
        <w:t xml:space="preserve">Transport Scotland’s </w:t>
      </w:r>
      <w:r w:rsidR="009253E6">
        <w:t>due regard to the</w:t>
      </w:r>
      <w:r w:rsidR="00731A9E">
        <w:t> </w:t>
      </w:r>
      <w:r w:rsidR="009253E6">
        <w:t>PSED</w:t>
      </w:r>
      <w:r w:rsidR="006E4A09">
        <w:t xml:space="preserve">. </w:t>
      </w:r>
    </w:p>
    <w:p w14:paraId="17F46D2C" w14:textId="7F8854C6" w:rsidR="000C6958" w:rsidRPr="00F21D0C" w:rsidRDefault="00502E32" w:rsidP="00C23F99">
      <w:pPr>
        <w:pStyle w:val="STPR2BodyText"/>
      </w:pPr>
      <w:r w:rsidRPr="00F21D0C">
        <w:rPr>
          <w:rStyle w:val="normaltextrun"/>
        </w:rPr>
        <w:t xml:space="preserve">This report </w:t>
      </w:r>
      <w:r w:rsidR="00B674A7" w:rsidRPr="00F21D0C">
        <w:rPr>
          <w:rStyle w:val="normaltextrun"/>
        </w:rPr>
        <w:t xml:space="preserve">also </w:t>
      </w:r>
      <w:r w:rsidRPr="00F21D0C">
        <w:rPr>
          <w:rStyle w:val="normaltextrun"/>
        </w:rPr>
        <w:t xml:space="preserve">details how the EqIA process has informed the development of STPR2 and provides an analysis of </w:t>
      </w:r>
      <w:r w:rsidR="00A076D4" w:rsidRPr="00F21D0C">
        <w:rPr>
          <w:rStyle w:val="normaltextrun"/>
        </w:rPr>
        <w:t xml:space="preserve">the </w:t>
      </w:r>
      <w:r w:rsidRPr="00F21D0C">
        <w:rPr>
          <w:rStyle w:val="normaltextrun"/>
        </w:rPr>
        <w:t>STPR2</w:t>
      </w:r>
      <w:r w:rsidR="00A076D4" w:rsidRPr="00F21D0C">
        <w:rPr>
          <w:rStyle w:val="normaltextrun"/>
        </w:rPr>
        <w:t xml:space="preserve"> recommendations</w:t>
      </w:r>
      <w:r w:rsidRPr="00F21D0C">
        <w:rPr>
          <w:rStyle w:val="normaltextrun"/>
        </w:rPr>
        <w:t> </w:t>
      </w:r>
      <w:r w:rsidR="00A076D4" w:rsidRPr="00F21D0C">
        <w:rPr>
          <w:rStyle w:val="normaltextrun"/>
        </w:rPr>
        <w:t>with</w:t>
      </w:r>
      <w:r w:rsidRPr="00F21D0C">
        <w:rPr>
          <w:rStyle w:val="normaltextrun"/>
        </w:rPr>
        <w:t xml:space="preserve"> regard to equalities </w:t>
      </w:r>
      <w:r w:rsidR="00A076D4" w:rsidRPr="00F21D0C">
        <w:rPr>
          <w:rStyle w:val="normaltextrun"/>
        </w:rPr>
        <w:t>impacts</w:t>
      </w:r>
      <w:r w:rsidRPr="00F21D0C">
        <w:rPr>
          <w:rStyle w:val="normaltextrun"/>
        </w:rPr>
        <w:t>.</w:t>
      </w:r>
      <w:r w:rsidR="007100CE">
        <w:rPr>
          <w:rStyle w:val="normaltextrun"/>
        </w:rPr>
        <w:t xml:space="preserve"> </w:t>
      </w:r>
      <w:bookmarkStart w:id="54" w:name="_Toc20903603"/>
      <w:bookmarkStart w:id="55" w:name="_Toc20903715"/>
      <w:bookmarkStart w:id="56" w:name="_Toc20903832"/>
      <w:bookmarkStart w:id="57" w:name="_Toc21078472"/>
      <w:bookmarkStart w:id="58" w:name="_Toc21080098"/>
      <w:bookmarkStart w:id="59" w:name="_Toc21353716"/>
      <w:bookmarkStart w:id="60" w:name="_Toc21354182"/>
      <w:bookmarkStart w:id="61" w:name="_Toc20903604"/>
      <w:bookmarkStart w:id="62" w:name="_Toc20903716"/>
      <w:bookmarkStart w:id="63" w:name="_Toc20903833"/>
      <w:bookmarkStart w:id="64" w:name="_Toc21078473"/>
      <w:bookmarkStart w:id="65" w:name="_Toc21080099"/>
      <w:bookmarkStart w:id="66" w:name="_Toc21353717"/>
      <w:bookmarkStart w:id="67" w:name="_Toc21354183"/>
      <w:bookmarkStart w:id="68" w:name="_Toc20903605"/>
      <w:bookmarkStart w:id="69" w:name="_Toc20903717"/>
      <w:bookmarkStart w:id="70" w:name="_Toc20903834"/>
      <w:bookmarkStart w:id="71" w:name="_Toc21078474"/>
      <w:bookmarkStart w:id="72" w:name="_Toc21080100"/>
      <w:bookmarkStart w:id="73" w:name="_Toc21353718"/>
      <w:bookmarkStart w:id="74" w:name="_Toc21354184"/>
      <w:bookmarkStart w:id="75" w:name="_Toc20903606"/>
      <w:bookmarkStart w:id="76" w:name="_Toc20903718"/>
      <w:bookmarkStart w:id="77" w:name="_Toc20903835"/>
      <w:bookmarkStart w:id="78" w:name="_Toc21078475"/>
      <w:bookmarkStart w:id="79" w:name="_Toc21080101"/>
      <w:bookmarkStart w:id="80" w:name="_Toc21353719"/>
      <w:bookmarkStart w:id="81" w:name="_Toc21354185"/>
      <w:bookmarkStart w:id="82" w:name="_Toc20903607"/>
      <w:bookmarkStart w:id="83" w:name="_Toc20903719"/>
      <w:bookmarkStart w:id="84" w:name="_Toc20903836"/>
      <w:bookmarkStart w:id="85" w:name="_Toc21078476"/>
      <w:bookmarkStart w:id="86" w:name="_Toc21080102"/>
      <w:bookmarkStart w:id="87" w:name="_Toc21353720"/>
      <w:bookmarkStart w:id="88" w:name="_Toc21354186"/>
      <w:bookmarkStart w:id="89" w:name="_Toc20903608"/>
      <w:bookmarkStart w:id="90" w:name="_Toc20903720"/>
      <w:bookmarkStart w:id="91" w:name="_Toc20903837"/>
      <w:bookmarkStart w:id="92" w:name="_Toc21078477"/>
      <w:bookmarkStart w:id="93" w:name="_Toc21080103"/>
      <w:bookmarkStart w:id="94" w:name="_Toc21353721"/>
      <w:bookmarkStart w:id="95" w:name="_Toc21354187"/>
      <w:bookmarkStart w:id="96" w:name="_Toc20903609"/>
      <w:bookmarkStart w:id="97" w:name="_Toc20903721"/>
      <w:bookmarkStart w:id="98" w:name="_Toc20903838"/>
      <w:bookmarkStart w:id="99" w:name="_Toc21078478"/>
      <w:bookmarkStart w:id="100" w:name="_Toc21080104"/>
      <w:bookmarkStart w:id="101" w:name="_Toc21353722"/>
      <w:bookmarkStart w:id="102" w:name="_Toc21354188"/>
      <w:bookmarkStart w:id="103" w:name="_Toc20903610"/>
      <w:bookmarkStart w:id="104" w:name="_Toc20903722"/>
      <w:bookmarkStart w:id="105" w:name="_Toc20903839"/>
      <w:bookmarkStart w:id="106" w:name="_Toc21078479"/>
      <w:bookmarkStart w:id="107" w:name="_Toc21080105"/>
      <w:bookmarkStart w:id="108" w:name="_Toc21353723"/>
      <w:bookmarkStart w:id="109" w:name="_Toc21354189"/>
      <w:bookmarkStart w:id="110" w:name="_Toc20903611"/>
      <w:bookmarkStart w:id="111" w:name="_Toc20903723"/>
      <w:bookmarkStart w:id="112" w:name="_Toc20903840"/>
      <w:bookmarkStart w:id="113" w:name="_Toc21078480"/>
      <w:bookmarkStart w:id="114" w:name="_Toc21080106"/>
      <w:bookmarkStart w:id="115" w:name="_Toc21353724"/>
      <w:bookmarkStart w:id="116" w:name="_Toc21354190"/>
      <w:bookmarkStart w:id="117" w:name="_Toc20903612"/>
      <w:bookmarkStart w:id="118" w:name="_Toc20903724"/>
      <w:bookmarkStart w:id="119" w:name="_Toc20903841"/>
      <w:bookmarkStart w:id="120" w:name="_Toc21078481"/>
      <w:bookmarkStart w:id="121" w:name="_Toc21080107"/>
      <w:bookmarkStart w:id="122" w:name="_Toc21353725"/>
      <w:bookmarkStart w:id="123" w:name="_Toc21354191"/>
      <w:bookmarkStart w:id="124" w:name="_Toc20903613"/>
      <w:bookmarkStart w:id="125" w:name="_Toc20903725"/>
      <w:bookmarkStart w:id="126" w:name="_Toc20903842"/>
      <w:bookmarkStart w:id="127" w:name="_Toc21078482"/>
      <w:bookmarkStart w:id="128" w:name="_Toc21080108"/>
      <w:bookmarkStart w:id="129" w:name="_Toc21353726"/>
      <w:bookmarkStart w:id="130" w:name="_Toc21354192"/>
      <w:bookmarkStart w:id="131" w:name="_Toc20903614"/>
      <w:bookmarkStart w:id="132" w:name="_Toc20903726"/>
      <w:bookmarkStart w:id="133" w:name="_Toc20903843"/>
      <w:bookmarkStart w:id="134" w:name="_Toc21078483"/>
      <w:bookmarkStart w:id="135" w:name="_Toc21080109"/>
      <w:bookmarkStart w:id="136" w:name="_Toc21353727"/>
      <w:bookmarkStart w:id="137" w:name="_Toc21354193"/>
      <w:bookmarkStart w:id="138" w:name="_Toc20903615"/>
      <w:bookmarkStart w:id="139" w:name="_Toc20903727"/>
      <w:bookmarkStart w:id="140" w:name="_Toc20903844"/>
      <w:bookmarkStart w:id="141" w:name="_Toc21078484"/>
      <w:bookmarkStart w:id="142" w:name="_Toc21080110"/>
      <w:bookmarkStart w:id="143" w:name="_Toc21353728"/>
      <w:bookmarkStart w:id="144" w:name="_Toc21354194"/>
      <w:bookmarkStart w:id="145" w:name="_Toc20903616"/>
      <w:bookmarkStart w:id="146" w:name="_Toc20903728"/>
      <w:bookmarkStart w:id="147" w:name="_Toc20903845"/>
      <w:bookmarkStart w:id="148" w:name="_Toc21078485"/>
      <w:bookmarkStart w:id="149" w:name="_Toc21080111"/>
      <w:bookmarkStart w:id="150" w:name="_Toc21353729"/>
      <w:bookmarkStart w:id="151" w:name="_Toc21354195"/>
      <w:bookmarkStart w:id="152" w:name="_Toc20903617"/>
      <w:bookmarkStart w:id="153" w:name="_Toc20903729"/>
      <w:bookmarkStart w:id="154" w:name="_Toc20903846"/>
      <w:bookmarkStart w:id="155" w:name="_Toc21078486"/>
      <w:bookmarkStart w:id="156" w:name="_Toc21080112"/>
      <w:bookmarkStart w:id="157" w:name="_Toc21353730"/>
      <w:bookmarkStart w:id="158" w:name="_Toc21354196"/>
      <w:bookmarkStart w:id="159" w:name="_Toc20903618"/>
      <w:bookmarkStart w:id="160" w:name="_Toc20903730"/>
      <w:bookmarkStart w:id="161" w:name="_Toc20903847"/>
      <w:bookmarkStart w:id="162" w:name="_Toc21078487"/>
      <w:bookmarkStart w:id="163" w:name="_Toc21080113"/>
      <w:bookmarkStart w:id="164" w:name="_Toc21353731"/>
      <w:bookmarkStart w:id="165" w:name="_Toc21354197"/>
      <w:bookmarkStart w:id="166" w:name="_Toc20903619"/>
      <w:bookmarkStart w:id="167" w:name="_Toc20903731"/>
      <w:bookmarkStart w:id="168" w:name="_Toc20903848"/>
      <w:bookmarkStart w:id="169" w:name="_Toc21078488"/>
      <w:bookmarkStart w:id="170" w:name="_Toc21080114"/>
      <w:bookmarkStart w:id="171" w:name="_Toc21353732"/>
      <w:bookmarkStart w:id="172" w:name="_Toc21354198"/>
      <w:bookmarkStart w:id="173" w:name="_Toc20903620"/>
      <w:bookmarkStart w:id="174" w:name="_Toc20903732"/>
      <w:bookmarkStart w:id="175" w:name="_Toc20903849"/>
      <w:bookmarkStart w:id="176" w:name="_Toc21078489"/>
      <w:bookmarkStart w:id="177" w:name="_Toc21080115"/>
      <w:bookmarkStart w:id="178" w:name="_Toc21353733"/>
      <w:bookmarkStart w:id="179" w:name="_Toc21354199"/>
      <w:bookmarkStart w:id="180" w:name="_Toc20124036"/>
      <w:bookmarkStart w:id="181" w:name="_Toc20124168"/>
      <w:bookmarkStart w:id="182" w:name="_Toc20124956"/>
      <w:bookmarkStart w:id="183" w:name="_Toc20127009"/>
      <w:bookmarkStart w:id="184" w:name="_Toc20380971"/>
      <w:bookmarkStart w:id="185" w:name="_Toc20484717"/>
      <w:bookmarkStart w:id="186" w:name="_Toc20484962"/>
      <w:bookmarkStart w:id="187" w:name="_Toc20487772"/>
      <w:bookmarkStart w:id="188" w:name="_Toc20487967"/>
      <w:bookmarkStart w:id="189" w:name="_Toc20744581"/>
      <w:bookmarkStart w:id="190" w:name="_Toc20754056"/>
      <w:bookmarkStart w:id="191" w:name="_Toc20756445"/>
      <w:bookmarkStart w:id="192" w:name="_Toc20758878"/>
      <w:bookmarkStart w:id="193" w:name="_Toc20758951"/>
      <w:bookmarkStart w:id="194" w:name="_Toc20759023"/>
      <w:bookmarkStart w:id="195" w:name="_Toc20759215"/>
      <w:bookmarkStart w:id="196" w:name="_Toc20898700"/>
      <w:bookmarkStart w:id="197" w:name="_Toc20898985"/>
      <w:bookmarkStart w:id="198" w:name="_Toc20903621"/>
      <w:bookmarkStart w:id="199" w:name="_Toc20903733"/>
      <w:bookmarkStart w:id="200" w:name="_Toc20903850"/>
      <w:bookmarkStart w:id="201" w:name="_Toc21078490"/>
      <w:bookmarkStart w:id="202" w:name="_Toc21080116"/>
      <w:bookmarkStart w:id="203" w:name="_Toc21353734"/>
      <w:bookmarkStart w:id="204" w:name="_Toc21354200"/>
      <w:bookmarkStart w:id="205" w:name="_Toc20124037"/>
      <w:bookmarkStart w:id="206" w:name="_Toc20124169"/>
      <w:bookmarkStart w:id="207" w:name="_Toc20124957"/>
      <w:bookmarkStart w:id="208" w:name="_Toc20127010"/>
      <w:bookmarkStart w:id="209" w:name="_Toc20380972"/>
      <w:bookmarkStart w:id="210" w:name="_Toc20484718"/>
      <w:bookmarkStart w:id="211" w:name="_Toc20484963"/>
      <w:bookmarkStart w:id="212" w:name="_Toc20487773"/>
      <w:bookmarkStart w:id="213" w:name="_Toc20487968"/>
      <w:bookmarkStart w:id="214" w:name="_Toc20744582"/>
      <w:bookmarkStart w:id="215" w:name="_Toc20754057"/>
      <w:bookmarkStart w:id="216" w:name="_Toc20756446"/>
      <w:bookmarkStart w:id="217" w:name="_Toc20758879"/>
      <w:bookmarkStart w:id="218" w:name="_Toc20758952"/>
      <w:bookmarkStart w:id="219" w:name="_Toc20759024"/>
      <w:bookmarkStart w:id="220" w:name="_Toc20759216"/>
      <w:bookmarkStart w:id="221" w:name="_Toc20898701"/>
      <w:bookmarkStart w:id="222" w:name="_Toc20898986"/>
      <w:bookmarkStart w:id="223" w:name="_Toc20903622"/>
      <w:bookmarkStart w:id="224" w:name="_Toc20903734"/>
      <w:bookmarkStart w:id="225" w:name="_Toc20903851"/>
      <w:bookmarkStart w:id="226" w:name="_Toc21078491"/>
      <w:bookmarkStart w:id="227" w:name="_Toc21080117"/>
      <w:bookmarkStart w:id="228" w:name="_Toc21353735"/>
      <w:bookmarkStart w:id="229" w:name="_Toc21354201"/>
      <w:bookmarkStart w:id="230" w:name="_Toc20124038"/>
      <w:bookmarkStart w:id="231" w:name="_Toc20124170"/>
      <w:bookmarkStart w:id="232" w:name="_Toc20124958"/>
      <w:bookmarkStart w:id="233" w:name="_Toc20127011"/>
      <w:bookmarkStart w:id="234" w:name="_Toc20380973"/>
      <w:bookmarkStart w:id="235" w:name="_Toc20484719"/>
      <w:bookmarkStart w:id="236" w:name="_Toc20484964"/>
      <w:bookmarkStart w:id="237" w:name="_Toc20487774"/>
      <w:bookmarkStart w:id="238" w:name="_Toc20487969"/>
      <w:bookmarkStart w:id="239" w:name="_Toc20744583"/>
      <w:bookmarkStart w:id="240" w:name="_Toc20754058"/>
      <w:bookmarkStart w:id="241" w:name="_Toc20756447"/>
      <w:bookmarkStart w:id="242" w:name="_Toc20758880"/>
      <w:bookmarkStart w:id="243" w:name="_Toc20758953"/>
      <w:bookmarkStart w:id="244" w:name="_Toc20759025"/>
      <w:bookmarkStart w:id="245" w:name="_Toc20759217"/>
      <w:bookmarkStart w:id="246" w:name="_Toc20898702"/>
      <w:bookmarkStart w:id="247" w:name="_Toc20898987"/>
      <w:bookmarkStart w:id="248" w:name="_Toc20903623"/>
      <w:bookmarkStart w:id="249" w:name="_Toc20903735"/>
      <w:bookmarkStart w:id="250" w:name="_Toc20903852"/>
      <w:bookmarkStart w:id="251" w:name="_Toc21078492"/>
      <w:bookmarkStart w:id="252" w:name="_Toc21080118"/>
      <w:bookmarkStart w:id="253" w:name="_Toc21353736"/>
      <w:bookmarkStart w:id="254" w:name="_Toc2135420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00BD1DD2" w:rsidRPr="00F21D0C">
        <w:t>It contains the following chapters</w:t>
      </w:r>
      <w:r w:rsidR="00F21D0C" w:rsidRPr="00F21D0C">
        <w:t>:</w:t>
      </w:r>
    </w:p>
    <w:p w14:paraId="3487BA9A" w14:textId="01242858" w:rsidR="00EC4AB5" w:rsidRPr="00835502" w:rsidRDefault="00EC4AB5" w:rsidP="00987575">
      <w:pPr>
        <w:pStyle w:val="STPR2BulletsLevel1"/>
      </w:pPr>
      <w:r w:rsidRPr="003B7B82">
        <w:t>Chapter 1</w:t>
      </w:r>
      <w:r w:rsidRPr="008A265D">
        <w:t xml:space="preserve"> summarises the general background to STPR2 and </w:t>
      </w:r>
      <w:r w:rsidR="00BD1DD2" w:rsidRPr="008A265D">
        <w:t>EqIA</w:t>
      </w:r>
      <w:r w:rsidRPr="008A265D">
        <w:t xml:space="preserve"> and various impact assessments required for STPR2</w:t>
      </w:r>
      <w:r w:rsidR="004E66A1" w:rsidRPr="00215587">
        <w:t>.</w:t>
      </w:r>
    </w:p>
    <w:p w14:paraId="560E7512" w14:textId="632C660C" w:rsidR="00EC4AB5" w:rsidRPr="00890CC1" w:rsidRDefault="00EC4AB5">
      <w:pPr>
        <w:pStyle w:val="STPR2BulletsLevel1"/>
      </w:pPr>
      <w:r w:rsidRPr="003B7B82">
        <w:t>Chapter 2</w:t>
      </w:r>
      <w:r w:rsidRPr="008A265D">
        <w:t xml:space="preserve"> provides </w:t>
      </w:r>
      <w:r w:rsidR="00BD1DD2" w:rsidRPr="008A265D">
        <w:t>detail on the legislati</w:t>
      </w:r>
      <w:r w:rsidR="00855B7B" w:rsidRPr="00215587">
        <w:t>ve context for the EqIA</w:t>
      </w:r>
      <w:r w:rsidR="004E66A1" w:rsidRPr="00835502">
        <w:t>.</w:t>
      </w:r>
      <w:r w:rsidRPr="00890CC1">
        <w:t xml:space="preserve"> </w:t>
      </w:r>
    </w:p>
    <w:p w14:paraId="46302053" w14:textId="4937B6C1" w:rsidR="00EC4AB5" w:rsidRPr="00BB2D3F" w:rsidRDefault="00EC4AB5">
      <w:pPr>
        <w:pStyle w:val="STPR2BulletsLevel1"/>
      </w:pPr>
      <w:r w:rsidRPr="003B7B82">
        <w:t xml:space="preserve">Chapter </w:t>
      </w:r>
      <w:r w:rsidR="008A265D" w:rsidRPr="003B7B82">
        <w:t>3</w:t>
      </w:r>
      <w:r w:rsidR="00111051">
        <w:t xml:space="preserve"> presents a baseline summary of</w:t>
      </w:r>
      <w:r w:rsidR="00265D08">
        <w:t xml:space="preserve"> the</w:t>
      </w:r>
      <w:r w:rsidRPr="008A265D">
        <w:t xml:space="preserve"> </w:t>
      </w:r>
      <w:r w:rsidR="00177587" w:rsidRPr="00215587">
        <w:t>key equalities issues and evidence</w:t>
      </w:r>
      <w:r w:rsidR="00265D08" w:rsidRPr="00835502">
        <w:t xml:space="preserve"> for groups with protected characteristics pertinent to STPR2</w:t>
      </w:r>
      <w:r w:rsidR="00111051" w:rsidRPr="00BB2D3F">
        <w:t xml:space="preserve">. </w:t>
      </w:r>
    </w:p>
    <w:p w14:paraId="3F54F588" w14:textId="1D6C0282" w:rsidR="00EC4AB5" w:rsidRPr="006B3245" w:rsidRDefault="00EC4AB5">
      <w:pPr>
        <w:pStyle w:val="STPR2BulletsLevel1"/>
      </w:pPr>
      <w:r w:rsidRPr="003B7B82">
        <w:t>Chapter</w:t>
      </w:r>
      <w:r w:rsidR="00A504A0" w:rsidRPr="003B7B82">
        <w:t xml:space="preserve"> </w:t>
      </w:r>
      <w:r w:rsidR="008A265D" w:rsidRPr="003B7B82">
        <w:t>4</w:t>
      </w:r>
      <w:r w:rsidRPr="00A504A0">
        <w:t xml:space="preserve"> </w:t>
      </w:r>
      <w:r w:rsidR="004E66A1" w:rsidRPr="00A504A0">
        <w:t>describes</w:t>
      </w:r>
      <w:r w:rsidRPr="00A504A0">
        <w:t xml:space="preserve"> the approach</w:t>
      </w:r>
      <w:r w:rsidR="004E66A1" w:rsidRPr="00A504A0">
        <w:t xml:space="preserve"> undertaken</w:t>
      </w:r>
      <w:r w:rsidRPr="00215587">
        <w:t xml:space="preserve"> to stakeholder engagement</w:t>
      </w:r>
      <w:r w:rsidR="004E66A1" w:rsidRPr="00835502">
        <w:t xml:space="preserve"> and</w:t>
      </w:r>
      <w:r w:rsidR="008F0C9D">
        <w:t> </w:t>
      </w:r>
      <w:r w:rsidR="004E66A1" w:rsidRPr="00835502">
        <w:t>consultation</w:t>
      </w:r>
      <w:r w:rsidR="00A504A0" w:rsidRPr="00890CC1">
        <w:t>.</w:t>
      </w:r>
      <w:r w:rsidRPr="00890CC1">
        <w:t xml:space="preserve"> </w:t>
      </w:r>
    </w:p>
    <w:p w14:paraId="5A419D8F" w14:textId="05CDEED4" w:rsidR="008A265D" w:rsidRPr="008A265D" w:rsidRDefault="008A265D">
      <w:pPr>
        <w:pStyle w:val="STPR2BulletsLevel1"/>
      </w:pPr>
      <w:r w:rsidRPr="003B7B82">
        <w:t xml:space="preserve">Chapter </w:t>
      </w:r>
      <w:r w:rsidR="00F812A8" w:rsidRPr="003B7B82">
        <w:t>5</w:t>
      </w:r>
      <w:r w:rsidRPr="008A265D">
        <w:t xml:space="preserve"> describes the approach to </w:t>
      </w:r>
      <w:r w:rsidR="00F812A8">
        <w:t>assessment</w:t>
      </w:r>
      <w:r w:rsidR="00A504A0">
        <w:t>.</w:t>
      </w:r>
    </w:p>
    <w:p w14:paraId="211E7E78" w14:textId="484FDC5C" w:rsidR="00EC4AB5" w:rsidRPr="00215587" w:rsidRDefault="00EC4AB5">
      <w:pPr>
        <w:pStyle w:val="STPR2BulletsLevel1"/>
      </w:pPr>
      <w:r w:rsidRPr="003B7B82">
        <w:t>Chapter 6</w:t>
      </w:r>
      <w:r w:rsidRPr="008A265D">
        <w:t xml:space="preserve"> </w:t>
      </w:r>
      <w:r w:rsidR="004E66A1">
        <w:t>provides</w:t>
      </w:r>
      <w:r w:rsidR="00B16DD4" w:rsidRPr="008A265D">
        <w:t xml:space="preserve"> the findings</w:t>
      </w:r>
      <w:r w:rsidR="00A504A0">
        <w:t xml:space="preserve"> of the assessment of impacts by STPR2 theme.</w:t>
      </w:r>
    </w:p>
    <w:p w14:paraId="2A67B20A" w14:textId="6F78229F" w:rsidR="00352646" w:rsidRDefault="00B16DD4" w:rsidP="0024488A">
      <w:pPr>
        <w:pStyle w:val="STPR2BulletsLevel1"/>
      </w:pPr>
      <w:r w:rsidRPr="003B7B82">
        <w:t>Chapter 7</w:t>
      </w:r>
      <w:r w:rsidRPr="008A265D">
        <w:t xml:space="preserve"> summarises high</w:t>
      </w:r>
      <w:r w:rsidR="001F7F22">
        <w:t>-</w:t>
      </w:r>
      <w:r w:rsidRPr="008A265D">
        <w:t>level recommendations</w:t>
      </w:r>
      <w:r w:rsidR="00A504A0">
        <w:t xml:space="preserve"> and considerations.</w:t>
      </w:r>
    </w:p>
    <w:p w14:paraId="08B5BBA2" w14:textId="1619B5E2" w:rsidR="00D40520" w:rsidRDefault="00C1750C" w:rsidP="0024488A">
      <w:pPr>
        <w:pStyle w:val="STPR2BodyText"/>
      </w:pPr>
      <w:r>
        <w:t xml:space="preserve">A glossary is also provided in </w:t>
      </w:r>
      <w:r w:rsidR="008F0C9D">
        <w:fldChar w:fldCharType="begin"/>
      </w:r>
      <w:r w:rsidR="008F0C9D">
        <w:instrText xml:space="preserve"> REF _Ref121234551 \n \h </w:instrText>
      </w:r>
      <w:r w:rsidR="008F0C9D">
        <w:fldChar w:fldCharType="separate"/>
      </w:r>
      <w:r w:rsidR="007F1A40">
        <w:t>Appendix A:</w:t>
      </w:r>
      <w:r w:rsidR="008F0C9D">
        <w:fldChar w:fldCharType="end"/>
      </w:r>
      <w:r>
        <w:t xml:space="preserve"> which explains the terminology used throughout this report.</w:t>
      </w:r>
      <w:r w:rsidR="007100CE">
        <w:t xml:space="preserve"> </w:t>
      </w:r>
      <w:r w:rsidR="008F0C9D">
        <w:fldChar w:fldCharType="begin"/>
      </w:r>
      <w:r w:rsidR="008F0C9D">
        <w:instrText xml:space="preserve"> REF _Ref121234565 \n \h </w:instrText>
      </w:r>
      <w:r w:rsidR="008F0C9D">
        <w:fldChar w:fldCharType="separate"/>
      </w:r>
      <w:r w:rsidR="007F1A40">
        <w:t>Appendix B:</w:t>
      </w:r>
      <w:r w:rsidR="008F0C9D">
        <w:fldChar w:fldCharType="end"/>
      </w:r>
      <w:r>
        <w:t xml:space="preserve"> presents the e</w:t>
      </w:r>
      <w:r w:rsidRPr="00E21654">
        <w:t xml:space="preserve">quality </w:t>
      </w:r>
      <w:r>
        <w:t>t</w:t>
      </w:r>
      <w:r w:rsidRPr="00E21654">
        <w:t xml:space="preserve">opics, </w:t>
      </w:r>
      <w:r>
        <w:t>o</w:t>
      </w:r>
      <w:r w:rsidRPr="00E21654">
        <w:t xml:space="preserve">bjectives and </w:t>
      </w:r>
      <w:r>
        <w:t>g</w:t>
      </w:r>
      <w:r w:rsidRPr="00E21654">
        <w:t xml:space="preserve">uidance </w:t>
      </w:r>
      <w:r>
        <w:t>q</w:t>
      </w:r>
      <w:r w:rsidRPr="00E21654">
        <w:t>uestions</w:t>
      </w:r>
      <w:r>
        <w:t>.</w:t>
      </w:r>
    </w:p>
    <w:p w14:paraId="6DFA013D" w14:textId="77777777" w:rsidR="00D40520" w:rsidRDefault="00D40520">
      <w:pPr>
        <w:rPr>
          <w:rFonts w:ascii="Arial" w:hAnsi="Arial" w:cs="Arial"/>
          <w:color w:val="000000"/>
          <w:sz w:val="24"/>
        </w:rPr>
      </w:pPr>
      <w:r>
        <w:br w:type="page"/>
      </w:r>
    </w:p>
    <w:p w14:paraId="2D32E9AE" w14:textId="288E5DE2" w:rsidR="000C6958" w:rsidRPr="00252B01" w:rsidRDefault="000C6958" w:rsidP="00252B01">
      <w:pPr>
        <w:pStyle w:val="Heading1"/>
      </w:pPr>
      <w:bookmarkStart w:id="255" w:name="_Toc88563897"/>
      <w:bookmarkStart w:id="256" w:name="_Toc88563898"/>
      <w:bookmarkStart w:id="257" w:name="_Toc88563899"/>
      <w:bookmarkStart w:id="258" w:name="_Toc88563900"/>
      <w:bookmarkStart w:id="259" w:name="_Toc88563901"/>
      <w:bookmarkStart w:id="260" w:name="_Toc88563902"/>
      <w:bookmarkStart w:id="261" w:name="_Toc88563903"/>
      <w:bookmarkStart w:id="262" w:name="_Toc88563904"/>
      <w:bookmarkStart w:id="263" w:name="_Toc88563905"/>
      <w:bookmarkStart w:id="264" w:name="_Toc88563906"/>
      <w:bookmarkStart w:id="265" w:name="_Toc88563907"/>
      <w:bookmarkStart w:id="266" w:name="_Toc88563908"/>
      <w:bookmarkStart w:id="267" w:name="_Toc88563909"/>
      <w:bookmarkStart w:id="268" w:name="_Toc88563910"/>
      <w:bookmarkStart w:id="269" w:name="_Toc88563911"/>
      <w:bookmarkStart w:id="270" w:name="_Toc88563912"/>
      <w:bookmarkStart w:id="271" w:name="_Toc88563913"/>
      <w:bookmarkStart w:id="272" w:name="_Toc88563914"/>
      <w:bookmarkStart w:id="273" w:name="_Toc88563915"/>
      <w:bookmarkStart w:id="274" w:name="_Toc88563916"/>
      <w:bookmarkStart w:id="275" w:name="_Toc88563917"/>
      <w:bookmarkStart w:id="276" w:name="_Toc88563918"/>
      <w:bookmarkStart w:id="277" w:name="_Toc88563919"/>
      <w:bookmarkStart w:id="278" w:name="_Toc88563920"/>
      <w:bookmarkStart w:id="279" w:name="_Toc88563921"/>
      <w:bookmarkStart w:id="280" w:name="_Toc88563922"/>
      <w:bookmarkStart w:id="281" w:name="_Toc88563923"/>
      <w:bookmarkStart w:id="282" w:name="_Toc88563924"/>
      <w:bookmarkStart w:id="283" w:name="_Toc88563925"/>
      <w:bookmarkStart w:id="284" w:name="_Toc88563926"/>
      <w:bookmarkStart w:id="285" w:name="_Toc88563927"/>
      <w:bookmarkStart w:id="286" w:name="_Toc88563928"/>
      <w:bookmarkStart w:id="287" w:name="_Toc88563929"/>
      <w:bookmarkStart w:id="288" w:name="_Toc88563930"/>
      <w:bookmarkStart w:id="289" w:name="_Toc88563931"/>
      <w:bookmarkStart w:id="290" w:name="_Toc88563932"/>
      <w:bookmarkStart w:id="291" w:name="_Toc88563933"/>
      <w:bookmarkStart w:id="292" w:name="_Toc88563934"/>
      <w:bookmarkStart w:id="293" w:name="_Toc88563935"/>
      <w:bookmarkStart w:id="294" w:name="_Toc88563936"/>
      <w:bookmarkStart w:id="295" w:name="_Toc88563937"/>
      <w:bookmarkStart w:id="296" w:name="_Toc88563938"/>
      <w:bookmarkStart w:id="297" w:name="_Toc88563939"/>
      <w:bookmarkStart w:id="298" w:name="_Toc88563940"/>
      <w:bookmarkStart w:id="299" w:name="_Toc88563941"/>
      <w:bookmarkStart w:id="300" w:name="_Toc88563942"/>
      <w:bookmarkStart w:id="301" w:name="_Toc88563943"/>
      <w:bookmarkStart w:id="302" w:name="_Toc88563944"/>
      <w:bookmarkStart w:id="303" w:name="_Toc88563945"/>
      <w:bookmarkStart w:id="304" w:name="_Toc88563946"/>
      <w:bookmarkStart w:id="305" w:name="_Toc88563947"/>
      <w:bookmarkStart w:id="306" w:name="_Toc88563948"/>
      <w:bookmarkStart w:id="307" w:name="_Toc88563949"/>
      <w:bookmarkStart w:id="308" w:name="_Toc88563950"/>
      <w:bookmarkStart w:id="309" w:name="_Toc88563951"/>
      <w:bookmarkStart w:id="310" w:name="_Toc88563952"/>
      <w:bookmarkStart w:id="311" w:name="_Toc88563953"/>
      <w:bookmarkStart w:id="312" w:name="_Toc88563954"/>
      <w:bookmarkStart w:id="313" w:name="_Toc88563955"/>
      <w:bookmarkStart w:id="314" w:name="_Toc88563956"/>
      <w:bookmarkStart w:id="315" w:name="_Toc88563957"/>
      <w:bookmarkStart w:id="316" w:name="_Toc88563958"/>
      <w:bookmarkStart w:id="317" w:name="_Toc88563959"/>
      <w:bookmarkStart w:id="318" w:name="_Toc88563960"/>
      <w:bookmarkStart w:id="319" w:name="_Toc88563961"/>
      <w:bookmarkStart w:id="320" w:name="_Toc88563962"/>
      <w:bookmarkStart w:id="321" w:name="_Toc88563963"/>
      <w:bookmarkStart w:id="322" w:name="_Toc88563964"/>
      <w:bookmarkStart w:id="323" w:name="_Toc81993584"/>
      <w:bookmarkStart w:id="324" w:name="_Toc12123378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252B01">
        <w:lastRenderedPageBreak/>
        <w:t>Legislati</w:t>
      </w:r>
      <w:r w:rsidR="00F94F12">
        <w:t>on</w:t>
      </w:r>
      <w:r w:rsidR="003135E7">
        <w:t xml:space="preserve"> </w:t>
      </w:r>
      <w:bookmarkEnd w:id="323"/>
      <w:r w:rsidR="00034943">
        <w:t>and Guidance</w:t>
      </w:r>
      <w:bookmarkEnd w:id="324"/>
    </w:p>
    <w:p w14:paraId="4F858DC0" w14:textId="6FB7C844" w:rsidR="005A6576" w:rsidRPr="0050037E" w:rsidRDefault="00AC6E5C" w:rsidP="00B06295">
      <w:pPr>
        <w:pStyle w:val="Heading2"/>
        <w:rPr>
          <w:rFonts w:eastAsia="Times New Roman"/>
        </w:rPr>
      </w:pPr>
      <w:bookmarkStart w:id="325" w:name="_Toc121233786"/>
      <w:r>
        <w:t>The Equality Act 2010 and Public Sector Equality Duty</w:t>
      </w:r>
      <w:bookmarkEnd w:id="325"/>
      <w:r>
        <w:t xml:space="preserve"> </w:t>
      </w:r>
    </w:p>
    <w:p w14:paraId="3D67146E" w14:textId="51171AC3" w:rsidR="005A6576" w:rsidRPr="005A6576" w:rsidRDefault="005A6576" w:rsidP="00C1750C">
      <w:pPr>
        <w:pStyle w:val="STPR2BodyText"/>
        <w:rPr>
          <w:sz w:val="26"/>
          <w:szCs w:val="26"/>
        </w:rPr>
      </w:pPr>
      <w:r w:rsidRPr="005A6576">
        <w:t xml:space="preserve">The Equality Act 2010 legally protects people from discrimination both in the workplace and in wider society. It ensures that individuals with the following nine protected characteristics </w:t>
      </w:r>
      <w:r w:rsidR="007F0565">
        <w:t>(and shown in Figure 2)</w:t>
      </w:r>
      <w:r w:rsidRPr="005A6576">
        <w:t xml:space="preserve"> are not indirectly or directly discriminated against:</w:t>
      </w:r>
      <w:r w:rsidR="007100CE">
        <w:t xml:space="preserve"> </w:t>
      </w:r>
    </w:p>
    <w:p w14:paraId="36878A37" w14:textId="591765DF" w:rsidR="005A6576" w:rsidRPr="005A6576" w:rsidRDefault="005A6576" w:rsidP="007C7756">
      <w:pPr>
        <w:pStyle w:val="STPR2BulletsLevel1"/>
      </w:pPr>
      <w:r w:rsidRPr="005A6576">
        <w:rPr>
          <w:b/>
          <w:bCs/>
        </w:rPr>
        <w:t>Age:</w:t>
      </w:r>
      <w:r w:rsidRPr="005A6576">
        <w:t> This refers to persons defined by either a particular age or a range of ages;</w:t>
      </w:r>
      <w:r w:rsidR="007100CE">
        <w:t xml:space="preserve"> </w:t>
      </w:r>
    </w:p>
    <w:p w14:paraId="08CE3A0C" w14:textId="6E28B0AC" w:rsidR="005A6576" w:rsidRPr="005A6576" w:rsidRDefault="005A6576" w:rsidP="00C23F99">
      <w:pPr>
        <w:pStyle w:val="STPR2BulletsLevel1"/>
      </w:pPr>
      <w:r w:rsidRPr="005A6576">
        <w:rPr>
          <w:b/>
          <w:bCs/>
        </w:rPr>
        <w:t>Disability:</w:t>
      </w:r>
      <w:r w:rsidRPr="005A6576">
        <w:t> A disabled person is defined as someone who has a physical or mental impairment (lasting more than a year) that has a substantial adverse effect on their ability to carry out normal day-to-day activities;</w:t>
      </w:r>
      <w:r w:rsidR="007100CE">
        <w:t xml:space="preserve"> </w:t>
      </w:r>
    </w:p>
    <w:p w14:paraId="6A959E92" w14:textId="5597E370" w:rsidR="005A6576" w:rsidRPr="005A6576" w:rsidRDefault="005A6576" w:rsidP="007F2389">
      <w:pPr>
        <w:pStyle w:val="STPR2BulletsLevel1"/>
      </w:pPr>
      <w:r w:rsidRPr="005A6576">
        <w:rPr>
          <w:b/>
          <w:bCs/>
        </w:rPr>
        <w:t>Gender Reassignment</w:t>
      </w:r>
      <w:r w:rsidRPr="005A6576">
        <w:t>: This refers to a person who is proposing to undergo, are undergoing, or have undergone a process for the purpose of reassigning their gender</w:t>
      </w:r>
      <w:r w:rsidR="008F0C9D">
        <w:t> </w:t>
      </w:r>
      <w:r w:rsidRPr="005A6576">
        <w:t>identity; </w:t>
      </w:r>
    </w:p>
    <w:p w14:paraId="08F13A6F" w14:textId="11B14D9E" w:rsidR="005A6576" w:rsidRPr="005A6576" w:rsidRDefault="005A6576">
      <w:pPr>
        <w:pStyle w:val="STPR2BulletsLevel1"/>
      </w:pPr>
      <w:r w:rsidRPr="005A6576">
        <w:rPr>
          <w:b/>
          <w:bCs/>
        </w:rPr>
        <w:t>Marriage and Civil Partnership:</w:t>
      </w:r>
      <w:r w:rsidRPr="005A6576">
        <w:t> Marriage can be between a man and a woman or between two people of the same sex. Civil partners must not be treated less favourably than married couples;</w:t>
      </w:r>
      <w:r w:rsidR="007100CE">
        <w:t xml:space="preserve"> </w:t>
      </w:r>
    </w:p>
    <w:p w14:paraId="295B5D50" w14:textId="1D4BBA2D" w:rsidR="005A6576" w:rsidRPr="005A6576" w:rsidRDefault="005A6576">
      <w:pPr>
        <w:pStyle w:val="STPR2BulletsLevel1"/>
      </w:pPr>
      <w:r w:rsidRPr="005A6576">
        <w:rPr>
          <w:b/>
          <w:bCs/>
        </w:rPr>
        <w:t>Pregnancy and Maternity</w:t>
      </w:r>
      <w:r w:rsidRPr="005A6576">
        <w:t>: Pregnancy is the condition of being pregnant and expecting a baby. Maternity refers to the period after the birth. In the non-work context, protection against maternity discrimination is for 26 weeks after giving birth;</w:t>
      </w:r>
      <w:r w:rsidR="007100CE">
        <w:t xml:space="preserve"> </w:t>
      </w:r>
    </w:p>
    <w:p w14:paraId="31178740" w14:textId="77777777" w:rsidR="005A6576" w:rsidRPr="005A6576" w:rsidRDefault="005A6576">
      <w:pPr>
        <w:pStyle w:val="STPR2BulletsLevel1"/>
      </w:pPr>
      <w:r w:rsidRPr="005A6576">
        <w:rPr>
          <w:b/>
          <w:bCs/>
        </w:rPr>
        <w:t>Race</w:t>
      </w:r>
      <w:r w:rsidRPr="005A6576">
        <w:t>: Under the Equality Act 2010 race includes colour, nationality (including citizenship) and ethnic or national origins; </w:t>
      </w:r>
    </w:p>
    <w:p w14:paraId="6EAC7D23" w14:textId="03C95BD1" w:rsidR="005A6576" w:rsidRPr="005A6576" w:rsidRDefault="005A6576">
      <w:pPr>
        <w:pStyle w:val="STPR2BulletsLevel1"/>
      </w:pPr>
      <w:r w:rsidRPr="005A6576">
        <w:rPr>
          <w:b/>
          <w:bCs/>
        </w:rPr>
        <w:t>Religion or Belief:</w:t>
      </w:r>
      <w:r w:rsidRPr="005A6576">
        <w:t> Religion means any religion and a reference to religion includes a reference to a lack of religion. Belief means any religious or philosophical belief and a reference to belief includes a reference to a lack of belief;</w:t>
      </w:r>
      <w:r w:rsidR="007100CE">
        <w:t xml:space="preserve"> </w:t>
      </w:r>
    </w:p>
    <w:p w14:paraId="6A498E37" w14:textId="77777777" w:rsidR="005A6576" w:rsidRPr="005A6576" w:rsidRDefault="005A6576">
      <w:pPr>
        <w:pStyle w:val="STPR2BulletsLevel1"/>
      </w:pPr>
      <w:r w:rsidRPr="005A6576">
        <w:rPr>
          <w:b/>
          <w:bCs/>
        </w:rPr>
        <w:t>Sex:</w:t>
      </w:r>
      <w:r w:rsidRPr="005A6576">
        <w:t> This refers to a man or to a woman, or to a group of people of the same sex; and, </w:t>
      </w:r>
    </w:p>
    <w:p w14:paraId="22E1C067" w14:textId="417ABEB9" w:rsidR="005A6576" w:rsidRDefault="005A6576">
      <w:pPr>
        <w:pStyle w:val="STPR2BulletsLevel1"/>
      </w:pPr>
      <w:r w:rsidRPr="005A6576">
        <w:rPr>
          <w:b/>
          <w:bCs/>
        </w:rPr>
        <w:t>Sexual Orientation:</w:t>
      </w:r>
      <w:r w:rsidRPr="005A6576">
        <w:t> this means a person's sexual orientation towards persons of the same sex, persons of the opposite sex, or persons of either sex. </w:t>
      </w:r>
    </w:p>
    <w:p w14:paraId="7EE95CCB" w14:textId="0B97E8A4" w:rsidR="00E71BD3" w:rsidRPr="005A6576" w:rsidRDefault="00E71BD3">
      <w:pPr>
        <w:pStyle w:val="STPR2BodyText"/>
        <w:rPr>
          <w:sz w:val="26"/>
          <w:szCs w:val="26"/>
        </w:rPr>
      </w:pPr>
      <w:r w:rsidRPr="005A6576">
        <w:t xml:space="preserve">Section 149 of the </w:t>
      </w:r>
      <w:r>
        <w:t xml:space="preserve">Equality </w:t>
      </w:r>
      <w:r w:rsidRPr="005A6576">
        <w:t>Act</w:t>
      </w:r>
      <w:r>
        <w:t xml:space="preserve"> 2010</w:t>
      </w:r>
      <w:r w:rsidRPr="005A6576">
        <w:t xml:space="preserve"> sets out the PSED, to which Transport Scotland is subject </w:t>
      </w:r>
      <w:r w:rsidR="005F7A03">
        <w:t>to</w:t>
      </w:r>
      <w:r w:rsidRPr="005A6576">
        <w:t xml:space="preserve"> in carrying out all its functions, including its consideration of </w:t>
      </w:r>
      <w:r>
        <w:t>STPR2</w:t>
      </w:r>
      <w:r w:rsidRPr="005A6576">
        <w:t>.</w:t>
      </w:r>
      <w:r>
        <w:t xml:space="preserve"> Regulation 5 of </w:t>
      </w:r>
      <w:r w:rsidRPr="00071D94">
        <w:t>the Equality Act 2010 (Specific Duties) (Scotland) Regulations 2012</w:t>
      </w:r>
      <w:r w:rsidRPr="005A6576">
        <w:t> </w:t>
      </w:r>
      <w:r>
        <w:t xml:space="preserve">requires that Transport Scotland </w:t>
      </w:r>
      <w:r w:rsidRPr="005A6576">
        <w:t>as a listed authority undertake</w:t>
      </w:r>
      <w:r>
        <w:t>s</w:t>
      </w:r>
      <w:r w:rsidRPr="005A6576">
        <w:t xml:space="preserve"> an impact assessment in relation to the needs outlined in </w:t>
      </w:r>
      <w:r>
        <w:t xml:space="preserve">the </w:t>
      </w:r>
      <w:r w:rsidRPr="00F62551">
        <w:t>PSED</w:t>
      </w:r>
      <w:r w:rsidRPr="005A6576">
        <w:t xml:space="preserve">. </w:t>
      </w:r>
      <w:r>
        <w:t xml:space="preserve">Specifically, </w:t>
      </w:r>
      <w:r w:rsidRPr="005A6576">
        <w:t>Regulation 5 states that ‘</w:t>
      </w:r>
      <w:r w:rsidRPr="00022500">
        <w:t>a listed authority must, where and to the extent necessary to fulfil the equality duty, assess the impact of applying a proposed new or revised policy or practice against the needs mentioned in section 149(1) of the Act’</w:t>
      </w:r>
      <w:r w:rsidRPr="005A6576">
        <w:rPr>
          <w:i/>
          <w:iCs/>
        </w:rPr>
        <w:t>.</w:t>
      </w:r>
      <w:r w:rsidR="007100CE">
        <w:t xml:space="preserve"> </w:t>
      </w:r>
      <w:r w:rsidRPr="005A6576">
        <w:t>Those subject to the PSED must, in the exercise of their functions, have due regard to the need to: </w:t>
      </w:r>
    </w:p>
    <w:p w14:paraId="5999DFBD" w14:textId="77777777" w:rsidR="00E71BD3" w:rsidRPr="005A6576" w:rsidRDefault="00E71BD3" w:rsidP="009518CA">
      <w:pPr>
        <w:pStyle w:val="STPR2BulletsLevel1"/>
      </w:pPr>
      <w:r w:rsidRPr="005A6576">
        <w:t>Eliminate discrimination, harassment, victimisation and any other conduct that is prohibited by or under this Act; </w:t>
      </w:r>
    </w:p>
    <w:p w14:paraId="7F294992" w14:textId="77777777" w:rsidR="00E71BD3" w:rsidRPr="005A6576" w:rsidRDefault="00E71BD3" w:rsidP="009518CA">
      <w:pPr>
        <w:pStyle w:val="STPR2BulletsLevel1"/>
      </w:pPr>
      <w:r w:rsidRPr="005A6576">
        <w:t>Advance equality of opportunity between persons who share a relevant protected characteristic and persons who do not share it; and, </w:t>
      </w:r>
    </w:p>
    <w:p w14:paraId="58999008" w14:textId="715AD060" w:rsidR="00E71BD3" w:rsidRDefault="00E71BD3" w:rsidP="009518CA">
      <w:pPr>
        <w:pStyle w:val="STPR2BulletsLevel1"/>
      </w:pPr>
      <w:r w:rsidRPr="005A6576">
        <w:t>Foster good relations between persons who share a relevant protected characteristic and persons who do not share it. </w:t>
      </w:r>
    </w:p>
    <w:p w14:paraId="65AE7464" w14:textId="5A85FB23" w:rsidR="00E71BD3" w:rsidRDefault="667EAB65" w:rsidP="00022500">
      <w:pPr>
        <w:pStyle w:val="STPR2BulletsLevel1"/>
        <w:numPr>
          <w:ilvl w:val="0"/>
          <w:numId w:val="0"/>
        </w:numPr>
        <w:ind w:left="360"/>
      </w:pPr>
      <w:r>
        <w:rPr>
          <w:noProof/>
        </w:rPr>
        <w:lastRenderedPageBreak/>
        <w:drawing>
          <wp:inline distT="0" distB="0" distL="0" distR="0" wp14:anchorId="61004C1F" wp14:editId="2AF85BDD">
            <wp:extent cx="5629275" cy="4602234"/>
            <wp:effectExtent l="0" t="0" r="0" b="825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dec="http://schemas.microsoft.com/office/drawing/2017/decorative" xmlns:asvg="http://schemas.microsoft.com/office/drawing/2016/SVG/main" xmlns:a14="http://schemas.microsoft.com/office/drawing/2010/main" xmlns:a16="http://schemas.microsoft.com/office/drawing/2014/main" id="{52392027-D8AE-4370-A5E9-B5AF778B426F}"/>
                        </a:ext>
                      </a:extLst>
                    </a:blip>
                    <a:srcRect l="20244" r="21875" b="279"/>
                    <a:stretch>
                      <a:fillRect/>
                    </a:stretch>
                  </pic:blipFill>
                  <pic:spPr>
                    <a:xfrm>
                      <a:off x="0" y="0"/>
                      <a:ext cx="5629275" cy="4602234"/>
                    </a:xfrm>
                    <a:prstGeom prst="rect">
                      <a:avLst/>
                    </a:prstGeom>
                  </pic:spPr>
                </pic:pic>
              </a:graphicData>
            </a:graphic>
          </wp:inline>
        </w:drawing>
      </w:r>
    </w:p>
    <w:p w14:paraId="399D429C" w14:textId="444FC159" w:rsidR="00835502" w:rsidRPr="00731A9E" w:rsidRDefault="00835502" w:rsidP="00731A9E">
      <w:pPr>
        <w:pStyle w:val="Caption"/>
        <w:rPr>
          <w:rFonts w:ascii="Arial" w:hAnsi="Arial" w:cs="Arial"/>
          <w:b/>
          <w:i w:val="0"/>
          <w:sz w:val="24"/>
          <w:szCs w:val="24"/>
        </w:rPr>
      </w:pPr>
      <w:r w:rsidRPr="00022500">
        <w:rPr>
          <w:rFonts w:ascii="Arial" w:hAnsi="Arial" w:cs="Arial"/>
          <w:b/>
          <w:i w:val="0"/>
          <w:sz w:val="24"/>
          <w:szCs w:val="24"/>
        </w:rPr>
        <w:t xml:space="preserve">Figure </w:t>
      </w:r>
      <w:r w:rsidRPr="00022500">
        <w:rPr>
          <w:rFonts w:ascii="Arial" w:hAnsi="Arial" w:cs="Arial"/>
          <w:b/>
          <w:i w:val="0"/>
          <w:sz w:val="24"/>
          <w:szCs w:val="24"/>
        </w:rPr>
        <w:fldChar w:fldCharType="begin"/>
      </w:r>
      <w:r w:rsidRPr="00022500">
        <w:rPr>
          <w:rFonts w:ascii="Arial" w:hAnsi="Arial" w:cs="Arial"/>
          <w:b/>
          <w:i w:val="0"/>
          <w:sz w:val="24"/>
          <w:szCs w:val="24"/>
        </w:rPr>
        <w:instrText xml:space="preserve"> STYLEREF 1 \s </w:instrText>
      </w:r>
      <w:r w:rsidRPr="00022500">
        <w:rPr>
          <w:rFonts w:ascii="Arial" w:hAnsi="Arial" w:cs="Arial"/>
          <w:b/>
          <w:i w:val="0"/>
          <w:sz w:val="24"/>
          <w:szCs w:val="24"/>
        </w:rPr>
        <w:fldChar w:fldCharType="separate"/>
      </w:r>
      <w:r w:rsidR="007F1A40">
        <w:rPr>
          <w:rFonts w:ascii="Arial" w:hAnsi="Arial" w:cs="Arial"/>
          <w:b/>
          <w:i w:val="0"/>
          <w:noProof/>
          <w:sz w:val="24"/>
          <w:szCs w:val="24"/>
        </w:rPr>
        <w:t>2</w:t>
      </w:r>
      <w:r w:rsidRPr="00022500">
        <w:rPr>
          <w:rFonts w:ascii="Arial" w:hAnsi="Arial" w:cs="Arial"/>
          <w:b/>
          <w:i w:val="0"/>
          <w:sz w:val="24"/>
          <w:szCs w:val="24"/>
        </w:rPr>
        <w:fldChar w:fldCharType="end"/>
      </w:r>
      <w:r w:rsidRPr="00022500">
        <w:rPr>
          <w:rFonts w:ascii="Arial" w:hAnsi="Arial" w:cs="Arial"/>
          <w:b/>
          <w:i w:val="0"/>
          <w:sz w:val="24"/>
          <w:szCs w:val="24"/>
        </w:rPr>
        <w:t xml:space="preserve"> </w:t>
      </w:r>
      <w:r w:rsidR="00731A9E">
        <w:rPr>
          <w:rFonts w:ascii="Arial" w:hAnsi="Arial" w:cs="Arial"/>
          <w:b/>
          <w:bCs/>
          <w:i w:val="0"/>
          <w:iCs w:val="0"/>
          <w:sz w:val="24"/>
          <w:szCs w:val="24"/>
        </w:rPr>
        <w:t xml:space="preserve">– </w:t>
      </w:r>
      <w:r w:rsidRPr="00022500">
        <w:rPr>
          <w:rFonts w:ascii="Arial" w:hAnsi="Arial" w:cs="Arial"/>
          <w:b/>
          <w:i w:val="0"/>
          <w:sz w:val="24"/>
          <w:szCs w:val="24"/>
        </w:rPr>
        <w:t>Protected Characteristic Groups</w:t>
      </w:r>
    </w:p>
    <w:p w14:paraId="010C033A" w14:textId="51DB1B32" w:rsidR="0000326B" w:rsidRDefault="005A6576" w:rsidP="007C7756">
      <w:pPr>
        <w:pStyle w:val="STPR2BodyText"/>
      </w:pPr>
      <w:r w:rsidRPr="005A6576">
        <w:t xml:space="preserve">The three aims of the </w:t>
      </w:r>
      <w:r w:rsidR="00BA2D1F">
        <w:t>PSED</w:t>
      </w:r>
      <w:r w:rsidR="00BA2D1F" w:rsidRPr="005A6576">
        <w:t xml:space="preserve"> </w:t>
      </w:r>
      <w:r w:rsidRPr="005A6576">
        <w:t xml:space="preserve">apply to </w:t>
      </w:r>
      <w:r w:rsidR="00801748">
        <w:t>the</w:t>
      </w:r>
      <w:r w:rsidRPr="005A6576">
        <w:t xml:space="preserve"> protected characteristics provided for in section 149(7). Although marriage and civil partnership is a protected characteristic under the Equality Act, it</w:t>
      </w:r>
      <w:r w:rsidR="00D972A9">
        <w:t xml:space="preserve"> is only covered </w:t>
      </w:r>
      <w:r w:rsidRPr="005A6576">
        <w:t xml:space="preserve">by the PSED </w:t>
      </w:r>
      <w:r w:rsidR="00D972A9">
        <w:t xml:space="preserve">with regards to the </w:t>
      </w:r>
      <w:r w:rsidR="00884DE1">
        <w:t xml:space="preserve">first aim </w:t>
      </w:r>
      <w:r w:rsidRPr="005A6576">
        <w:t xml:space="preserve">and </w:t>
      </w:r>
      <w:r w:rsidR="004247A3">
        <w:t>only in the context of the workplace. T</w:t>
      </w:r>
      <w:r w:rsidRPr="005A6576">
        <w:t>herefore,</w:t>
      </w:r>
      <w:r w:rsidR="004247A3">
        <w:t xml:space="preserve"> marriage and civil partnership is</w:t>
      </w:r>
      <w:r w:rsidRPr="005A6576">
        <w:t> not considered as part of this E</w:t>
      </w:r>
      <w:r w:rsidR="000113A5">
        <w:t>q</w:t>
      </w:r>
      <w:r w:rsidRPr="005A6576">
        <w:t>IA. </w:t>
      </w:r>
    </w:p>
    <w:p w14:paraId="7DBCE936" w14:textId="5ABC0638" w:rsidR="005A6576" w:rsidRPr="0000326B" w:rsidRDefault="005A6576" w:rsidP="00C23F99">
      <w:pPr>
        <w:pStyle w:val="STPR2BodyText"/>
      </w:pPr>
      <w:r w:rsidRPr="005A6576">
        <w:t>The Equality Act 2010 explains that having due regard to the second aim involves:</w:t>
      </w:r>
      <w:r w:rsidR="007100CE">
        <w:t xml:space="preserve"> </w:t>
      </w:r>
    </w:p>
    <w:p w14:paraId="534BC80F" w14:textId="2391FBC7" w:rsidR="005A6576" w:rsidRPr="005A6576" w:rsidRDefault="005A6576" w:rsidP="007F2389">
      <w:pPr>
        <w:pStyle w:val="STPR2BulletsLevel1"/>
      </w:pPr>
      <w:r w:rsidRPr="005A6576">
        <w:t>Removing or minimising disadvantages affecting people due to their protected characteristics;</w:t>
      </w:r>
      <w:r w:rsidR="007100CE">
        <w:t xml:space="preserve"> </w:t>
      </w:r>
    </w:p>
    <w:p w14:paraId="1D46C2A4" w14:textId="77777777" w:rsidR="005A6576" w:rsidRPr="005A6576" w:rsidRDefault="005A6576">
      <w:pPr>
        <w:pStyle w:val="STPR2BulletsLevel1"/>
      </w:pPr>
      <w:r w:rsidRPr="005A6576">
        <w:t>Taking steps to meet the needs of people with certain protected characteristics where these are different from the needs of other people; and </w:t>
      </w:r>
    </w:p>
    <w:p w14:paraId="3EA5C33A" w14:textId="77777777" w:rsidR="005A6576" w:rsidRPr="005A6576" w:rsidRDefault="005A6576">
      <w:pPr>
        <w:pStyle w:val="STPR2BulletsLevel1"/>
      </w:pPr>
      <w:r w:rsidRPr="005A6576">
        <w:t>Encouraging people with certain protected characteristics to participate in public life or in other activities where their participation is disproportionately low. </w:t>
      </w:r>
    </w:p>
    <w:p w14:paraId="2D86E651" w14:textId="2807DFD2" w:rsidR="006C3AA9" w:rsidRDefault="005A6576">
      <w:pPr>
        <w:pStyle w:val="STPR2BodyText"/>
      </w:pPr>
      <w:r w:rsidRPr="005A6576">
        <w:t>The PSED requires public bodies to take proactive measures to address inequality and help contribute to the government’s commitment to tackle disadvantage and discrimination, advance equality of opportunity and encourage good relations between all</w:t>
      </w:r>
      <w:r w:rsidR="00731A9E">
        <w:t> </w:t>
      </w:r>
      <w:r w:rsidRPr="005A6576">
        <w:t>people.</w:t>
      </w:r>
    </w:p>
    <w:p w14:paraId="48C01E13" w14:textId="3AD1424E" w:rsidR="00E03789" w:rsidRPr="00C91706" w:rsidRDefault="0023068C" w:rsidP="005853BB">
      <w:pPr>
        <w:pStyle w:val="Heading2"/>
        <w:rPr>
          <w:rFonts w:eastAsia="Times New Roman"/>
          <w:color w:val="000000"/>
          <w:sz w:val="24"/>
          <w:shd w:val="clear" w:color="auto" w:fill="FFFFFF"/>
        </w:rPr>
      </w:pPr>
      <w:bookmarkStart w:id="326" w:name="_Toc121233787"/>
      <w:r>
        <w:lastRenderedPageBreak/>
        <w:t xml:space="preserve">Technical Guidance on the Public Sector </w:t>
      </w:r>
      <w:r w:rsidR="00851B54">
        <w:t>Equality</w:t>
      </w:r>
      <w:r>
        <w:t xml:space="preserve"> Duty</w:t>
      </w:r>
      <w:bookmarkEnd w:id="326"/>
      <w:r w:rsidR="00E03789">
        <w:t xml:space="preserve"> </w:t>
      </w:r>
    </w:p>
    <w:p w14:paraId="2EE47CC1" w14:textId="5CF60FAD" w:rsidR="001A4DC2" w:rsidRPr="001A4DC2" w:rsidRDefault="001A4DC2" w:rsidP="00C1750C">
      <w:pPr>
        <w:pStyle w:val="STPR2BodyText"/>
      </w:pPr>
      <w:r w:rsidRPr="001A4DC2">
        <w:t>To support Scottish public authorities in meeting their equality duties, the</w:t>
      </w:r>
      <w:r w:rsidR="00851B54">
        <w:t xml:space="preserve"> Equality and Human Rights</w:t>
      </w:r>
      <w:r w:rsidRPr="001A4DC2">
        <w:t xml:space="preserve"> Commission</w:t>
      </w:r>
      <w:r w:rsidR="00851B54">
        <w:t xml:space="preserve"> (EHRC)</w:t>
      </w:r>
      <w:r w:rsidRPr="001A4DC2">
        <w:t xml:space="preserve"> has </w:t>
      </w:r>
      <w:r w:rsidR="00C8586E" w:rsidRPr="001A4DC2">
        <w:t>produced</w:t>
      </w:r>
      <w:r w:rsidR="00C8586E">
        <w:t xml:space="preserve"> a</w:t>
      </w:r>
      <w:r w:rsidR="00746E59">
        <w:t xml:space="preserve"> guidance document</w:t>
      </w:r>
      <w:r w:rsidR="0044432D">
        <w:rPr>
          <w:rFonts w:ascii="Roboto" w:hAnsi="Roboto"/>
          <w:color w:val="364546"/>
        </w:rPr>
        <w:t xml:space="preserve"> </w:t>
      </w:r>
      <w:r w:rsidR="0044432D" w:rsidRPr="003149E5">
        <w:t>provid</w:t>
      </w:r>
      <w:r w:rsidR="00C8586E" w:rsidRPr="003149E5">
        <w:t>ing</w:t>
      </w:r>
      <w:r w:rsidR="0044432D" w:rsidRPr="003149E5">
        <w:t xml:space="preserve"> an authoritative, comprehensive and technical guide to the detail of the law in Scotland.</w:t>
      </w:r>
    </w:p>
    <w:p w14:paraId="0E92D361" w14:textId="257D8BC2" w:rsidR="001A4DC2" w:rsidRDefault="001A4DC2" w:rsidP="007C7756">
      <w:pPr>
        <w:pStyle w:val="STPR2BodyText"/>
      </w:pPr>
      <w:r w:rsidRPr="001A4DC2">
        <w:t>The guide provide</w:t>
      </w:r>
      <w:r w:rsidR="0025750E">
        <w:t>s</w:t>
      </w:r>
      <w:r w:rsidRPr="001A4DC2">
        <w:t xml:space="preserve"> an overview of the public sector equality duty, including the general equality duty, the specific duties and who they apply to. </w:t>
      </w:r>
      <w:r w:rsidR="00C96C57">
        <w:t>It</w:t>
      </w:r>
      <w:r w:rsidRPr="001A4DC2">
        <w:t xml:space="preserve"> cover</w:t>
      </w:r>
      <w:r w:rsidR="00C96C57">
        <w:t>s</w:t>
      </w:r>
      <w:r w:rsidRPr="001A4DC2">
        <w:t xml:space="preserve"> what public authorities should do to meet the duty, including steps that are legally required, as well as recommended actions.</w:t>
      </w:r>
    </w:p>
    <w:p w14:paraId="2671B0E1" w14:textId="5122514E" w:rsidR="00AB4F61" w:rsidRPr="00B67318" w:rsidRDefault="00AB4F61" w:rsidP="007F2389">
      <w:pPr>
        <w:pStyle w:val="STPR2BodyText"/>
      </w:pPr>
      <w:r>
        <w:br w:type="page"/>
      </w:r>
    </w:p>
    <w:p w14:paraId="45F9FBBB" w14:textId="76F9A772" w:rsidR="00AB4F61" w:rsidRDefault="00AB4F61" w:rsidP="008E6912">
      <w:pPr>
        <w:pStyle w:val="Heading1"/>
      </w:pPr>
      <w:bookmarkStart w:id="327" w:name="_Toc81993593"/>
      <w:bookmarkStart w:id="328" w:name="_Toc121233788"/>
      <w:r>
        <w:lastRenderedPageBreak/>
        <w:t>Baseline</w:t>
      </w:r>
      <w:r w:rsidRPr="001728BB">
        <w:t xml:space="preserve"> </w:t>
      </w:r>
      <w:r>
        <w:t>Summary</w:t>
      </w:r>
      <w:bookmarkEnd w:id="327"/>
      <w:bookmarkEnd w:id="328"/>
    </w:p>
    <w:p w14:paraId="55631477" w14:textId="77777777" w:rsidR="003F6F01" w:rsidRDefault="003F6F01" w:rsidP="003F6F01">
      <w:pPr>
        <w:pStyle w:val="Heading2"/>
      </w:pPr>
      <w:bookmarkStart w:id="329" w:name="_Toc120096720"/>
      <w:bookmarkStart w:id="330" w:name="_Toc121233789"/>
      <w:r>
        <w:t>Introduction</w:t>
      </w:r>
      <w:bookmarkEnd w:id="329"/>
      <w:bookmarkEnd w:id="330"/>
    </w:p>
    <w:p w14:paraId="223B1A63" w14:textId="787D85A7" w:rsidR="00AB4F61" w:rsidRDefault="00AB4F61" w:rsidP="00C1750C">
      <w:pPr>
        <w:pStyle w:val="STPR2BodyText"/>
      </w:pPr>
      <w:r w:rsidRPr="00173397">
        <w:t xml:space="preserve">The key information which supports the assessment presented in this report </w:t>
      </w:r>
      <w:r w:rsidR="00BA2407">
        <w:t>has been developed thr</w:t>
      </w:r>
      <w:r w:rsidR="00CC5F44">
        <w:t xml:space="preserve">oughout the STPR2 process </w:t>
      </w:r>
      <w:r w:rsidR="00F93958">
        <w:t>with</w:t>
      </w:r>
      <w:r w:rsidR="00CC5F44">
        <w:t xml:space="preserve"> a full evidence base prepared as part of the EqIA </w:t>
      </w:r>
      <w:r w:rsidR="00F93958">
        <w:t>S</w:t>
      </w:r>
      <w:r w:rsidR="00CC5F44">
        <w:t xml:space="preserve">coping </w:t>
      </w:r>
      <w:r w:rsidR="00F93958">
        <w:t>r</w:t>
      </w:r>
      <w:r w:rsidR="00CC5F44">
        <w:t>eport</w:t>
      </w:r>
      <w:r w:rsidRPr="00326D23">
        <w:t xml:space="preserve">. A summary of the key </w:t>
      </w:r>
      <w:r>
        <w:t>evidence</w:t>
      </w:r>
      <w:r w:rsidRPr="00326D23">
        <w:t xml:space="preserve"> and assumptions relevant to each of the </w:t>
      </w:r>
      <w:r w:rsidR="005714F8">
        <w:t xml:space="preserve">protected characteristics groups considered under the </w:t>
      </w:r>
      <w:r w:rsidRPr="00326D23">
        <w:t>E</w:t>
      </w:r>
      <w:r w:rsidR="006B2F59">
        <w:t>q</w:t>
      </w:r>
      <w:r w:rsidRPr="00326D23">
        <w:t xml:space="preserve">IA is provided </w:t>
      </w:r>
      <w:r w:rsidR="006B2F59">
        <w:t>below</w:t>
      </w:r>
      <w:r w:rsidRPr="00326D23">
        <w:t xml:space="preserve">. </w:t>
      </w:r>
    </w:p>
    <w:p w14:paraId="50701F8E" w14:textId="28609275" w:rsidR="00AB4F61" w:rsidRDefault="00404277" w:rsidP="00B843CF">
      <w:pPr>
        <w:pStyle w:val="Heading2"/>
      </w:pPr>
      <w:bookmarkStart w:id="331" w:name="_Toc121233790"/>
      <w:r w:rsidRPr="00404277">
        <w:t>Age</w:t>
      </w:r>
      <w:bookmarkEnd w:id="331"/>
    </w:p>
    <w:p w14:paraId="4DAA574A" w14:textId="19B1B7A7" w:rsidR="002E370E" w:rsidRPr="002E370E" w:rsidRDefault="00A836C7" w:rsidP="00C1750C">
      <w:pPr>
        <w:pStyle w:val="STPR2BodyText"/>
      </w:pPr>
      <w:r>
        <w:t>P</w:t>
      </w:r>
      <w:r w:rsidR="002E370E">
        <w:t>opulation estimates show that 64% of the population are between the age of 16-64, 19% of the population are 65 and over</w:t>
      </w:r>
      <w:r w:rsidR="009E3D0E">
        <w:t>, and</w:t>
      </w:r>
      <w:r w:rsidR="002E370E">
        <w:t xml:space="preserve"> 17% under the age of 15</w:t>
      </w:r>
      <w:r w:rsidR="00713809">
        <w:t>.</w:t>
      </w:r>
      <w:r w:rsidR="00B02560">
        <w:t xml:space="preserve"> </w:t>
      </w:r>
      <w:r w:rsidR="002E370E">
        <w:t xml:space="preserve">Recent data shows an increase in the average age of the population </w:t>
      </w:r>
      <w:r w:rsidR="00027328">
        <w:t>with</w:t>
      </w:r>
      <w:r w:rsidR="00FF59C3">
        <w:t>in the</w:t>
      </w:r>
      <w:r w:rsidR="002E370E">
        <w:t xml:space="preserve"> 65</w:t>
      </w:r>
      <w:r w:rsidR="00027328">
        <w:t xml:space="preserve"> years and over</w:t>
      </w:r>
      <w:r w:rsidR="002E370E">
        <w:t xml:space="preserve"> age bracket </w:t>
      </w:r>
      <w:r w:rsidR="00027328">
        <w:t xml:space="preserve">growing by </w:t>
      </w:r>
      <w:r w:rsidR="006A5EBD">
        <w:t>33% in the period 2000 to 2021</w:t>
      </w:r>
      <w:r w:rsidR="00AF08FB">
        <w:t xml:space="preserve"> (</w:t>
      </w:r>
      <w:r w:rsidR="00AF08FB" w:rsidRPr="00D70AF7">
        <w:t>National Records of Scotland, 2021)</w:t>
      </w:r>
      <w:r w:rsidR="002E370E">
        <w:t xml:space="preserve">. </w:t>
      </w:r>
    </w:p>
    <w:p w14:paraId="5AFF85BF" w14:textId="29954A27" w:rsidR="00565BF2" w:rsidRPr="00565BF2" w:rsidRDefault="00565BF2" w:rsidP="007775AD">
      <w:pPr>
        <w:pStyle w:val="Heading3"/>
      </w:pPr>
      <w:bookmarkStart w:id="332" w:name="_Toc121233791"/>
      <w:r>
        <w:t>Children and young people</w:t>
      </w:r>
      <w:bookmarkEnd w:id="332"/>
    </w:p>
    <w:p w14:paraId="1D9DC68A" w14:textId="6C5DA08F" w:rsidR="006E02D0" w:rsidRDefault="008F5151" w:rsidP="00C1750C">
      <w:pPr>
        <w:pStyle w:val="STPR2BulletsLevel1"/>
      </w:pPr>
      <w:r>
        <w:t>The key factors affecting the ability of children and young people to access transport options are their socio-economic background, geographical location and the accessibility and safety of public transport</w:t>
      </w:r>
      <w:r w:rsidR="008D19EA">
        <w:t xml:space="preserve"> and active travel </w:t>
      </w:r>
      <w:r w:rsidR="00C232E1">
        <w:t>facilities</w:t>
      </w:r>
      <w:r>
        <w:t xml:space="preserve"> available. The ability to access safe, convenient and cost-effective transport </w:t>
      </w:r>
      <w:r w:rsidR="00FB3D19">
        <w:t xml:space="preserve">in turn </w:t>
      </w:r>
      <w:r>
        <w:t>has an impact on access</w:t>
      </w:r>
      <w:r w:rsidR="00FB3D19">
        <w:t xml:space="preserve"> to</w:t>
      </w:r>
      <w:r>
        <w:t xml:space="preserve"> education, public services and economic opportunities, particularly for children from deprived socio-economic backgrounds. </w:t>
      </w:r>
    </w:p>
    <w:p w14:paraId="25C103AE" w14:textId="3BC48534" w:rsidR="008E0A2F" w:rsidRDefault="008E0A2F" w:rsidP="007C7756">
      <w:pPr>
        <w:pStyle w:val="STPR2BulletsLevel1"/>
      </w:pPr>
      <w:r>
        <w:t xml:space="preserve">Safety is a key issue for children with regards to transport. There were 331 child pedestrian casualties recorded in Scotland in 2019, accounting for 44% of all pedestrian casualties (Transport Scotland, </w:t>
      </w:r>
      <w:r w:rsidR="00DB0123" w:rsidRPr="00391EF0">
        <w:t>Jul</w:t>
      </w:r>
      <w:r w:rsidR="00882DFE">
        <w:t>y</w:t>
      </w:r>
      <w:r w:rsidR="00DB0123">
        <w:t xml:space="preserve"> </w:t>
      </w:r>
      <w:r>
        <w:t>2020). In particular</w:t>
      </w:r>
      <w:r w:rsidR="00882DFE">
        <w:t>,</w:t>
      </w:r>
      <w:r>
        <w:t xml:space="preserve"> children from deprived areas and certain ethnic groups are more at risk. </w:t>
      </w:r>
      <w:r w:rsidR="001D09DD">
        <w:t>According to the World Health Organisation, the relationship between speed and injury severity is particularly critical for pedestrians and cyclists. For example, pedestrians have been shown to have a 90% chance of survival when struck by a car travelling at 30km/h or below, but less than 50% chance of surviving an impact at 45km/h. Pedestrians have almost no chance of surviving an impact at 80km/h.</w:t>
      </w:r>
    </w:p>
    <w:p w14:paraId="5F7A7A1F" w14:textId="748C130F" w:rsidR="00565BF2" w:rsidRDefault="003A2827" w:rsidP="00C23F99">
      <w:pPr>
        <w:pStyle w:val="STPR2BulletsLevel1"/>
      </w:pPr>
      <w:r>
        <w:t xml:space="preserve">According to the Scottish Health Survey, 26% of children aged 2-15 </w:t>
      </w:r>
      <w:r w:rsidR="003A07AD">
        <w:t>are</w:t>
      </w:r>
      <w:r>
        <w:t xml:space="preserve"> at risk of being overweight, including 13% at risk of obesity</w:t>
      </w:r>
      <w:r w:rsidR="00DE7F7C">
        <w:t xml:space="preserve"> (Scottish Government, March 2018)</w:t>
      </w:r>
      <w:r>
        <w:t xml:space="preserve">. </w:t>
      </w:r>
      <w:r w:rsidR="002541DA">
        <w:t>Access to active travel and transport systems that encourage regular physical activity is an important factor in combating obesity as well as having beneficial impacts on mental health and wellbeing.</w:t>
      </w:r>
      <w:r w:rsidR="007100CE">
        <w:t xml:space="preserve"> </w:t>
      </w:r>
    </w:p>
    <w:p w14:paraId="4A3D2E9B" w14:textId="75D23C48" w:rsidR="0011140E" w:rsidRDefault="00B97635" w:rsidP="007F2389">
      <w:pPr>
        <w:pStyle w:val="STPR2BulletsLevel1"/>
      </w:pPr>
      <w:r>
        <w:t xml:space="preserve">Young people in rural areas and island communities are more dependent on public transport, particularly for accessing education and training. However, the high cost and low availability of public transport </w:t>
      </w:r>
      <w:r w:rsidR="00F65F59">
        <w:t xml:space="preserve">in these areas </w:t>
      </w:r>
      <w:r>
        <w:t>is a significant challenge for young people and can act as a barrier to their educational choices and overall progress into employment. Evidence suggests that young adults (</w:t>
      </w:r>
      <w:r w:rsidR="00F23DC0">
        <w:t xml:space="preserve">aged </w:t>
      </w:r>
      <w:r>
        <w:t>17 to 29) in urban areas are travelling less, domestically (particularly driving). Some of the reasons for this include increased urbanisation (and higher density developments), high costs of transport and relying more on technology for social interaction (Chatterjee K. et al., 2018).</w:t>
      </w:r>
    </w:p>
    <w:p w14:paraId="3ACE302C" w14:textId="09A8B71E" w:rsidR="00923886" w:rsidRDefault="0011140E" w:rsidP="00433F21">
      <w:pPr>
        <w:pStyle w:val="STPR2BulletsLevel1"/>
        <w:keepNext/>
        <w:keepLines/>
      </w:pPr>
      <w:r>
        <w:lastRenderedPageBreak/>
        <w:t>The e</w:t>
      </w:r>
      <w:r w:rsidR="00923886">
        <w:t>nvironmental impacts of traffic can disproportionately affect children. For example, evidence shows that traffic-related noise is correlated more broadly with lower health-related quality of life in children (Hjortebjerg, D. et al, 2015) and they are more vulnerable to the effects of poor air quality</w:t>
      </w:r>
      <w:r w:rsidR="005D63ED">
        <w:t xml:space="preserve"> from traffic-related emissions</w:t>
      </w:r>
      <w:r w:rsidR="00923886">
        <w:t xml:space="preserve"> compared to the overall population. Children are also more vulnerable to the environmental, safety and accessibility impacts of construction activities associated with new transport infrastructure or maintenance projects.</w:t>
      </w:r>
    </w:p>
    <w:p w14:paraId="61E21C79" w14:textId="444A4110" w:rsidR="00666165" w:rsidRDefault="00666165" w:rsidP="007775AD">
      <w:pPr>
        <w:pStyle w:val="Heading3"/>
      </w:pPr>
      <w:bookmarkStart w:id="333" w:name="_Toc121233792"/>
      <w:r>
        <w:t>Older people</w:t>
      </w:r>
      <w:bookmarkEnd w:id="333"/>
    </w:p>
    <w:p w14:paraId="717CED91" w14:textId="413C456A" w:rsidR="004A1B94" w:rsidRDefault="004A1B94" w:rsidP="00C1750C">
      <w:pPr>
        <w:pStyle w:val="STPR2BulletsLevel1"/>
      </w:pPr>
      <w:r>
        <w:t xml:space="preserve">Older people are more likely to use public transport for journeys in comparison to other age groups (Transport Scotland, </w:t>
      </w:r>
      <w:r w:rsidR="00B83A4D">
        <w:t>Sep</w:t>
      </w:r>
      <w:r w:rsidR="00E26A1E">
        <w:t>tember</w:t>
      </w:r>
      <w:r w:rsidR="00B83A4D">
        <w:t xml:space="preserve"> </w:t>
      </w:r>
      <w:r>
        <w:t>2020) and there has been a 2% increase in the number of people aged 60+ in possession of a concessionary bus pass between 2009 and 2019.</w:t>
      </w:r>
    </w:p>
    <w:p w14:paraId="5A8D4D91" w14:textId="7E9E9FE2" w:rsidR="00101AE1" w:rsidRDefault="00101AE1" w:rsidP="007C7756">
      <w:pPr>
        <w:pStyle w:val="STPR2BulletsLevel1"/>
      </w:pPr>
      <w:r w:rsidRPr="00B41337">
        <w:t>Accessibility issues are more likely to affect older people than other age groups with some older people having limited mobility, hearing or vision impairments</w:t>
      </w:r>
      <w:r w:rsidR="00E71A77">
        <w:t>;</w:t>
      </w:r>
      <w:r w:rsidRPr="00B41337">
        <w:t xml:space="preserve"> difficulties in understanding information or accessing digital resources</w:t>
      </w:r>
      <w:r w:rsidR="00E71A77">
        <w:t>;</w:t>
      </w:r>
      <w:r w:rsidRPr="00B41337">
        <w:t xml:space="preserve"> and difficulties in alighting to and from transport services</w:t>
      </w:r>
      <w:r w:rsidR="005852BB">
        <w:t>, using station facilities</w:t>
      </w:r>
      <w:r w:rsidRPr="00B41337">
        <w:t xml:space="preserve"> or standing for long periods of time. These factors may affect an older person’s ability to safely access and use public transport services.</w:t>
      </w:r>
      <w:r>
        <w:t xml:space="preserve"> </w:t>
      </w:r>
    </w:p>
    <w:p w14:paraId="14A90D42" w14:textId="361A74ED" w:rsidR="00BA5478" w:rsidRDefault="00072D46" w:rsidP="00C23F99">
      <w:pPr>
        <w:pStyle w:val="STPR2BulletsLevel1"/>
      </w:pPr>
      <w:r>
        <w:t>Older people can be disproportionately affected by environmental impacts of traffic. For example, evidence shows that traffic-related noise has increased health risks for</w:t>
      </w:r>
      <w:r w:rsidR="00207CE1">
        <w:t xml:space="preserve"> older people (Halonen. J</w:t>
      </w:r>
      <w:r w:rsidR="00B31854">
        <w:t>, Oct</w:t>
      </w:r>
      <w:r w:rsidR="000C7517">
        <w:t>ober</w:t>
      </w:r>
      <w:r w:rsidR="00B31854">
        <w:t xml:space="preserve"> 2015</w:t>
      </w:r>
      <w:r w:rsidR="00207CE1">
        <w:t>). and they are more vulnerable to the effects of poor air quality compared to the overall population. Older people are also more vulnerable to the environmental, safety and accessibility impacts of construction activities associated with new transport infrastructure or maintenance projects.</w:t>
      </w:r>
    </w:p>
    <w:p w14:paraId="6759E6E9" w14:textId="57C86001" w:rsidR="00404277" w:rsidRPr="00404277" w:rsidRDefault="00404277" w:rsidP="00B843CF">
      <w:pPr>
        <w:pStyle w:val="Heading2"/>
      </w:pPr>
      <w:bookmarkStart w:id="334" w:name="_Toc121233793"/>
      <w:r w:rsidRPr="00404277">
        <w:t>Disability</w:t>
      </w:r>
      <w:bookmarkEnd w:id="334"/>
    </w:p>
    <w:p w14:paraId="1D2BED76" w14:textId="26689B03" w:rsidR="00EA3AD9" w:rsidRDefault="00EA3AD9" w:rsidP="00C1750C">
      <w:pPr>
        <w:pStyle w:val="STPR2BulletsLevel1"/>
      </w:pPr>
      <w:r>
        <w:t>Around 24% of Scotland's population live with a long-term physical or mental health condition that limits their daily life. Yet, those with long-term limiting illnesses, including disabled people</w:t>
      </w:r>
      <w:r w:rsidR="00F314D8">
        <w:t>,</w:t>
      </w:r>
      <w:r>
        <w:t xml:space="preserve"> often experience higher levels of inequality.</w:t>
      </w:r>
    </w:p>
    <w:p w14:paraId="79050C1E" w14:textId="4C88CDB2" w:rsidR="008D5212" w:rsidRDefault="00DE629D" w:rsidP="007C7756">
      <w:pPr>
        <w:pStyle w:val="STPR2BulletsLevel1"/>
      </w:pPr>
      <w:r>
        <w:t xml:space="preserve">Accessible transport is an important aspect of enabling disabled people to enjoy equal access to full citizenship. Disabled adults are more likely to use the bus than non-disabled adults (11% of journeys </w:t>
      </w:r>
      <w:r w:rsidR="00664DD8">
        <w:t>compared to</w:t>
      </w:r>
      <w:r>
        <w:t xml:space="preserve"> 7%) (Transport Scotland, 2021).</w:t>
      </w:r>
      <w:r w:rsidR="008D5212">
        <w:t xml:space="preserve"> In 2019, 44% of sick or disabled adults had used a bus in the last month compared to 39% of all adults.</w:t>
      </w:r>
      <w:r w:rsidR="00ED738B">
        <w:rPr>
          <w:rStyle w:val="FootnoteReference"/>
        </w:rPr>
        <w:t xml:space="preserve"> </w:t>
      </w:r>
      <w:r w:rsidR="00ED738B">
        <w:t xml:space="preserve">(Transport Scotland, </w:t>
      </w:r>
      <w:r w:rsidR="00B33945">
        <w:t>Sep</w:t>
      </w:r>
      <w:r w:rsidR="00F3061F">
        <w:t>tember</w:t>
      </w:r>
      <w:r w:rsidR="00ED738B">
        <w:t xml:space="preserve"> 2020).</w:t>
      </w:r>
      <w:r w:rsidR="008D5212">
        <w:t xml:space="preserve"> However, they were less likely to use a train. </w:t>
      </w:r>
    </w:p>
    <w:p w14:paraId="1FF86851" w14:textId="374803A0" w:rsidR="00DE629D" w:rsidRDefault="00F44DA1" w:rsidP="00C23F99">
      <w:pPr>
        <w:pStyle w:val="STPR2BulletsLevel1"/>
      </w:pPr>
      <w:r>
        <w:t>There are a range of accessibility issues that may affect a disabled person’s ability to safely access and use public transport services. These include steps or multi</w:t>
      </w:r>
      <w:r w:rsidR="0012118D">
        <w:t>-</w:t>
      </w:r>
      <w:r>
        <w:t>layered stations, inaccessible transport information, lack of trained support staff and lack of accessible connectivity between modes.</w:t>
      </w:r>
    </w:p>
    <w:p w14:paraId="7C8F1970" w14:textId="5A92C2DB" w:rsidR="00F370DF" w:rsidRDefault="00F370DF" w:rsidP="007F2389">
      <w:pPr>
        <w:pStyle w:val="STPR2BulletsLevel1"/>
      </w:pPr>
      <w:r>
        <w:t xml:space="preserve">Cycling rates amongst disabled people are lower than those who are not disabled even though </w:t>
      </w:r>
      <w:r w:rsidR="007D515B">
        <w:t>6</w:t>
      </w:r>
      <w:r>
        <w:t>5% of disabled cyclists use their cycle as a mobility aid, with the same proportion finding cycling easier than walking. However, disabled cyclists cite inaccessible cycle infrastructure, cost of non-standard cycles and the inability to cycle in places where a mobility scooter would be allowed as the biggest barriers to</w:t>
      </w:r>
      <w:r w:rsidR="00FB3D62">
        <w:t xml:space="preserve"> </w:t>
      </w:r>
      <w:r w:rsidR="00FB3D62" w:rsidRPr="00FB3D62">
        <w:t>cycling (Wheels for Wellbeing, 20</w:t>
      </w:r>
      <w:r w:rsidR="00C36DAC">
        <w:t>20</w:t>
      </w:r>
      <w:r w:rsidR="00FB3D62" w:rsidRPr="00FB3D62">
        <w:t>)</w:t>
      </w:r>
      <w:r w:rsidR="00FB3D62">
        <w:t>.</w:t>
      </w:r>
    </w:p>
    <w:p w14:paraId="433D07DA" w14:textId="01B7AC55" w:rsidR="005714F8" w:rsidRPr="005714F8" w:rsidRDefault="005714F8" w:rsidP="00A42F44">
      <w:pPr>
        <w:pStyle w:val="Heading2"/>
      </w:pPr>
      <w:bookmarkStart w:id="335" w:name="_Toc121233794"/>
      <w:r w:rsidRPr="005714F8">
        <w:lastRenderedPageBreak/>
        <w:t>Gender reassignment</w:t>
      </w:r>
      <w:bookmarkEnd w:id="335"/>
    </w:p>
    <w:p w14:paraId="52661E18" w14:textId="691B6B56" w:rsidR="00483171" w:rsidRDefault="00483171" w:rsidP="00C1750C">
      <w:pPr>
        <w:pStyle w:val="STPR2BulletsLevel1"/>
      </w:pPr>
      <w:r>
        <w:t xml:space="preserve">There are no official statistics relating to gender reassignment in Scotland as the Census has previously only collected data relating to sex at birth. However, in the 2022 Census people will be able to self-identify as male or female allowing transgender people to answer a different sex to that on their birth certificate without the need for a Gender Recognition Certificate. A voluntary question about trans status or history will also be included for those aged 16 or over. This will provide an option to identify as non-binary. </w:t>
      </w:r>
    </w:p>
    <w:p w14:paraId="16DAA86D" w14:textId="62761E64" w:rsidR="00CB6BA5" w:rsidRDefault="00483171" w:rsidP="00C1750C">
      <w:pPr>
        <w:pStyle w:val="STPR2BulletsLevel1"/>
      </w:pPr>
      <w:r>
        <w:t>There is also limited data and evidence available on the experiences of transgender people.</w:t>
      </w:r>
      <w:r w:rsidR="005827D8">
        <w:t xml:space="preserve"> However</w:t>
      </w:r>
      <w:r w:rsidR="00490434">
        <w:t xml:space="preserve">, </w:t>
      </w:r>
      <w:r w:rsidR="0023345E">
        <w:t xml:space="preserve">research has </w:t>
      </w:r>
      <w:r w:rsidR="00487EF7">
        <w:t>identified</w:t>
      </w:r>
      <w:r w:rsidR="00CB6BA5">
        <w:t xml:space="preserve"> that trans people have lower income, and experience structural disadvantages in accessing employment and training opportunities, and are therefore at a higher risk of transport poverty (Scottish Transgender Alliance, 2008). </w:t>
      </w:r>
    </w:p>
    <w:p w14:paraId="79DE468C" w14:textId="24212554" w:rsidR="00183145" w:rsidRDefault="00183145" w:rsidP="007C7756">
      <w:pPr>
        <w:pStyle w:val="STPR2BulletsLevel1"/>
      </w:pPr>
      <w:r>
        <w:t>Transgender identity is also one of the protected characteristics covered by the hate crime legislation. Nearly half of transgender persons in Scotland experienced a transphobic hate crime or incident in the year previous to 2017, according to estimates</w:t>
      </w:r>
      <w:r w:rsidR="0040077B">
        <w:t xml:space="preserve"> (St</w:t>
      </w:r>
      <w:r w:rsidR="005168FA">
        <w:t>onewall Scotland, 2017).</w:t>
      </w:r>
      <w:r>
        <w:t xml:space="preserve"> For many transgender people, concerns about discrimination and harassment are part of their day to day lives, </w:t>
      </w:r>
      <w:r w:rsidR="004F7AC3">
        <w:t xml:space="preserve">and could affect </w:t>
      </w:r>
      <w:r w:rsidR="00457A3D">
        <w:t>their use of the transport network</w:t>
      </w:r>
      <w:r>
        <w:t>.</w:t>
      </w:r>
    </w:p>
    <w:p w14:paraId="62BCB2FE" w14:textId="2E84C14A" w:rsidR="005714F8" w:rsidRPr="005714F8" w:rsidRDefault="005714F8" w:rsidP="00A42F44">
      <w:pPr>
        <w:pStyle w:val="Heading2"/>
      </w:pPr>
      <w:bookmarkStart w:id="336" w:name="_Toc121233795"/>
      <w:r w:rsidRPr="005714F8">
        <w:t>Pregnancy and maternity</w:t>
      </w:r>
      <w:bookmarkEnd w:id="336"/>
    </w:p>
    <w:p w14:paraId="712180EE" w14:textId="06F83672" w:rsidR="00AB4F61" w:rsidRPr="00ED01E4" w:rsidRDefault="00AB4F61" w:rsidP="00C1750C">
      <w:pPr>
        <w:pStyle w:val="STPR2BulletsLevel1"/>
      </w:pPr>
      <w:r w:rsidRPr="005714F8">
        <w:rPr>
          <w:rFonts w:eastAsiaTheme="minorHAnsi"/>
        </w:rPr>
        <w:t xml:space="preserve">Pregnant women may be mobility restricted, particularly at later stages of pregnancy. Whilst pregnancy and maternity transect all of society, pregnant women from more deprived backgrounds are less likely to have access to a car and </w:t>
      </w:r>
      <w:r w:rsidR="00486499">
        <w:rPr>
          <w:rFonts w:eastAsiaTheme="minorHAnsi"/>
        </w:rPr>
        <w:t xml:space="preserve">be </w:t>
      </w:r>
      <w:r w:rsidRPr="005714F8">
        <w:rPr>
          <w:rFonts w:eastAsiaTheme="minorHAnsi"/>
        </w:rPr>
        <w:t>more reliant on public transport.</w:t>
      </w:r>
    </w:p>
    <w:p w14:paraId="43C78F5B" w14:textId="77777777" w:rsidR="00ED01E4" w:rsidRDefault="00ED01E4" w:rsidP="007C7756">
      <w:pPr>
        <w:pStyle w:val="STPR2BulletsLevel1"/>
      </w:pPr>
      <w:r>
        <w:t xml:space="preserve">Pregnant women are more vulnerable to the adverse effects of air pollution including </w:t>
      </w:r>
    </w:p>
    <w:p w14:paraId="73498A5D" w14:textId="0CAFB24E" w:rsidR="00ED01E4" w:rsidRDefault="00ED01E4" w:rsidP="00773A54">
      <w:pPr>
        <w:pStyle w:val="STPR2BulletsLevel1"/>
        <w:numPr>
          <w:ilvl w:val="0"/>
          <w:numId w:val="0"/>
        </w:numPr>
        <w:ind w:left="360"/>
      </w:pPr>
      <w:r>
        <w:t>an increasing risk of miscarriage (Leiser et al, 2019) as well premature births and low birth weights.</w:t>
      </w:r>
    </w:p>
    <w:p w14:paraId="12429A71" w14:textId="0E1AFE78" w:rsidR="005714F8" w:rsidRPr="005714F8" w:rsidRDefault="005714F8" w:rsidP="00A42F44">
      <w:pPr>
        <w:pStyle w:val="Heading2"/>
      </w:pPr>
      <w:bookmarkStart w:id="337" w:name="_Toc121233796"/>
      <w:r w:rsidRPr="005714F8">
        <w:t>Race/ethnicity</w:t>
      </w:r>
      <w:bookmarkEnd w:id="337"/>
    </w:p>
    <w:p w14:paraId="359085BE" w14:textId="4B581814" w:rsidR="003D0689" w:rsidRDefault="00F64897" w:rsidP="00C1750C">
      <w:pPr>
        <w:pStyle w:val="STPR2BulletsLevel1"/>
      </w:pPr>
      <w:r>
        <w:t xml:space="preserve">The last </w:t>
      </w:r>
      <w:r w:rsidR="00B306F6">
        <w:t>C</w:t>
      </w:r>
      <w:r>
        <w:t xml:space="preserve">ensus (2011) found that most of the population in Scotland was white, with only Glasgow having a white population of less than 90%. Asian, Asian Scottish or Asian British was the second largest ethnicity in Scotland (2.7%), with the largest populations being in Glasgow (8.1%), Edinburgh (5.5%) and East Renfrewshire (5.1%). </w:t>
      </w:r>
    </w:p>
    <w:p w14:paraId="1EAB2736" w14:textId="2E6AB54C" w:rsidR="00DB1515" w:rsidRDefault="00F62C8D" w:rsidP="007C7756">
      <w:pPr>
        <w:pStyle w:val="STPR2BulletsLevel1"/>
      </w:pPr>
      <w:r w:rsidRPr="00224D25">
        <w:t xml:space="preserve">According to the 2011 Census, </w:t>
      </w:r>
      <w:r>
        <w:t>certain ethnic minority h</w:t>
      </w:r>
      <w:r w:rsidRPr="00224D25">
        <w:t xml:space="preserve">ouseholds </w:t>
      </w:r>
      <w:r>
        <w:t>were</w:t>
      </w:r>
      <w:r w:rsidRPr="00224D25">
        <w:t xml:space="preserve"> most likely to have no car or van available</w:t>
      </w:r>
      <w:r w:rsidR="000E69FC">
        <w:t xml:space="preserve"> </w:t>
      </w:r>
      <w:r w:rsidR="00DB1515">
        <w:t>including</w:t>
      </w:r>
      <w:r w:rsidRPr="00224D25">
        <w:t xml:space="preserve"> 51% of African households, 39% of Caribbean or Black households and 36% of Chinese, Chinese Scottish or Chinese British</w:t>
      </w:r>
      <w:r w:rsidR="00433F21">
        <w:t> </w:t>
      </w:r>
      <w:r w:rsidR="00FA4EA6">
        <w:t>households</w:t>
      </w:r>
      <w:r>
        <w:t xml:space="preserve">. </w:t>
      </w:r>
    </w:p>
    <w:p w14:paraId="3D47C147" w14:textId="45BDD542" w:rsidR="00F62C8D" w:rsidRPr="0018327F" w:rsidRDefault="00F62C8D" w:rsidP="00C23F99">
      <w:pPr>
        <w:pStyle w:val="STPR2BulletsLevel1"/>
      </w:pPr>
      <w:r w:rsidRPr="00F30BAA">
        <w:t>Since ethnic minority groups are less likely to have access to a car and more likely to rely on public transport than other groups, issues of cost and safety may disproportionally impact these groups and affect the outcomes and opportunities available.</w:t>
      </w:r>
      <w:r>
        <w:t xml:space="preserve"> </w:t>
      </w:r>
      <w:r w:rsidRPr="0028601E">
        <w:t>Racial discrimination, harassment or abuse can create a barrier to travel for ethnic minority groups who are more likely to be subject to hate crimes.</w:t>
      </w:r>
    </w:p>
    <w:p w14:paraId="487D425F" w14:textId="41ADA954" w:rsidR="003605F4" w:rsidRPr="003605F4" w:rsidRDefault="003605F4" w:rsidP="00433F21">
      <w:pPr>
        <w:pStyle w:val="Heading2"/>
        <w:keepNext/>
        <w:keepLines/>
        <w:widowControl/>
      </w:pPr>
      <w:bookmarkStart w:id="338" w:name="_Toc121233797"/>
      <w:r w:rsidRPr="003605F4">
        <w:lastRenderedPageBreak/>
        <w:t>Religion/belief</w:t>
      </w:r>
      <w:bookmarkEnd w:id="338"/>
    </w:p>
    <w:p w14:paraId="4EBE7407" w14:textId="6208A035" w:rsidR="00574AC5" w:rsidRDefault="00195446" w:rsidP="00B216A7">
      <w:pPr>
        <w:pStyle w:val="STPR2BulletsLevel1"/>
        <w:rPr>
          <w:color w:val="414144"/>
          <w:sz w:val="28"/>
          <w:szCs w:val="28"/>
        </w:rPr>
      </w:pPr>
      <w:r>
        <w:t>Religion or belief is one of the protected characteristics covered by the hate crime legislation.</w:t>
      </w:r>
      <w:r w:rsidR="00AB4F61">
        <w:t xml:space="preserve"> </w:t>
      </w:r>
      <w:r w:rsidR="000318B0">
        <w:t xml:space="preserve">Roman Catholicism is the religion that was most often the subject of reported abuse, with 384 charges </w:t>
      </w:r>
      <w:r w:rsidR="00750838">
        <w:t>during</w:t>
      </w:r>
      <w:r w:rsidR="000318B0">
        <w:t xml:space="preserve"> 2016-17.</w:t>
      </w:r>
      <w:r w:rsidR="005C0E0C">
        <w:t xml:space="preserve"> </w:t>
      </w:r>
      <w:r w:rsidR="000318B0">
        <w:t>Protestantism and Islam are the religions that were subject to the next highest number of aggravations in 2016-17 followed by Judaism (Scottish Government Justice Analytical Services, 2017). These groups may have more concerns about experiencing discrimination, assault or harassment on the basis of religious identity whilst using public transport or public transport facilities.</w:t>
      </w:r>
    </w:p>
    <w:p w14:paraId="29F7D146" w14:textId="782EB554" w:rsidR="003605F4" w:rsidRPr="003605F4" w:rsidRDefault="003605F4" w:rsidP="00825380">
      <w:pPr>
        <w:pStyle w:val="Heading2"/>
      </w:pPr>
      <w:bookmarkStart w:id="339" w:name="_Toc121233798"/>
      <w:r w:rsidRPr="003605F4">
        <w:t>Sex</w:t>
      </w:r>
      <w:bookmarkEnd w:id="339"/>
    </w:p>
    <w:p w14:paraId="76144153" w14:textId="58AD8146" w:rsidR="00537484" w:rsidRDefault="00E24A7C" w:rsidP="00C1750C">
      <w:pPr>
        <w:pStyle w:val="STPR2BulletsLevel1"/>
      </w:pPr>
      <w:r>
        <w:t>T</w:t>
      </w:r>
      <w:r w:rsidR="00537484">
        <w:t xml:space="preserve">here is </w:t>
      </w:r>
      <w:r>
        <w:t xml:space="preserve">a </w:t>
      </w:r>
      <w:r w:rsidR="00537484">
        <w:t>disparity in how different sexes use transport. Men are more likely to hold a driving license than women (77% compared to 66%) and drive more frequently (49% drive every day compared to 38% of women). Men also walk and cycle more frequently. In 2017, women used the bus slightly more than men with 40% having used a bus in the last month compared to 37% of men, however there is little difference when comparing train use</w:t>
      </w:r>
      <w:r w:rsidR="00416B10">
        <w:t xml:space="preserve"> (Transport Scotland, </w:t>
      </w:r>
      <w:r w:rsidR="004B06D6">
        <w:t xml:space="preserve">Sep </w:t>
      </w:r>
      <w:r w:rsidR="00416B10" w:rsidRPr="005E70B3">
        <w:t>202</w:t>
      </w:r>
      <w:r w:rsidR="005E70B3" w:rsidRPr="005E70B3">
        <w:t>0</w:t>
      </w:r>
      <w:r w:rsidR="00416B10" w:rsidRPr="005E70B3">
        <w:t>).</w:t>
      </w:r>
    </w:p>
    <w:p w14:paraId="1A5E6EED" w14:textId="7FF6EC70" w:rsidR="00B33B45" w:rsidRDefault="00B33B45" w:rsidP="007C7756">
      <w:pPr>
        <w:pStyle w:val="STPR2BulletsLevel1"/>
      </w:pPr>
      <w:r>
        <w:t>Women are more likely to make multi-stop and multi-purpose trips, combining travel to work with trips for other purposes such as taking children to school, looking after family members or shopping</w:t>
      </w:r>
      <w:r w:rsidR="00566205">
        <w:t>,</w:t>
      </w:r>
      <w:r>
        <w:t xml:space="preserve"> and are more likely to walk, be a passenger in a car or </w:t>
      </w:r>
      <w:r w:rsidR="008D149E">
        <w:t>travel by</w:t>
      </w:r>
      <w:r>
        <w:t xml:space="preserve"> bus than men (Sustrans, 2018).</w:t>
      </w:r>
    </w:p>
    <w:p w14:paraId="056011B9" w14:textId="5674EA9F" w:rsidR="007F6749" w:rsidRDefault="007F6749" w:rsidP="00C23F99">
      <w:pPr>
        <w:pStyle w:val="STPR2BulletsLevel1"/>
      </w:pPr>
      <w:r>
        <w:t>Women’s concerns when traveling on public transport largely relate to gender-based violence and assault, including sexual harassment when travelling.</w:t>
      </w:r>
    </w:p>
    <w:p w14:paraId="40595AF5" w14:textId="4C57A95D" w:rsidR="00AB4F61" w:rsidRDefault="00210E43" w:rsidP="007F6749">
      <w:pPr>
        <w:pStyle w:val="Heading2"/>
      </w:pPr>
      <w:bookmarkStart w:id="340" w:name="_Toc121233799"/>
      <w:r w:rsidRPr="00210E43">
        <w:t>Sexual orientation</w:t>
      </w:r>
      <w:bookmarkEnd w:id="340"/>
    </w:p>
    <w:p w14:paraId="654E7AD9" w14:textId="019689AD" w:rsidR="000761CB" w:rsidRDefault="000761CB" w:rsidP="00C1750C">
      <w:pPr>
        <w:pStyle w:val="STPR2BulletsLevel1"/>
      </w:pPr>
      <w:r w:rsidRPr="000761CB">
        <w:t>In</w:t>
      </w:r>
      <w:r>
        <w:t xml:space="preserve"> the Scottish Surveys Core Questions 2019, an annual Official Statistics publication, 94.2% of adults identified with being heterosexual, with 2% identifying as lesbian, gay, bisexual or other (LGBO). The remaining respondents answered, “Don’t Know”. It is believed that this survey may undercount the number of adults self-identifying as LGBO as they may not feel comfortable with the interviewer (Scottish Government, 2019).</w:t>
      </w:r>
    </w:p>
    <w:p w14:paraId="7312B870" w14:textId="5A092914" w:rsidR="00FC2A1E" w:rsidRDefault="00FC2A1E" w:rsidP="007C7756">
      <w:pPr>
        <w:pStyle w:val="STPR2BulletsLevel1"/>
      </w:pPr>
      <w:r w:rsidRPr="00E770E0">
        <w:t>People in this group may be concerned about being able to access public transport and public transport facilities, especially at night when these may be poorly lit, for fear of harassment or discrimination.</w:t>
      </w:r>
    </w:p>
    <w:p w14:paraId="2C79CB5E" w14:textId="594A480D" w:rsidR="00433F21" w:rsidRDefault="00433F21" w:rsidP="00433F21">
      <w:pPr>
        <w:pStyle w:val="STPR2BulletsLevel1"/>
        <w:numPr>
          <w:ilvl w:val="0"/>
          <w:numId w:val="0"/>
        </w:numPr>
      </w:pPr>
      <w:r>
        <w:br w:type="page"/>
      </w:r>
    </w:p>
    <w:p w14:paraId="34EB7699" w14:textId="7657A5E8" w:rsidR="00AB4F61" w:rsidRDefault="00A75415" w:rsidP="00AB4F61">
      <w:pPr>
        <w:pStyle w:val="Heading1"/>
      </w:pPr>
      <w:bookmarkStart w:id="341" w:name="_Toc121233800"/>
      <w:r>
        <w:lastRenderedPageBreak/>
        <w:t>E</w:t>
      </w:r>
      <w:r w:rsidR="00AB4F61">
        <w:t>ngagement</w:t>
      </w:r>
      <w:bookmarkEnd w:id="341"/>
    </w:p>
    <w:p w14:paraId="4831ADD0" w14:textId="2AC8F216" w:rsidR="00AB4F61" w:rsidRPr="00D45ECE" w:rsidRDefault="00AB4F61" w:rsidP="00D45ECE">
      <w:pPr>
        <w:pStyle w:val="Heading2"/>
      </w:pPr>
      <w:bookmarkStart w:id="342" w:name="_Toc81993598"/>
      <w:bookmarkStart w:id="343" w:name="_Toc121233801"/>
      <w:r w:rsidRPr="00D45ECE">
        <w:t>Overview</w:t>
      </w:r>
      <w:bookmarkEnd w:id="342"/>
      <w:bookmarkEnd w:id="343"/>
    </w:p>
    <w:p w14:paraId="34E5E36C" w14:textId="4C7321C2" w:rsidR="00AB4F61" w:rsidRPr="001E7E1C" w:rsidRDefault="007B13F2" w:rsidP="00352646">
      <w:pPr>
        <w:pStyle w:val="STPR2BodyText"/>
      </w:pPr>
      <w:r w:rsidRPr="001E7E1C">
        <w:t>The STAG process is firmly founded on participation and consultation. Accordingly, stakeholder</w:t>
      </w:r>
      <w:r w:rsidR="001E7E1C">
        <w:t xml:space="preserve"> </w:t>
      </w:r>
      <w:r w:rsidRPr="001E7E1C">
        <w:t>participation and engagement has been pivotal to informing STPR2 at all key stages. A comprehensive stakeholder engagement</w:t>
      </w:r>
      <w:r w:rsidR="001E7E1C">
        <w:t xml:space="preserve"> </w:t>
      </w:r>
      <w:r w:rsidRPr="001E7E1C">
        <w:t>plan was developed at an early stage in the STPR2 process and has been carefully devised to ensure general inclusivity and representation of key sectors</w:t>
      </w:r>
      <w:r w:rsidR="00A034B4" w:rsidRPr="001E7E1C">
        <w:t xml:space="preserve"> and stakeholders</w:t>
      </w:r>
      <w:r w:rsidRPr="001E7E1C">
        <w:t>.</w:t>
      </w:r>
      <w:r w:rsidR="007100CE">
        <w:t xml:space="preserve"> </w:t>
      </w:r>
    </w:p>
    <w:p w14:paraId="72527E6C" w14:textId="54A7DF2E" w:rsidR="00AB4F61" w:rsidRPr="00882106" w:rsidRDefault="00AB4F61" w:rsidP="007C7756">
      <w:pPr>
        <w:pStyle w:val="STPR2BodyText"/>
        <w:rPr>
          <w:rStyle w:val="eop"/>
        </w:rPr>
      </w:pPr>
      <w:r w:rsidRPr="001E7E1C">
        <w:rPr>
          <w:rStyle w:val="normaltextrun"/>
        </w:rPr>
        <w:t>Although there are no legal consultation requirements for EqIA, there has been engagement with equalities groups and organisations throughout the STPR2 commission in order to provide</w:t>
      </w:r>
      <w:r w:rsidR="00E640F8" w:rsidRPr="00882106">
        <w:rPr>
          <w:rStyle w:val="normaltextrun"/>
        </w:rPr>
        <w:t xml:space="preserve"> </w:t>
      </w:r>
      <w:r w:rsidRPr="00882106">
        <w:rPr>
          <w:rStyle w:val="normaltextrun"/>
        </w:rPr>
        <w:t>early opportunities within appropriate timeframes for opinions to be expressed on the proposals for STPR2 and the EqIA as they have</w:t>
      </w:r>
      <w:r w:rsidR="00433F21">
        <w:rPr>
          <w:rStyle w:val="normaltextrun"/>
        </w:rPr>
        <w:t> </w:t>
      </w:r>
      <w:r w:rsidRPr="00882106">
        <w:rPr>
          <w:rStyle w:val="normaltextrun"/>
        </w:rPr>
        <w:t>developed.</w:t>
      </w:r>
      <w:r w:rsidRPr="00882106">
        <w:rPr>
          <w:rStyle w:val="eop"/>
        </w:rPr>
        <w:t> </w:t>
      </w:r>
    </w:p>
    <w:p w14:paraId="61C8ED6B" w14:textId="04A81D9F" w:rsidR="00AB4F61" w:rsidRPr="00D45ECE" w:rsidRDefault="00F307D6" w:rsidP="00D45ECE">
      <w:pPr>
        <w:pStyle w:val="Heading2"/>
        <w:rPr>
          <w:rStyle w:val="eop"/>
        </w:rPr>
      </w:pPr>
      <w:bookmarkStart w:id="344" w:name="_Toc121233802"/>
      <w:r>
        <w:rPr>
          <w:rStyle w:val="eop"/>
        </w:rPr>
        <w:t>Stakeholder Engagement Activities</w:t>
      </w:r>
      <w:bookmarkEnd w:id="344"/>
    </w:p>
    <w:p w14:paraId="5489F407" w14:textId="58DB260D" w:rsidR="0036160A" w:rsidRDefault="0036160A" w:rsidP="00352646">
      <w:pPr>
        <w:pStyle w:val="STPR2BodyText"/>
        <w:rPr>
          <w:rStyle w:val="eop"/>
        </w:rPr>
      </w:pPr>
      <w:r>
        <w:rPr>
          <w:rStyle w:val="normaltextrun"/>
        </w:rPr>
        <w:t>During the course of STPR2, there has been extensive stakeholder and public engagement. A round of 22 regional workshops was held in Spring/Summer 2019 with a wide range of stakeholders including, for example,</w:t>
      </w:r>
      <w:r w:rsidR="00100791">
        <w:rPr>
          <w:rStyle w:val="normaltextrun"/>
        </w:rPr>
        <w:t xml:space="preserve"> </w:t>
      </w:r>
      <w:r>
        <w:rPr>
          <w:rStyle w:val="normaltextrun"/>
        </w:rPr>
        <w:t xml:space="preserve">members from </w:t>
      </w:r>
      <w:r w:rsidRPr="001E7E1C">
        <w:rPr>
          <w:rStyle w:val="normaltextrun"/>
        </w:rPr>
        <w:t>local</w:t>
      </w:r>
      <w:r>
        <w:rPr>
          <w:rStyle w:val="normaltextrun"/>
        </w:rPr>
        <w:t xml:space="preserve"> authorities, access panels and public transport providers. </w:t>
      </w:r>
      <w:r w:rsidR="00773A54">
        <w:rPr>
          <w:rStyle w:val="normaltextrun"/>
        </w:rPr>
        <w:t xml:space="preserve">Ten </w:t>
      </w:r>
      <w:r>
        <w:rPr>
          <w:rStyle w:val="normaltextrun"/>
        </w:rPr>
        <w:t xml:space="preserve">national workshops were also held throughout August and September 2019. A range of issues relevant to EqIA were raised at these workshops. In addition to this, a National Equality Workshop was held </w:t>
      </w:r>
      <w:r w:rsidR="00100791">
        <w:rPr>
          <w:rStyle w:val="normaltextrun"/>
        </w:rPr>
        <w:t xml:space="preserve">in </w:t>
      </w:r>
      <w:r>
        <w:rPr>
          <w:rStyle w:val="normaltextrun"/>
        </w:rPr>
        <w:t>September 2019 with equalities groups and organisations. The outputs from all workshops were used to identify problems and opportunities for STPR2 and inform the EqIA Scoping Report.</w:t>
      </w:r>
      <w:r w:rsidR="007100CE">
        <w:rPr>
          <w:rStyle w:val="normaltextrun"/>
          <w:lang w:val="en-US"/>
        </w:rPr>
        <w:t xml:space="preserve"> </w:t>
      </w:r>
    </w:p>
    <w:p w14:paraId="4B639625" w14:textId="0CDD817C" w:rsidR="0036160A" w:rsidRPr="004051E1" w:rsidRDefault="0036160A" w:rsidP="007C7756">
      <w:pPr>
        <w:pStyle w:val="STPR2BodyText"/>
        <w:rPr>
          <w:szCs w:val="24"/>
        </w:rPr>
      </w:pPr>
      <w:r>
        <w:rPr>
          <w:rStyle w:val="normaltextrun"/>
        </w:rPr>
        <w:t xml:space="preserve">A five-week consultation period was held for the EqIA and SEA Scoping Reports from December 2019 to February 2020. This included </w:t>
      </w:r>
      <w:r w:rsidR="00B965B7">
        <w:rPr>
          <w:rStyle w:val="normaltextrun"/>
        </w:rPr>
        <w:t>issuing the</w:t>
      </w:r>
      <w:r>
        <w:rPr>
          <w:rStyle w:val="normaltextrun"/>
        </w:rPr>
        <w:t> EqIA Scoping Report</w:t>
      </w:r>
      <w:r w:rsidR="00B965B7">
        <w:rPr>
          <w:rStyle w:val="normaltextrun"/>
        </w:rPr>
        <w:t xml:space="preserve"> </w:t>
      </w:r>
      <w:r>
        <w:rPr>
          <w:rStyle w:val="normaltextrun"/>
        </w:rPr>
        <w:t>to the statutory environmental consultees and 42 equalities groups and organisations.</w:t>
      </w:r>
      <w:r w:rsidR="007100CE">
        <w:rPr>
          <w:rStyle w:val="normaltextrun"/>
        </w:rPr>
        <w:t xml:space="preserve"> </w:t>
      </w:r>
      <w:r w:rsidR="0073221A">
        <w:rPr>
          <w:rStyle w:val="normaltextrun"/>
        </w:rPr>
        <w:t>A</w:t>
      </w:r>
      <w:r>
        <w:rPr>
          <w:rStyle w:val="normaltextrun"/>
        </w:rPr>
        <w:t>n online survey was available throughout the consultation period.</w:t>
      </w:r>
      <w:r w:rsidRPr="004051E1">
        <w:rPr>
          <w:szCs w:val="24"/>
        </w:rPr>
        <w:t xml:space="preserve"> Nine EqIA-specific consultees responded to the online survey as follows: </w:t>
      </w:r>
    </w:p>
    <w:p w14:paraId="70F07A64" w14:textId="77777777" w:rsidR="00AB4F61" w:rsidRPr="004051E1" w:rsidRDefault="00AB4F61" w:rsidP="00C23F99">
      <w:pPr>
        <w:pStyle w:val="STPR2BulletsLevel1"/>
        <w:rPr>
          <w:rFonts w:ascii="Times New Roman" w:hAnsi="Times New Roman" w:cs="Times New Roman"/>
        </w:rPr>
      </w:pPr>
      <w:r w:rsidRPr="004051E1">
        <w:t>Age Scotland</w:t>
      </w:r>
      <w:r w:rsidRPr="004051E1">
        <w:rPr>
          <w:rFonts w:ascii="Times New Roman" w:hAnsi="Times New Roman" w:cs="Times New Roman"/>
        </w:rPr>
        <w:t>; </w:t>
      </w:r>
    </w:p>
    <w:p w14:paraId="54944A7C" w14:textId="77777777" w:rsidR="00AB4F61" w:rsidRPr="004051E1" w:rsidRDefault="00AB4F61" w:rsidP="007F2389">
      <w:pPr>
        <w:pStyle w:val="STPR2BulletsLevel1"/>
        <w:rPr>
          <w:rFonts w:ascii="Times New Roman" w:hAnsi="Times New Roman" w:cs="Times New Roman"/>
        </w:rPr>
      </w:pPr>
      <w:r w:rsidRPr="004051E1">
        <w:t>Community Transport Association</w:t>
      </w:r>
      <w:r w:rsidRPr="004051E1">
        <w:rPr>
          <w:rFonts w:ascii="Times New Roman" w:hAnsi="Times New Roman" w:cs="Times New Roman"/>
        </w:rPr>
        <w:t>; </w:t>
      </w:r>
    </w:p>
    <w:p w14:paraId="57FA5023" w14:textId="77777777" w:rsidR="00AB4F61" w:rsidRPr="004051E1" w:rsidRDefault="00AB4F61">
      <w:pPr>
        <w:pStyle w:val="STPR2BulletsLevel1"/>
        <w:rPr>
          <w:rFonts w:ascii="Times New Roman" w:hAnsi="Times New Roman" w:cs="Times New Roman"/>
        </w:rPr>
      </w:pPr>
      <w:r w:rsidRPr="004051E1">
        <w:t>Cycling UK</w:t>
      </w:r>
      <w:r w:rsidRPr="004051E1">
        <w:rPr>
          <w:rFonts w:ascii="Times New Roman" w:hAnsi="Times New Roman" w:cs="Times New Roman"/>
        </w:rPr>
        <w:t>; </w:t>
      </w:r>
    </w:p>
    <w:p w14:paraId="38E1276E" w14:textId="77777777" w:rsidR="00AB4F61" w:rsidRPr="004051E1" w:rsidRDefault="00AB4F61">
      <w:pPr>
        <w:pStyle w:val="STPR2BulletsLevel1"/>
        <w:rPr>
          <w:rFonts w:ascii="Times New Roman" w:hAnsi="Times New Roman" w:cs="Times New Roman"/>
        </w:rPr>
      </w:pPr>
      <w:r w:rsidRPr="004051E1">
        <w:t>Enable Scotland</w:t>
      </w:r>
      <w:r w:rsidRPr="004051E1">
        <w:rPr>
          <w:rFonts w:ascii="Times New Roman" w:hAnsi="Times New Roman" w:cs="Times New Roman"/>
        </w:rPr>
        <w:t>; </w:t>
      </w:r>
    </w:p>
    <w:p w14:paraId="30B28333" w14:textId="77777777" w:rsidR="00AB4F61" w:rsidRPr="004051E1" w:rsidRDefault="00AB4F61">
      <w:pPr>
        <w:pStyle w:val="STPR2BulletsLevel1"/>
        <w:rPr>
          <w:rFonts w:ascii="Times New Roman" w:hAnsi="Times New Roman" w:cs="Times New Roman"/>
        </w:rPr>
      </w:pPr>
      <w:r w:rsidRPr="004051E1">
        <w:t>Living Streets</w:t>
      </w:r>
      <w:r w:rsidRPr="004051E1">
        <w:rPr>
          <w:rFonts w:ascii="Times New Roman" w:hAnsi="Times New Roman" w:cs="Times New Roman"/>
        </w:rPr>
        <w:t>; </w:t>
      </w:r>
    </w:p>
    <w:p w14:paraId="4B600601" w14:textId="77777777" w:rsidR="00AB4F61" w:rsidRPr="004051E1" w:rsidRDefault="00AB4F61">
      <w:pPr>
        <w:pStyle w:val="STPR2BulletsLevel1"/>
        <w:rPr>
          <w:rFonts w:ascii="Times New Roman" w:hAnsi="Times New Roman" w:cs="Times New Roman"/>
        </w:rPr>
      </w:pPr>
      <w:r w:rsidRPr="004051E1">
        <w:t>Mobility and Access Committee Scotland</w:t>
      </w:r>
      <w:r w:rsidRPr="004051E1">
        <w:rPr>
          <w:rFonts w:ascii="Times New Roman" w:hAnsi="Times New Roman" w:cs="Times New Roman"/>
        </w:rPr>
        <w:t>; </w:t>
      </w:r>
    </w:p>
    <w:p w14:paraId="3DD34355" w14:textId="77777777" w:rsidR="00AB4F61" w:rsidRPr="004051E1" w:rsidRDefault="00AB4F61">
      <w:pPr>
        <w:pStyle w:val="STPR2BulletsLevel1"/>
        <w:rPr>
          <w:rFonts w:ascii="Times New Roman" w:hAnsi="Times New Roman" w:cs="Times New Roman"/>
        </w:rPr>
      </w:pPr>
      <w:r w:rsidRPr="004051E1">
        <w:t>Scottish Accessibility Transport Alliance</w:t>
      </w:r>
      <w:r w:rsidRPr="004051E1">
        <w:rPr>
          <w:rFonts w:ascii="Times New Roman" w:hAnsi="Times New Roman" w:cs="Times New Roman"/>
        </w:rPr>
        <w:t>; </w:t>
      </w:r>
    </w:p>
    <w:p w14:paraId="6CCAEE17" w14:textId="77777777" w:rsidR="00AB4F61" w:rsidRPr="004051E1" w:rsidRDefault="00AB4F61">
      <w:pPr>
        <w:pStyle w:val="STPR2BulletsLevel1"/>
        <w:rPr>
          <w:rFonts w:ascii="Times New Roman" w:hAnsi="Times New Roman" w:cs="Times New Roman"/>
        </w:rPr>
      </w:pPr>
      <w:r w:rsidRPr="004051E1">
        <w:t>Scottish Islands Federation; and </w:t>
      </w:r>
    </w:p>
    <w:p w14:paraId="401CDCDF" w14:textId="77777777" w:rsidR="00AB4F61" w:rsidRDefault="00AB4F61">
      <w:pPr>
        <w:pStyle w:val="STPR2BulletsLevel1"/>
        <w:rPr>
          <w:rFonts w:ascii="Times New Roman" w:hAnsi="Times New Roman" w:cs="Times New Roman"/>
        </w:rPr>
      </w:pPr>
      <w:r w:rsidRPr="004051E1">
        <w:t>Scottish Youth Parliament</w:t>
      </w:r>
      <w:r w:rsidRPr="004051E1">
        <w:rPr>
          <w:rFonts w:ascii="Times New Roman" w:hAnsi="Times New Roman" w:cs="Times New Roman"/>
        </w:rPr>
        <w:t>. </w:t>
      </w:r>
    </w:p>
    <w:p w14:paraId="1F041115" w14:textId="7D0A43B1" w:rsidR="00AB4F61" w:rsidRPr="004051E1" w:rsidRDefault="00AB4F61" w:rsidP="00AB4F61">
      <w:pPr>
        <w:spacing w:after="0" w:line="240" w:lineRule="auto"/>
        <w:jc w:val="both"/>
        <w:textAlignment w:val="baseline"/>
        <w:rPr>
          <w:rFonts w:ascii="Arial" w:eastAsia="Times New Roman" w:hAnsi="Arial" w:cs="Arial"/>
          <w:color w:val="000000"/>
          <w:sz w:val="24"/>
          <w:szCs w:val="24"/>
        </w:rPr>
      </w:pPr>
      <w:r w:rsidRPr="004051E1">
        <w:rPr>
          <w:rFonts w:ascii="Arial" w:eastAsia="Times New Roman" w:hAnsi="Arial" w:cs="Arial"/>
          <w:color w:val="000000"/>
          <w:sz w:val="24"/>
          <w:szCs w:val="24"/>
        </w:rPr>
        <w:t>The following organisations also responded separately to the online survey:</w:t>
      </w:r>
      <w:r w:rsidR="007100CE">
        <w:rPr>
          <w:rFonts w:ascii="Times New Roman" w:eastAsia="Times New Roman" w:hAnsi="Times New Roman" w:cs="Times New Roman"/>
          <w:color w:val="000000"/>
          <w:sz w:val="24"/>
          <w:szCs w:val="24"/>
        </w:rPr>
        <w:t xml:space="preserve"> </w:t>
      </w:r>
    </w:p>
    <w:p w14:paraId="7A1008A6" w14:textId="77777777" w:rsidR="00AB4F61" w:rsidRPr="004051E1" w:rsidRDefault="00AB4F61" w:rsidP="00352646">
      <w:pPr>
        <w:pStyle w:val="STPR2BulletsLevel1"/>
      </w:pPr>
      <w:r w:rsidRPr="004051E1">
        <w:t>Engender (formal written response); </w:t>
      </w:r>
    </w:p>
    <w:p w14:paraId="5428C715" w14:textId="77777777" w:rsidR="00AB4F61" w:rsidRPr="004051E1" w:rsidRDefault="00AB4F61" w:rsidP="007C7756">
      <w:pPr>
        <w:pStyle w:val="STPR2BulletsLevel1"/>
      </w:pPr>
      <w:r w:rsidRPr="004051E1">
        <w:t>Improvement Service (formal written response); </w:t>
      </w:r>
    </w:p>
    <w:p w14:paraId="3B6A575B" w14:textId="5491D6C0" w:rsidR="00AB4F61" w:rsidRPr="004051E1" w:rsidRDefault="00AB4F61" w:rsidP="00C23F99">
      <w:pPr>
        <w:pStyle w:val="STPR2BulletsLevel1"/>
      </w:pPr>
      <w:r w:rsidRPr="004051E1">
        <w:t>People First (requested a meeting which was held on Thursday 12th March</w:t>
      </w:r>
      <w:r w:rsidR="007775AD">
        <w:t xml:space="preserve"> 2020</w:t>
      </w:r>
      <w:r w:rsidRPr="004051E1">
        <w:t>); and </w:t>
      </w:r>
    </w:p>
    <w:p w14:paraId="79A61905" w14:textId="1C683C78" w:rsidR="00AB4F61" w:rsidRDefault="00AB4F61" w:rsidP="007F2389">
      <w:pPr>
        <w:pStyle w:val="STPR2BulletsLevel1"/>
      </w:pPr>
      <w:r w:rsidRPr="004051E1">
        <w:lastRenderedPageBreak/>
        <w:t>Ideas for Ears (engaged through an online meeting which was held along with Sense Scotland on 27th March</w:t>
      </w:r>
      <w:r w:rsidR="00935009">
        <w:t xml:space="preserve"> 2020</w:t>
      </w:r>
      <w:r w:rsidRPr="004051E1">
        <w:t>). </w:t>
      </w:r>
    </w:p>
    <w:p w14:paraId="419C52E5" w14:textId="3857E651" w:rsidR="00AB4F61" w:rsidRDefault="00AB4F61" w:rsidP="00AB4F61">
      <w:p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A workshop was also held with</w:t>
      </w:r>
      <w:r w:rsidR="00981F06">
        <w:rPr>
          <w:rFonts w:ascii="Arial" w:eastAsia="Times New Roman" w:hAnsi="Arial" w:cs="Arial"/>
          <w:color w:val="000000"/>
          <w:sz w:val="24"/>
          <w:szCs w:val="24"/>
        </w:rPr>
        <w:t xml:space="preserve"> representatives of</w:t>
      </w:r>
      <w:r>
        <w:rPr>
          <w:rFonts w:ascii="Arial" w:eastAsia="Times New Roman" w:hAnsi="Arial" w:cs="Arial"/>
          <w:color w:val="000000"/>
          <w:sz w:val="24"/>
          <w:szCs w:val="24"/>
        </w:rPr>
        <w:t xml:space="preserve"> equalities</w:t>
      </w:r>
      <w:r w:rsidR="00981F06">
        <w:rPr>
          <w:rFonts w:ascii="Arial" w:eastAsia="Times New Roman" w:hAnsi="Arial" w:cs="Arial"/>
          <w:color w:val="000000"/>
          <w:sz w:val="24"/>
          <w:szCs w:val="24"/>
        </w:rPr>
        <w:t xml:space="preserve"> groups and</w:t>
      </w:r>
      <w:r>
        <w:rPr>
          <w:rFonts w:ascii="Arial" w:eastAsia="Times New Roman" w:hAnsi="Arial" w:cs="Arial"/>
          <w:color w:val="000000"/>
          <w:sz w:val="24"/>
          <w:szCs w:val="24"/>
        </w:rPr>
        <w:t xml:space="preserve"> organisations</w:t>
      </w:r>
      <w:r w:rsidR="00A84B02">
        <w:rPr>
          <w:rFonts w:ascii="Arial" w:eastAsia="Times New Roman" w:hAnsi="Arial" w:cs="Arial"/>
          <w:color w:val="000000"/>
          <w:sz w:val="24"/>
          <w:szCs w:val="24"/>
        </w:rPr>
        <w:t xml:space="preserve"> and</w:t>
      </w:r>
      <w:r w:rsidR="00981F06">
        <w:rPr>
          <w:rFonts w:ascii="Arial" w:eastAsia="Times New Roman" w:hAnsi="Arial" w:cs="Arial"/>
          <w:color w:val="000000"/>
          <w:sz w:val="24"/>
          <w:szCs w:val="24"/>
        </w:rPr>
        <w:t xml:space="preserve"> </w:t>
      </w:r>
      <w:r>
        <w:rPr>
          <w:rFonts w:ascii="Arial" w:eastAsia="Times New Roman" w:hAnsi="Arial" w:cs="Arial"/>
          <w:color w:val="000000"/>
          <w:sz w:val="24"/>
          <w:szCs w:val="24"/>
        </w:rPr>
        <w:t>local authorities in March 2021</w:t>
      </w:r>
      <w:r w:rsidR="00981F06">
        <w:rPr>
          <w:rFonts w:ascii="Arial" w:eastAsia="Times New Roman" w:hAnsi="Arial" w:cs="Arial"/>
          <w:color w:val="000000"/>
          <w:sz w:val="24"/>
          <w:szCs w:val="24"/>
        </w:rPr>
        <w:t xml:space="preserve"> prior to the preliminary appraisal process </w:t>
      </w:r>
      <w:r w:rsidR="00CA2774">
        <w:rPr>
          <w:rFonts w:ascii="Arial" w:eastAsia="Times New Roman" w:hAnsi="Arial" w:cs="Arial"/>
          <w:color w:val="000000"/>
          <w:sz w:val="24"/>
          <w:szCs w:val="24"/>
        </w:rPr>
        <w:t>to consult on the detailed approach to the EqIA.</w:t>
      </w:r>
    </w:p>
    <w:p w14:paraId="39E261E7" w14:textId="13010FD4" w:rsidR="00334865" w:rsidRPr="00433F21" w:rsidRDefault="005B0424" w:rsidP="00433F21">
      <w:pPr>
        <w:pStyle w:val="Heading2"/>
        <w:spacing w:before="120"/>
      </w:pPr>
      <w:bookmarkStart w:id="345" w:name="_Toc121233803"/>
      <w:r w:rsidRPr="00433F21">
        <w:t>Statutory</w:t>
      </w:r>
      <w:r>
        <w:t xml:space="preserve"> Consultation</w:t>
      </w:r>
      <w:bookmarkEnd w:id="345"/>
    </w:p>
    <w:p w14:paraId="7AD79131" w14:textId="366E74DD" w:rsidR="00334865" w:rsidRDefault="00334865" w:rsidP="00352646">
      <w:pPr>
        <w:pStyle w:val="STPR2BodyText"/>
      </w:pPr>
      <w:r w:rsidRPr="00D94367">
        <w:t xml:space="preserve">The publication of the </w:t>
      </w:r>
      <w:r w:rsidR="006C5393" w:rsidRPr="00D94367">
        <w:t xml:space="preserve">STPR2 </w:t>
      </w:r>
      <w:r w:rsidR="006C5393">
        <w:t>D</w:t>
      </w:r>
      <w:r w:rsidRPr="00D94367">
        <w:t>raft</w:t>
      </w:r>
      <w:r w:rsidR="006C5393">
        <w:t xml:space="preserve"> Technical Report</w:t>
      </w:r>
      <w:r w:rsidRPr="00D94367">
        <w:t xml:space="preserve"> report</w:t>
      </w:r>
      <w:r w:rsidR="00582108">
        <w:t xml:space="preserve"> (Jacobs A</w:t>
      </w:r>
      <w:r w:rsidR="000C0BC8">
        <w:t>ECOM</w:t>
      </w:r>
      <w:r w:rsidR="00582108">
        <w:t xml:space="preserve"> 2022</w:t>
      </w:r>
      <w:r w:rsidR="00BC1CAB">
        <w:t>a</w:t>
      </w:r>
      <w:r w:rsidR="00582108">
        <w:t>)</w:t>
      </w:r>
      <w:r w:rsidRPr="00D94367">
        <w:t xml:space="preserve">, associated documents and draft impact assessments </w:t>
      </w:r>
      <w:r w:rsidRPr="00063CAC">
        <w:t>in January 2022 launched a 12-week public consultation period, hosted on the Scottish Government’s consultation platform Citizen Space. The public consultation was publicised through</w:t>
      </w:r>
      <w:r>
        <w:t xml:space="preserve"> various means including </w:t>
      </w:r>
      <w:r w:rsidRPr="00063CAC">
        <w:t>email</w:t>
      </w:r>
      <w:r>
        <w:t xml:space="preserve"> correspondence </w:t>
      </w:r>
      <w:r w:rsidRPr="00063CAC">
        <w:t xml:space="preserve">to a </w:t>
      </w:r>
      <w:r>
        <w:t>wide range</w:t>
      </w:r>
      <w:r w:rsidRPr="00063CAC">
        <w:t xml:space="preserve"> of organisations and authorities </w:t>
      </w:r>
      <w:r>
        <w:t xml:space="preserve">from </w:t>
      </w:r>
      <w:r w:rsidRPr="00063CAC">
        <w:t>across Scotland, via the Transport Scotland website and through press and social media coverage. Organisations and authorities were also requested to publicise the consultation through their own channels.</w:t>
      </w:r>
    </w:p>
    <w:p w14:paraId="6AA53426" w14:textId="7BFBAEDE" w:rsidR="00BE3891" w:rsidRDefault="00163AA6" w:rsidP="007C7756">
      <w:pPr>
        <w:pStyle w:val="STPR2BodyText"/>
      </w:pPr>
      <w:r>
        <w:t>An inclusive approach was undertaking to consultation activities including:</w:t>
      </w:r>
    </w:p>
    <w:p w14:paraId="5F9F4C18" w14:textId="77777777" w:rsidR="00F63B1B" w:rsidRDefault="00BE3891" w:rsidP="00C23F99">
      <w:pPr>
        <w:pStyle w:val="STPR2BulletsLevel1"/>
      </w:pPr>
      <w:r w:rsidRPr="00411F63">
        <w:t>Easy Read and Gaelic language versions of the draft STPR2 summary report and a Gaelic language questionnaire were also made available.</w:t>
      </w:r>
    </w:p>
    <w:p w14:paraId="229A4D1E" w14:textId="77777777" w:rsidR="00F63B1B" w:rsidRDefault="00BE3891" w:rsidP="007F2389">
      <w:pPr>
        <w:pStyle w:val="STPR2BulletsLevel1"/>
      </w:pPr>
      <w:r w:rsidRPr="00411F63">
        <w:t xml:space="preserve">A dedicated telephone number was published to allow those without good internet access to call and request a printed copy, large print or editable version to return by post or email. </w:t>
      </w:r>
    </w:p>
    <w:p w14:paraId="0BD63939" w14:textId="77777777" w:rsidR="00F63B1B" w:rsidRDefault="00BE3891">
      <w:pPr>
        <w:pStyle w:val="STPR2BulletsLevel1"/>
      </w:pPr>
      <w:r w:rsidRPr="00411F63">
        <w:t xml:space="preserve">A webpage version of the draft STPR2 summary report was also made available to further increase accessibility. </w:t>
      </w:r>
    </w:p>
    <w:p w14:paraId="74D6FE6A" w14:textId="29FD04E7" w:rsidR="00E074A9" w:rsidRDefault="00334865">
      <w:pPr>
        <w:pStyle w:val="STPR2BodyText"/>
      </w:pPr>
      <w:r w:rsidRPr="00063CAC">
        <w:t xml:space="preserve">During the 12-week consultation period </w:t>
      </w:r>
      <w:r>
        <w:t>30</w:t>
      </w:r>
      <w:r w:rsidRPr="00063CAC">
        <w:t xml:space="preserve"> i</w:t>
      </w:r>
      <w:r w:rsidRPr="00E70675">
        <w:t xml:space="preserve">nformation sessions were undertaken. These sessions were designed to promote the consultation exercise, </w:t>
      </w:r>
      <w:r w:rsidRPr="00743736">
        <w:t>by providing an overvie</w:t>
      </w:r>
      <w:r w:rsidRPr="003B08D1">
        <w:t xml:space="preserve">w of STPR2 and the 45 draft recommendations and </w:t>
      </w:r>
      <w:r>
        <w:t xml:space="preserve">setting out </w:t>
      </w:r>
      <w:r w:rsidRPr="003B08D1">
        <w:t>further details on how stakeholders could feed into the consultation process.</w:t>
      </w:r>
      <w:r>
        <w:t xml:space="preserve"> </w:t>
      </w:r>
      <w:r w:rsidR="00E074A9">
        <w:t>T</w:t>
      </w:r>
      <w:r w:rsidR="00857F7E">
        <w:t>his included the following specific sessions on equalities</w:t>
      </w:r>
      <w:r w:rsidR="00E074A9">
        <w:t>:</w:t>
      </w:r>
    </w:p>
    <w:p w14:paraId="68670F66" w14:textId="620A384A" w:rsidR="00B51566" w:rsidRDefault="0086207F">
      <w:pPr>
        <w:pStyle w:val="STPR2BulletsLevel1"/>
      </w:pPr>
      <w:r>
        <w:t xml:space="preserve">STPR2 EqIA and Fairer Scotland Duty Information Session </w:t>
      </w:r>
      <w:r w:rsidR="00BA61E9">
        <w:t>-</w:t>
      </w:r>
      <w:r>
        <w:t xml:space="preserve"> 23</w:t>
      </w:r>
      <w:r w:rsidRPr="00857F7E">
        <w:rPr>
          <w:vertAlign w:val="superscript"/>
        </w:rPr>
        <w:t>rd</w:t>
      </w:r>
      <w:r>
        <w:t xml:space="preserve"> March 2022</w:t>
      </w:r>
      <w:r w:rsidR="007F4AD2">
        <w:t>;</w:t>
      </w:r>
      <w:r w:rsidR="00D161AC">
        <w:t xml:space="preserve"> </w:t>
      </w:r>
    </w:p>
    <w:p w14:paraId="09839354" w14:textId="7FC34BF3" w:rsidR="00D161AC" w:rsidRDefault="00826F29">
      <w:pPr>
        <w:pStyle w:val="STPR2BulletsLevel1"/>
      </w:pPr>
      <w:r>
        <w:t xml:space="preserve">STPR2 SEA and </w:t>
      </w:r>
      <w:r w:rsidR="006233E6">
        <w:t xml:space="preserve">EqIA Wider Information Session - </w:t>
      </w:r>
      <w:r w:rsidR="002E6A82">
        <w:t>28</w:t>
      </w:r>
      <w:r w:rsidR="002E6A82" w:rsidRPr="00857F7E">
        <w:rPr>
          <w:vertAlign w:val="superscript"/>
        </w:rPr>
        <w:t>th</w:t>
      </w:r>
      <w:r w:rsidR="002E6A82">
        <w:t xml:space="preserve"> March 202</w:t>
      </w:r>
      <w:r w:rsidR="007F4AD2">
        <w:t>2; and</w:t>
      </w:r>
    </w:p>
    <w:p w14:paraId="1BCA19B6" w14:textId="3978ACC9" w:rsidR="006C2493" w:rsidRDefault="006C2493">
      <w:pPr>
        <w:pStyle w:val="STPR2BulletsLevel1"/>
      </w:pPr>
      <w:r>
        <w:t xml:space="preserve">STPR2 </w:t>
      </w:r>
      <w:r w:rsidR="006C0688">
        <w:t xml:space="preserve">Impact Assessments Information Session </w:t>
      </w:r>
      <w:r w:rsidR="00BA61E9">
        <w:t>-</w:t>
      </w:r>
      <w:r w:rsidR="006C0688">
        <w:t xml:space="preserve"> </w:t>
      </w:r>
      <w:r w:rsidR="00BA61E9">
        <w:t>31</w:t>
      </w:r>
      <w:r w:rsidR="00BA61E9" w:rsidRPr="00BA61E9">
        <w:rPr>
          <w:vertAlign w:val="superscript"/>
        </w:rPr>
        <w:t>st</w:t>
      </w:r>
      <w:r w:rsidR="00BA61E9">
        <w:t xml:space="preserve"> March 2022</w:t>
      </w:r>
      <w:r w:rsidR="007F4AD2">
        <w:t>.</w:t>
      </w:r>
    </w:p>
    <w:p w14:paraId="776E2B0E" w14:textId="12C5C163" w:rsidR="00F345EA" w:rsidRDefault="00730DFB">
      <w:pPr>
        <w:pStyle w:val="STPR2BodyText"/>
      </w:pPr>
      <w:r w:rsidRPr="00411F63">
        <w:t xml:space="preserve">In line with the proactive approach to engagement that has been taken across the course of the review to ensure that all stakeholders have an equal opportunity to access information on STPR2, British Sign Language (BSL) interpreters </w:t>
      </w:r>
      <w:r w:rsidR="00642112">
        <w:t>were in attendance at the</w:t>
      </w:r>
      <w:r w:rsidR="00163AA6">
        <w:t xml:space="preserve"> above</w:t>
      </w:r>
      <w:r w:rsidRPr="00411F63">
        <w:t xml:space="preserve"> information sessions for wider stakeholders and equalities groups</w:t>
      </w:r>
      <w:r w:rsidR="00163AA6">
        <w:t>.</w:t>
      </w:r>
    </w:p>
    <w:p w14:paraId="3AE9FC03" w14:textId="76EB2B54" w:rsidR="00334865" w:rsidRPr="00063CAC" w:rsidRDefault="00334865">
      <w:pPr>
        <w:pStyle w:val="STPR2BodyText"/>
      </w:pPr>
      <w:r w:rsidRPr="00063CAC">
        <w:t>A total of 454 responses were received during the statutory consultation period, including from Regional Transport Partnerships (RTPs) and local authorities. Responses were also received from professional / trade bodies, charity groups / organisations, single-issue campaign groups, Community Councils and other local groups with an interest in transport.</w:t>
      </w:r>
    </w:p>
    <w:p w14:paraId="00D6A833" w14:textId="4686013A" w:rsidR="003C1C1C" w:rsidRPr="00180381" w:rsidRDefault="003C1C1C">
      <w:pPr>
        <w:pStyle w:val="STPR2BodyText"/>
      </w:pPr>
      <w:r w:rsidRPr="00180381">
        <w:t xml:space="preserve">Respondents were given the opportunity to provide comments, if they had any, on the </w:t>
      </w:r>
      <w:r>
        <w:t xml:space="preserve">draft </w:t>
      </w:r>
      <w:r w:rsidR="00D21958">
        <w:t>EqIA</w:t>
      </w:r>
      <w:r w:rsidRPr="00180381">
        <w:t xml:space="preserve">. </w:t>
      </w:r>
      <w:r>
        <w:t>Thirty-nine</w:t>
      </w:r>
      <w:r w:rsidRPr="00180381">
        <w:t xml:space="preserve"> comments were provided including comments about the following:</w:t>
      </w:r>
    </w:p>
    <w:p w14:paraId="45FF610D" w14:textId="77777777" w:rsidR="003C1C1C" w:rsidRPr="00180381" w:rsidRDefault="003C1C1C">
      <w:pPr>
        <w:pStyle w:val="STPR2BulletsLevel1"/>
      </w:pPr>
      <w:r w:rsidRPr="00180381">
        <w:lastRenderedPageBreak/>
        <w:t>Road building is bad for equality</w:t>
      </w:r>
    </w:p>
    <w:p w14:paraId="713B1639" w14:textId="77777777" w:rsidR="003C1C1C" w:rsidRPr="00180381" w:rsidRDefault="003C1C1C">
      <w:pPr>
        <w:pStyle w:val="STPR2BulletsLevel2"/>
      </w:pPr>
      <w:r w:rsidRPr="00180381">
        <w:t>“There is a basic fallacy that road building is good for inclusiveness.” (Individual)</w:t>
      </w:r>
    </w:p>
    <w:p w14:paraId="02D08099" w14:textId="77777777" w:rsidR="003C1C1C" w:rsidRPr="00180381" w:rsidRDefault="003C1C1C">
      <w:pPr>
        <w:pStyle w:val="STPR2BulletsLevel2"/>
      </w:pPr>
      <w:r w:rsidRPr="00180381">
        <w:t>“They are correct about how building and improving roads will only induce demand and lead to more road traffic, and that the focus should be on active travel and affordable and accessible public transport. …” (Individual)</w:t>
      </w:r>
    </w:p>
    <w:p w14:paraId="13E212AD" w14:textId="77777777" w:rsidR="003C1C1C" w:rsidRPr="00180381" w:rsidRDefault="003C1C1C">
      <w:pPr>
        <w:pStyle w:val="STPR2BulletsLevel1"/>
      </w:pPr>
      <w:r w:rsidRPr="00180381">
        <w:t>North East of Scotland is being treated unequally</w:t>
      </w:r>
    </w:p>
    <w:p w14:paraId="62F326F4" w14:textId="77777777" w:rsidR="003C1C1C" w:rsidRPr="00180381" w:rsidRDefault="003C1C1C">
      <w:pPr>
        <w:pStyle w:val="STPR2BulletsLevel2"/>
      </w:pPr>
      <w:r w:rsidRPr="00180381">
        <w:t>“Areas of multiple deprivation in Peterhead and Fraserburgh see no benefit from the proposals. How is this equality?” (Individual)</w:t>
      </w:r>
    </w:p>
    <w:p w14:paraId="252A40A6" w14:textId="77777777" w:rsidR="003C1C1C" w:rsidRPr="00180381" w:rsidRDefault="003C1C1C">
      <w:pPr>
        <w:pStyle w:val="STPR2BulletsLevel2"/>
      </w:pPr>
      <w:r w:rsidRPr="00180381">
        <w:t>“Again north east Scotland not being treated equally, need to improve rail links to Ellon, Fraserburgh and Peterhead.” (Individual)</w:t>
      </w:r>
    </w:p>
    <w:p w14:paraId="60FEEA42" w14:textId="77777777" w:rsidR="003C1C1C" w:rsidRPr="00180381" w:rsidRDefault="003C1C1C">
      <w:pPr>
        <w:pStyle w:val="STPR2BulletsLevel1"/>
      </w:pPr>
      <w:r w:rsidRPr="00180381">
        <w:t>Disabled or older people are treated unequally by transport services</w:t>
      </w:r>
    </w:p>
    <w:p w14:paraId="2E6DCA88" w14:textId="77777777" w:rsidR="003C1C1C" w:rsidRPr="00180381" w:rsidRDefault="003C1C1C">
      <w:pPr>
        <w:pStyle w:val="STPR2BulletsLevel2"/>
      </w:pPr>
      <w:r w:rsidRPr="00180381">
        <w:t>“Stop building facilities where passengers are forced to climb stairs!” (Individual)</w:t>
      </w:r>
    </w:p>
    <w:p w14:paraId="44FF941B" w14:textId="77777777" w:rsidR="003C1C1C" w:rsidRPr="00180381" w:rsidRDefault="003C1C1C">
      <w:pPr>
        <w:pStyle w:val="STPR2BulletsLevel2"/>
      </w:pPr>
      <w:r w:rsidRPr="00180381">
        <w:t>“Disability Access – Insch Train Station Access must be included in the Final Report.” (Organisation)</w:t>
      </w:r>
    </w:p>
    <w:p w14:paraId="1BE19B57" w14:textId="77777777" w:rsidR="003C1C1C" w:rsidRPr="00180381" w:rsidRDefault="003C1C1C">
      <w:pPr>
        <w:pStyle w:val="STPR2BulletsLevel2"/>
        <w:rPr>
          <w:i/>
        </w:rPr>
      </w:pPr>
      <w:r w:rsidRPr="00180381">
        <w:t>“There is no provision of public toilets mentioned for parks or travel hubs. No seating for older people or disabled access mentioned” (Individual)</w:t>
      </w:r>
    </w:p>
    <w:p w14:paraId="39110FAE" w14:textId="77777777" w:rsidR="003C1C1C" w:rsidRPr="00180381" w:rsidRDefault="003C1C1C">
      <w:pPr>
        <w:pStyle w:val="STPR2BulletsLevel1"/>
      </w:pPr>
      <w:r w:rsidRPr="00180381">
        <w:t>The cost of public transport contributes to inequality</w:t>
      </w:r>
    </w:p>
    <w:p w14:paraId="5E934D17" w14:textId="77777777" w:rsidR="003C1C1C" w:rsidRPr="007100CE" w:rsidRDefault="003C1C1C" w:rsidP="007100CE">
      <w:pPr>
        <w:pStyle w:val="STPR2BulletsLevel2"/>
      </w:pPr>
      <w:r w:rsidRPr="00180381">
        <w:t xml:space="preserve">“Despite having a theme titled ‘Enhancing access to affordable public transport’ the STPR </w:t>
      </w:r>
      <w:r w:rsidRPr="007100CE">
        <w:t>does not consider interventions regarding the cost of public transport, which is a significant equalities issue.” (Organisation)</w:t>
      </w:r>
    </w:p>
    <w:p w14:paraId="5401651D" w14:textId="77777777" w:rsidR="003C1C1C" w:rsidRPr="007100CE" w:rsidRDefault="003C1C1C" w:rsidP="007100CE">
      <w:pPr>
        <w:pStyle w:val="STPR2BulletsLevel2"/>
      </w:pPr>
      <w:r w:rsidRPr="007100CE">
        <w:t>“STPR2 does not consider interventions regarding the cost and fragility of public transport, which are significant equalities issues. It is important to recognise that these issues are exacerbated in rural areas, where the commercial viability of public transport is more challenging, and therefore the negative impact on equalities is greater.” (Organisation)</w:t>
      </w:r>
    </w:p>
    <w:p w14:paraId="5490E9BE" w14:textId="655FEA4F" w:rsidR="00433F21" w:rsidRDefault="003C1C1C" w:rsidP="007100CE">
      <w:pPr>
        <w:pStyle w:val="STPR2BulletsLevel2"/>
      </w:pPr>
      <w:r w:rsidRPr="007100CE">
        <w:t>“The assessment appears overly optimistic regarding the potential impact on specific elements of society, given the outcomes of the SEA detailed above, and considering what is specifically recommended for action within the proposals. Issues such as the cost and availability of public transport are not covered by STPR2 which is</w:t>
      </w:r>
      <w:r w:rsidRPr="00180381">
        <w:t xml:space="preserve"> a major factor with regards to equalities.” (Organisation)</w:t>
      </w:r>
      <w:r w:rsidR="00433F21">
        <w:br w:type="page"/>
      </w:r>
    </w:p>
    <w:p w14:paraId="58FA2E91" w14:textId="4729D6FB" w:rsidR="00D87E78" w:rsidRDefault="00D87E78" w:rsidP="00D87E78">
      <w:pPr>
        <w:pStyle w:val="Heading1"/>
      </w:pPr>
      <w:bookmarkStart w:id="346" w:name="_Toc121233804"/>
      <w:r w:rsidRPr="00FD77A7">
        <w:lastRenderedPageBreak/>
        <w:t>Approach</w:t>
      </w:r>
      <w:r>
        <w:t xml:space="preserve"> to the </w:t>
      </w:r>
      <w:r w:rsidR="00495C9F">
        <w:t>EqIA</w:t>
      </w:r>
      <w:bookmarkEnd w:id="346"/>
    </w:p>
    <w:p w14:paraId="10D957B5" w14:textId="382BDD44" w:rsidR="00D87E78" w:rsidRDefault="009C391C" w:rsidP="00D87E78">
      <w:pPr>
        <w:pStyle w:val="Heading2"/>
      </w:pPr>
      <w:bookmarkStart w:id="347" w:name="_Toc121233805"/>
      <w:r>
        <w:t>Introduction</w:t>
      </w:r>
      <w:bookmarkEnd w:id="347"/>
    </w:p>
    <w:p w14:paraId="66F6EA48" w14:textId="5BBAC713" w:rsidR="00F47F9A" w:rsidRPr="008F0C9D" w:rsidRDefault="00F47F9A" w:rsidP="008F0C9D">
      <w:pPr>
        <w:pStyle w:val="STPR2BodyText"/>
      </w:pPr>
      <w:r w:rsidRPr="008F0C9D">
        <w:t xml:space="preserve">The EqIA and other impact assessments have aligned with each STAG stage, in order to maximise influence of impact assessment work in the overall assessment process. </w:t>
      </w:r>
      <w:r w:rsidR="008F0C9D" w:rsidRPr="008F0C9D">
        <w:fldChar w:fldCharType="begin"/>
      </w:r>
      <w:r w:rsidR="008F0C9D" w:rsidRPr="008F0C9D">
        <w:instrText xml:space="preserve"> REF _Ref121234461 \h  \* MERGEFORMAT </w:instrText>
      </w:r>
      <w:r w:rsidR="008F0C9D" w:rsidRPr="008F0C9D">
        <w:fldChar w:fldCharType="separate"/>
      </w:r>
      <w:r w:rsidR="007F1A40" w:rsidRPr="00230CED">
        <w:t xml:space="preserve">Table </w:t>
      </w:r>
      <w:r w:rsidR="007F1A40">
        <w:t>1</w:t>
      </w:r>
      <w:r w:rsidR="008F0C9D" w:rsidRPr="008F0C9D">
        <w:fldChar w:fldCharType="end"/>
      </w:r>
      <w:r w:rsidR="00424A2C" w:rsidRPr="008F0C9D">
        <w:t xml:space="preserve"> </w:t>
      </w:r>
      <w:r w:rsidRPr="008F0C9D">
        <w:t>sets out how the EqIA process aligns with STAG’s four-stage assessment process</w:t>
      </w:r>
      <w:r w:rsidR="00706ED4" w:rsidRPr="008F0C9D">
        <w:t xml:space="preserve"> throughout the development of STPR2</w:t>
      </w:r>
      <w:r w:rsidRPr="008F0C9D">
        <w:t xml:space="preserve">. </w:t>
      </w:r>
    </w:p>
    <w:p w14:paraId="2986C372" w14:textId="543B2A5D" w:rsidR="00F47F9A" w:rsidRDefault="008D107A" w:rsidP="00433F21">
      <w:pPr>
        <w:pStyle w:val="STPR2CaptionFigures"/>
      </w:pPr>
      <w:bookmarkStart w:id="348" w:name="_Ref121234461"/>
      <w:bookmarkStart w:id="349" w:name="_Toc121233684"/>
      <w:r w:rsidRPr="00230CED">
        <w:t xml:space="preserve">Table </w:t>
      </w:r>
      <w:fldSimple w:instr=" SEQ Table \* ARABIC ">
        <w:r w:rsidR="007F1A40">
          <w:rPr>
            <w:noProof/>
          </w:rPr>
          <w:t>1</w:t>
        </w:r>
      </w:fldSimple>
      <w:bookmarkEnd w:id="348"/>
      <w:r w:rsidRPr="00230CED">
        <w:t xml:space="preserve"> </w:t>
      </w:r>
      <w:r w:rsidR="00433F21">
        <w:t>–</w:t>
      </w:r>
      <w:r w:rsidRPr="00230CED">
        <w:t xml:space="preserve"> </w:t>
      </w:r>
      <w:r w:rsidR="00F75427" w:rsidRPr="00230CED">
        <w:t xml:space="preserve">EqIA </w:t>
      </w:r>
      <w:r w:rsidR="00DD763D" w:rsidRPr="00230CED">
        <w:t>S</w:t>
      </w:r>
      <w:r w:rsidR="00F75427" w:rsidRPr="00230CED">
        <w:t xml:space="preserve">tages of </w:t>
      </w:r>
      <w:r w:rsidR="00DD763D" w:rsidRPr="00230CED">
        <w:t>A</w:t>
      </w:r>
      <w:r w:rsidR="00F75427" w:rsidRPr="00230CED">
        <w:t>ssessment</w:t>
      </w:r>
      <w:bookmarkEnd w:id="349"/>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433F21" w14:paraId="13782293" w14:textId="77777777" w:rsidTr="00433F21">
        <w:trPr>
          <w:cantSplit/>
        </w:trPr>
        <w:tc>
          <w:tcPr>
            <w:tcW w:w="5000" w:type="pct"/>
            <w:shd w:val="clear" w:color="auto" w:fill="007D55"/>
          </w:tcPr>
          <w:p w14:paraId="0414CE3C" w14:textId="77777777" w:rsidR="00433F21" w:rsidRDefault="00433F21" w:rsidP="00433F21">
            <w:pPr>
              <w:pStyle w:val="TABLEHEADINGWHITE"/>
            </w:pPr>
            <w:r w:rsidRPr="00964DEF">
              <w:t>Initial Appraisal: Case for Change</w:t>
            </w:r>
          </w:p>
          <w:p w14:paraId="4EB9FCCD" w14:textId="2FE3564B" w:rsidR="00433F21" w:rsidRPr="0087499B" w:rsidRDefault="00433F21" w:rsidP="00433F21">
            <w:pPr>
              <w:pStyle w:val="TABLEHEADINGWHITE"/>
            </w:pPr>
            <w:r w:rsidRPr="00433F21">
              <w:t>Transport Planning Objectives (TPOs)</w:t>
            </w:r>
          </w:p>
        </w:tc>
      </w:tr>
      <w:tr w:rsidR="00433F21" w14:paraId="42C93988" w14:textId="77777777" w:rsidTr="00433F21">
        <w:trPr>
          <w:cantSplit/>
        </w:trPr>
        <w:tc>
          <w:tcPr>
            <w:tcW w:w="5000" w:type="pct"/>
            <w:shd w:val="clear" w:color="auto" w:fill="DCEDC6"/>
          </w:tcPr>
          <w:p w14:paraId="02D32764" w14:textId="28F00717" w:rsidR="00433F21" w:rsidRPr="007116F6" w:rsidRDefault="00433F21" w:rsidP="00433F21">
            <w:pPr>
              <w:pStyle w:val="STPR2TableBody"/>
            </w:pPr>
            <w:r w:rsidRPr="00433F21">
              <w:t>The impact assessment team provided sufficient information on relevant baseline constraints and policy to influence the development of both national- and regionally-specific TPOs and ensure that the TPOs were compatible with the STPR2 Equality Objectives developed for STPR2 impact assessments.</w:t>
            </w:r>
          </w:p>
        </w:tc>
      </w:tr>
      <w:tr w:rsidR="00433F21" w14:paraId="576B7985" w14:textId="77777777" w:rsidTr="00433F21">
        <w:trPr>
          <w:cantSplit/>
        </w:trPr>
        <w:tc>
          <w:tcPr>
            <w:tcW w:w="5000" w:type="pct"/>
            <w:shd w:val="clear" w:color="auto" w:fill="007D55"/>
          </w:tcPr>
          <w:p w14:paraId="3CB0E528" w14:textId="440204BC" w:rsidR="00433F21" w:rsidRPr="007116F6" w:rsidRDefault="00433F21" w:rsidP="00433F21">
            <w:pPr>
              <w:pStyle w:val="TABLEHEADINGWHITE"/>
            </w:pPr>
            <w:r w:rsidRPr="005D62CC">
              <w:t>Regional and National Case for Change Reports</w:t>
            </w:r>
          </w:p>
        </w:tc>
      </w:tr>
      <w:tr w:rsidR="00433F21" w14:paraId="6C4BF52C" w14:textId="77777777" w:rsidTr="00433F21">
        <w:trPr>
          <w:cantSplit/>
        </w:trPr>
        <w:tc>
          <w:tcPr>
            <w:tcW w:w="5000" w:type="pct"/>
            <w:shd w:val="clear" w:color="auto" w:fill="DCEDC6"/>
          </w:tcPr>
          <w:p w14:paraId="5121C6D2" w14:textId="1C7C745E" w:rsidR="00433F21" w:rsidRPr="007116F6" w:rsidRDefault="00433F21" w:rsidP="00433F21">
            <w:pPr>
              <w:pStyle w:val="STPR2TableBody"/>
            </w:pPr>
            <w:r w:rsidRPr="005D62CC">
              <w:t>Summary of the equalities baseline that is pertinent to each of the STPR2 regions was included in the Regional Case for Change reports.</w:t>
            </w:r>
          </w:p>
        </w:tc>
      </w:tr>
      <w:tr w:rsidR="00433F21" w14:paraId="753C09D6" w14:textId="77777777" w:rsidTr="00433F21">
        <w:trPr>
          <w:cantSplit/>
        </w:trPr>
        <w:tc>
          <w:tcPr>
            <w:tcW w:w="5000" w:type="pct"/>
            <w:shd w:val="clear" w:color="auto" w:fill="007D55"/>
          </w:tcPr>
          <w:p w14:paraId="3909978A" w14:textId="2EE9B7D5" w:rsidR="00433F21" w:rsidRPr="007116F6" w:rsidRDefault="00433F21" w:rsidP="00433F21">
            <w:pPr>
              <w:pStyle w:val="TABLEHEADINGWHITE"/>
            </w:pPr>
            <w:r w:rsidRPr="00734A36">
              <w:t>Long List Options Assessment</w:t>
            </w:r>
          </w:p>
        </w:tc>
      </w:tr>
      <w:tr w:rsidR="00433F21" w14:paraId="05604C0C" w14:textId="77777777" w:rsidTr="00433F21">
        <w:trPr>
          <w:cantSplit/>
        </w:trPr>
        <w:tc>
          <w:tcPr>
            <w:tcW w:w="5000" w:type="pct"/>
            <w:shd w:val="clear" w:color="auto" w:fill="DCEDC6"/>
          </w:tcPr>
          <w:p w14:paraId="76285C0D" w14:textId="573E3248" w:rsidR="00433F21" w:rsidRPr="007116F6" w:rsidRDefault="00433F21" w:rsidP="00433F21">
            <w:pPr>
              <w:pStyle w:val="STPR2TableBody"/>
            </w:pPr>
            <w:r w:rsidRPr="00734A36">
              <w:t>A high-level compatibility check of the long list of STPR2 options against the EqIA Objectives. A commentary has been provided for each theme and intervention listed, highlighting any significant equalities constraints/opportunities.</w:t>
            </w:r>
          </w:p>
        </w:tc>
      </w:tr>
      <w:tr w:rsidR="00433F21" w14:paraId="198EBAF2" w14:textId="77777777" w:rsidTr="00433F21">
        <w:trPr>
          <w:cantSplit/>
        </w:trPr>
        <w:tc>
          <w:tcPr>
            <w:tcW w:w="5000" w:type="pct"/>
            <w:shd w:val="clear" w:color="auto" w:fill="007D55"/>
          </w:tcPr>
          <w:p w14:paraId="52DD944A" w14:textId="081BCE13" w:rsidR="00433F21" w:rsidRPr="007116F6" w:rsidRDefault="00433F21" w:rsidP="00433F21">
            <w:pPr>
              <w:pStyle w:val="TABLEHEADINGWHITE"/>
            </w:pPr>
            <w:r w:rsidRPr="00734A36">
              <w:t>Preliminary Appraisal</w:t>
            </w:r>
          </w:p>
        </w:tc>
      </w:tr>
      <w:tr w:rsidR="00433F21" w14:paraId="7917DB27" w14:textId="77777777" w:rsidTr="00433F21">
        <w:trPr>
          <w:cantSplit/>
        </w:trPr>
        <w:tc>
          <w:tcPr>
            <w:tcW w:w="5000" w:type="pct"/>
            <w:shd w:val="clear" w:color="auto" w:fill="DCEDC6"/>
          </w:tcPr>
          <w:p w14:paraId="401B79AE" w14:textId="2DBD612E" w:rsidR="00433F21" w:rsidRPr="007116F6" w:rsidRDefault="00433F21" w:rsidP="00433F21">
            <w:pPr>
              <w:pStyle w:val="STPR2TableBody"/>
            </w:pPr>
            <w:r w:rsidRPr="00734A36">
              <w:t>A matrix-based assessment of shortlisted interventions was undertaken using the EqIA Objectives / assessment questions to guide assessment, aligning with STAG criteria and EqIA requirements. Commentary has been provided to justify the scoring and consider relevant likely significant effects, mitigation, assumptions and uncertainties where relevant. This assessment identified recommendations / mitigation at this stage and focused on refinements to wording, intervention options, caveats and monitoring controls, based on the EqIA Objectives and underlying assessment guide questions.</w:t>
            </w:r>
          </w:p>
        </w:tc>
      </w:tr>
      <w:tr w:rsidR="00433F21" w14:paraId="6E883622" w14:textId="77777777" w:rsidTr="00433F21">
        <w:trPr>
          <w:cantSplit/>
        </w:trPr>
        <w:tc>
          <w:tcPr>
            <w:tcW w:w="5000" w:type="pct"/>
            <w:shd w:val="clear" w:color="auto" w:fill="007D55"/>
          </w:tcPr>
          <w:p w14:paraId="38FA1F1C" w14:textId="096908F1" w:rsidR="00433F21" w:rsidRPr="007116F6" w:rsidRDefault="00433F21" w:rsidP="00433F21">
            <w:pPr>
              <w:pStyle w:val="TABLEHEADINGWHITE"/>
            </w:pPr>
            <w:r w:rsidRPr="00734A36">
              <w:t>Detailed Appraisal</w:t>
            </w:r>
          </w:p>
        </w:tc>
      </w:tr>
      <w:tr w:rsidR="00433F21" w14:paraId="5437FDBD" w14:textId="77777777" w:rsidTr="00433F21">
        <w:trPr>
          <w:cantSplit/>
        </w:trPr>
        <w:tc>
          <w:tcPr>
            <w:tcW w:w="5000" w:type="pct"/>
            <w:shd w:val="clear" w:color="auto" w:fill="DCEDC6"/>
          </w:tcPr>
          <w:p w14:paraId="1B523EF8" w14:textId="395B44B7" w:rsidR="00433F21" w:rsidRPr="007116F6" w:rsidRDefault="00433F21" w:rsidP="00433F21">
            <w:pPr>
              <w:pStyle w:val="STPR2TableBody"/>
            </w:pPr>
            <w:r w:rsidRPr="00734A36">
              <w:t xml:space="preserve">Equalities-related components of the STAG appraisal with a more detailed assessment of STPR2 packages against aligned STAG and EqIA topics using EqIA Objectives and assessment questions as a guide. The assessment utilises </w:t>
            </w:r>
            <w:r w:rsidRPr="008F0C9D">
              <w:t xml:space="preserve">a seven-point scoring system for EqIA for each of the STPR2 packages as shown in </w:t>
            </w:r>
            <w:r w:rsidR="008F0C9D" w:rsidRPr="008F0C9D">
              <w:fldChar w:fldCharType="begin"/>
            </w:r>
            <w:r w:rsidR="008F0C9D" w:rsidRPr="008F0C9D">
              <w:instrText xml:space="preserve"> REF _Ref121234483 \h </w:instrText>
            </w:r>
            <w:r w:rsidR="008F0C9D">
              <w:instrText xml:space="preserve"> \* MERGEFORMAT </w:instrText>
            </w:r>
            <w:r w:rsidR="008F0C9D" w:rsidRPr="008F0C9D">
              <w:fldChar w:fldCharType="separate"/>
            </w:r>
            <w:r w:rsidR="007F1A40" w:rsidRPr="00445B93">
              <w:t xml:space="preserve">Table </w:t>
            </w:r>
            <w:r w:rsidR="007F1A40">
              <w:t>2</w:t>
            </w:r>
            <w:r w:rsidR="008F0C9D" w:rsidRPr="008F0C9D">
              <w:fldChar w:fldCharType="end"/>
            </w:r>
            <w:r w:rsidRPr="008F0C9D">
              <w:t>. The commentary justifies the scoring and considers relevant likely significant effects</w:t>
            </w:r>
            <w:r w:rsidRPr="00734A36">
              <w:t>, mitigation, assumptions and uncertainties where relevant.</w:t>
            </w:r>
          </w:p>
        </w:tc>
      </w:tr>
      <w:tr w:rsidR="00433F21" w14:paraId="31B9605B" w14:textId="77777777" w:rsidTr="00433F21">
        <w:trPr>
          <w:cantSplit/>
        </w:trPr>
        <w:tc>
          <w:tcPr>
            <w:tcW w:w="5000" w:type="pct"/>
            <w:shd w:val="clear" w:color="auto" w:fill="007D55"/>
          </w:tcPr>
          <w:p w14:paraId="030E2756" w14:textId="1CE9EC41" w:rsidR="00433F21" w:rsidRPr="007116F6" w:rsidRDefault="00433F21" w:rsidP="00433F21">
            <w:pPr>
              <w:pStyle w:val="TABLEHEADINGWHITE"/>
              <w:keepNext/>
              <w:keepLines/>
            </w:pPr>
            <w:r w:rsidRPr="00734A36">
              <w:lastRenderedPageBreak/>
              <w:t>Post Appraisal: Monitoring and Evaluation</w:t>
            </w:r>
          </w:p>
        </w:tc>
      </w:tr>
      <w:tr w:rsidR="00433F21" w14:paraId="33B30CAC" w14:textId="77777777" w:rsidTr="00433F21">
        <w:trPr>
          <w:cantSplit/>
        </w:trPr>
        <w:tc>
          <w:tcPr>
            <w:tcW w:w="5000" w:type="pct"/>
            <w:shd w:val="clear" w:color="auto" w:fill="DCEDC6"/>
          </w:tcPr>
          <w:p w14:paraId="2FB24E5D" w14:textId="2B0698AB" w:rsidR="00433F21" w:rsidRPr="007116F6" w:rsidRDefault="00433F21" w:rsidP="00433F21">
            <w:pPr>
              <w:pStyle w:val="STPR2TableBody"/>
            </w:pPr>
            <w:r w:rsidRPr="00734A36">
              <w:t>A Post Adoption Statement that takes consultation comments into account will be published following the adoption of the recommendations within the STPR2 Final</w:t>
            </w:r>
            <w:r>
              <w:t> </w:t>
            </w:r>
            <w:r w:rsidRPr="00734A36">
              <w:t>Report.</w:t>
            </w:r>
          </w:p>
        </w:tc>
      </w:tr>
    </w:tbl>
    <w:p w14:paraId="79584F45" w14:textId="5F9A7A81" w:rsidR="00D87E78" w:rsidRPr="00CF32E9" w:rsidRDefault="00D87E78" w:rsidP="00AD04AB">
      <w:pPr>
        <w:pStyle w:val="Heading2"/>
        <w:spacing w:before="120"/>
      </w:pPr>
      <w:bookmarkStart w:id="350" w:name="_Toc121233806"/>
      <w:r>
        <w:t>Eq</w:t>
      </w:r>
      <w:r w:rsidR="00BF0CC0">
        <w:t>IA</w:t>
      </w:r>
      <w:r>
        <w:t xml:space="preserve"> </w:t>
      </w:r>
      <w:r w:rsidR="001717AE">
        <w:t xml:space="preserve">Topics and </w:t>
      </w:r>
      <w:r>
        <w:t>Objectives</w:t>
      </w:r>
      <w:bookmarkEnd w:id="350"/>
    </w:p>
    <w:p w14:paraId="1239C553" w14:textId="456EA223" w:rsidR="0034417A" w:rsidRDefault="007531BD" w:rsidP="00352646">
      <w:pPr>
        <w:pStyle w:val="STPR2BodyText"/>
      </w:pPr>
      <w:r w:rsidRPr="00CF3A22">
        <w:t xml:space="preserve">The </w:t>
      </w:r>
      <w:r w:rsidR="003D4754">
        <w:t>EqIA</w:t>
      </w:r>
      <w:r w:rsidRPr="00CF3A22">
        <w:t xml:space="preserve"> </w:t>
      </w:r>
      <w:r>
        <w:t>ha</w:t>
      </w:r>
      <w:r w:rsidR="003D4754">
        <w:t>s been</w:t>
      </w:r>
      <w:r>
        <w:t xml:space="preserve"> </w:t>
      </w:r>
      <w:r w:rsidR="00FC2AFA">
        <w:t>based on</w:t>
      </w:r>
      <w:r w:rsidRPr="00CF3A22">
        <w:t xml:space="preserve"> a set of </w:t>
      </w:r>
      <w:r w:rsidR="003D4754">
        <w:t>Eq</w:t>
      </w:r>
      <w:r w:rsidR="00215C39">
        <w:t>uality</w:t>
      </w:r>
      <w:r w:rsidRPr="00CF3A22">
        <w:t xml:space="preserve"> </w:t>
      </w:r>
      <w:r w:rsidR="001717AE">
        <w:t>topics and</w:t>
      </w:r>
      <w:r w:rsidRPr="00CF3A22">
        <w:t xml:space="preserve"> </w:t>
      </w:r>
      <w:r w:rsidR="001717AE">
        <w:t>o</w:t>
      </w:r>
      <w:r w:rsidRPr="00CF3A22">
        <w:t xml:space="preserve">bjectives and assessment </w:t>
      </w:r>
      <w:r w:rsidR="0034417A">
        <w:t>guidance questions</w:t>
      </w:r>
      <w:r w:rsidRPr="00CF3A22">
        <w:t>.</w:t>
      </w:r>
      <w:r w:rsidR="0034417A">
        <w:t xml:space="preserve"> </w:t>
      </w:r>
      <w:r w:rsidR="00FA410E">
        <w:t>These were developed</w:t>
      </w:r>
      <w:r w:rsidR="00FC2AFA">
        <w:t xml:space="preserve"> at the initial appraisal stage</w:t>
      </w:r>
      <w:r w:rsidR="00FA410E">
        <w:t xml:space="preserve"> through:</w:t>
      </w:r>
    </w:p>
    <w:p w14:paraId="4D53B826" w14:textId="78236D86" w:rsidR="0034417A" w:rsidRPr="00547879" w:rsidRDefault="0034417A" w:rsidP="00352646">
      <w:pPr>
        <w:pStyle w:val="STPR2BulletsLevel1"/>
      </w:pPr>
      <w:r w:rsidRPr="00547879">
        <w:t>a comprehensive review of the baseline issues and policy requirements</w:t>
      </w:r>
      <w:r w:rsidR="0059233F" w:rsidRPr="00547879">
        <w:t xml:space="preserve"> with regards to </w:t>
      </w:r>
      <w:r w:rsidR="000017ED" w:rsidRPr="00547879">
        <w:t>protected characteristic groups, island communities, socially-economic disadvantaged</w:t>
      </w:r>
      <w:r w:rsidR="00A87DFD" w:rsidRPr="00547879">
        <w:t xml:space="preserve"> </w:t>
      </w:r>
      <w:r w:rsidR="004F0FD2">
        <w:t>groups</w:t>
      </w:r>
      <w:r w:rsidR="00A87DFD" w:rsidRPr="00547879">
        <w:t xml:space="preserve"> and children and young people</w:t>
      </w:r>
      <w:r w:rsidRPr="00547879">
        <w:t>;</w:t>
      </w:r>
    </w:p>
    <w:p w14:paraId="1FCC7016" w14:textId="77777777" w:rsidR="0034417A" w:rsidRPr="00547879" w:rsidRDefault="0034417A" w:rsidP="007C7756">
      <w:pPr>
        <w:pStyle w:val="STPR2BulletsLevel1"/>
      </w:pPr>
      <w:r w:rsidRPr="00547879">
        <w:t>a gap analysis review of the STAG criteria; and</w:t>
      </w:r>
    </w:p>
    <w:p w14:paraId="00F4AD26" w14:textId="42D8C801" w:rsidR="0034417A" w:rsidRPr="00547879" w:rsidRDefault="0034417A" w:rsidP="00C23F99">
      <w:pPr>
        <w:pStyle w:val="STPR2BulletsLevel1"/>
      </w:pPr>
      <w:r w:rsidRPr="00547879">
        <w:t xml:space="preserve">feedback received from the EqIA </w:t>
      </w:r>
      <w:r w:rsidR="00A73FF3">
        <w:t>and general c</w:t>
      </w:r>
      <w:r w:rsidRPr="00547879">
        <w:t xml:space="preserve">onsultation activities. </w:t>
      </w:r>
    </w:p>
    <w:p w14:paraId="1D855C69" w14:textId="1ABE3929" w:rsidR="007531BD" w:rsidRDefault="007531BD" w:rsidP="007F2389">
      <w:pPr>
        <w:pStyle w:val="STPR2BodyText"/>
      </w:pPr>
      <w:r>
        <w:t>Th</w:t>
      </w:r>
      <w:r w:rsidR="00211936">
        <w:t>ese</w:t>
      </w:r>
      <w:r w:rsidR="003B4687">
        <w:t xml:space="preserve"> </w:t>
      </w:r>
      <w:r w:rsidR="00C75884">
        <w:t>objectives and guidance questions</w:t>
      </w:r>
      <w:r w:rsidR="009F2462">
        <w:t xml:space="preserve"> form</w:t>
      </w:r>
      <w:r w:rsidR="003B4687">
        <w:t xml:space="preserve"> the</w:t>
      </w:r>
      <w:r>
        <w:t xml:space="preserve"> </w:t>
      </w:r>
      <w:r w:rsidRPr="00CF3A22">
        <w:t>assessment</w:t>
      </w:r>
      <w:r>
        <w:t xml:space="preserve"> framework</w:t>
      </w:r>
      <w:r w:rsidR="00790770">
        <w:t xml:space="preserve"> across all of the social and equality related impacts assessments and</w:t>
      </w:r>
      <w:r>
        <w:t xml:space="preserve"> </w:t>
      </w:r>
      <w:r w:rsidR="003E29ED">
        <w:t xml:space="preserve">have been </w:t>
      </w:r>
      <w:r>
        <w:t>use</w:t>
      </w:r>
      <w:r w:rsidR="003B4687">
        <w:t>d</w:t>
      </w:r>
      <w:r>
        <w:t xml:space="preserve"> to determine the likely significant effects</w:t>
      </w:r>
      <w:r w:rsidRPr="00CF3A22">
        <w:t xml:space="preserve"> </w:t>
      </w:r>
      <w:r>
        <w:t>of STPR2.</w:t>
      </w:r>
      <w:r w:rsidRPr="00CF3A22">
        <w:t xml:space="preserve"> </w:t>
      </w:r>
      <w:r w:rsidR="008F0C9D">
        <w:fldChar w:fldCharType="begin"/>
      </w:r>
      <w:r w:rsidR="008F0C9D">
        <w:instrText xml:space="preserve"> REF _Ref121234565 \n \h </w:instrText>
      </w:r>
      <w:r w:rsidR="008F0C9D">
        <w:fldChar w:fldCharType="separate"/>
      </w:r>
      <w:r w:rsidR="007F1A40">
        <w:t>Appendix B:</w:t>
      </w:r>
      <w:r w:rsidR="008F0C9D">
        <w:fldChar w:fldCharType="end"/>
      </w:r>
      <w:r w:rsidR="00D234C3">
        <w:t xml:space="preserve"> describes each of the objectives and </w:t>
      </w:r>
      <w:r w:rsidR="00211936">
        <w:t xml:space="preserve">associate guidance criteria. </w:t>
      </w:r>
      <w:r w:rsidR="00621E92">
        <w:t>Acknowledging the cross</w:t>
      </w:r>
      <w:r w:rsidR="003E29ED">
        <w:t>-</w:t>
      </w:r>
      <w:r w:rsidR="00621E92">
        <w:t xml:space="preserve">cutting issues experienced </w:t>
      </w:r>
      <w:r w:rsidR="00A40000">
        <w:t>by groups with protected characteristic</w:t>
      </w:r>
      <w:r w:rsidR="008A3A3E">
        <w:t>s,</w:t>
      </w:r>
      <w:r w:rsidR="00A40000">
        <w:t xml:space="preserve"> a</w:t>
      </w:r>
      <w:r w:rsidR="00A117FE">
        <w:t xml:space="preserve">ll of the Equality </w:t>
      </w:r>
      <w:r w:rsidR="001717AE">
        <w:t>topics and o</w:t>
      </w:r>
      <w:r w:rsidR="00A117FE">
        <w:t>bjectives</w:t>
      </w:r>
      <w:r w:rsidR="00547879">
        <w:t xml:space="preserve"> set out below have been used </w:t>
      </w:r>
      <w:r w:rsidR="008A3A3E">
        <w:t xml:space="preserve">for </w:t>
      </w:r>
      <w:r w:rsidR="00547879">
        <w:t>the EqIA</w:t>
      </w:r>
      <w:r w:rsidR="008A3A3E">
        <w:t xml:space="preserve"> approach</w:t>
      </w:r>
      <w:r w:rsidR="00547879">
        <w:t>:</w:t>
      </w:r>
    </w:p>
    <w:p w14:paraId="0AF932E2" w14:textId="554433B7" w:rsidR="00547879" w:rsidRDefault="00547879">
      <w:pPr>
        <w:pStyle w:val="STPR2BulletsLevel1"/>
      </w:pPr>
      <w:r w:rsidRPr="00547879">
        <w:rPr>
          <w:b/>
          <w:bCs/>
        </w:rPr>
        <w:t>Population</w:t>
      </w:r>
      <w:r w:rsidRPr="00211936">
        <w:rPr>
          <w:b/>
        </w:rPr>
        <w:t xml:space="preserve"> </w:t>
      </w:r>
      <w:r w:rsidR="00211936" w:rsidRPr="00211936">
        <w:rPr>
          <w:b/>
          <w:bCs/>
        </w:rPr>
        <w:t>-</w:t>
      </w:r>
      <w:r>
        <w:t xml:space="preserve"> </w:t>
      </w:r>
      <w:r w:rsidRPr="006B3316">
        <w:t>Promote greater equality of opportunity for all of Scotland’s residents in order to promote a fairer, more inclusive society</w:t>
      </w:r>
      <w:r w:rsidR="003E06BE">
        <w:t>.</w:t>
      </w:r>
    </w:p>
    <w:p w14:paraId="7F8FDE15" w14:textId="7B66DC73" w:rsidR="00547879" w:rsidRDefault="00547879">
      <w:pPr>
        <w:pStyle w:val="STPR2BulletsLevel1"/>
      </w:pPr>
      <w:r w:rsidRPr="00547879">
        <w:rPr>
          <w:b/>
          <w:bCs/>
        </w:rPr>
        <w:t>Deprivation</w:t>
      </w:r>
      <w:r w:rsidRPr="00211936">
        <w:rPr>
          <w:b/>
        </w:rPr>
        <w:t xml:space="preserve"> -</w:t>
      </w:r>
      <w:r>
        <w:t xml:space="preserve"> </w:t>
      </w:r>
      <w:r w:rsidRPr="006B3316">
        <w:t xml:space="preserve">Deliver an accessible and affordable transport system </w:t>
      </w:r>
      <w:r w:rsidR="00D93AAC">
        <w:t xml:space="preserve">that </w:t>
      </w:r>
      <w:r w:rsidRPr="006B3316">
        <w:t>reduces inequalities of outcome resulting from multiple deprivation and supports the regeneration of disadvantaged or deprived areas.</w:t>
      </w:r>
    </w:p>
    <w:p w14:paraId="4BA15D5E" w14:textId="33149861" w:rsidR="00547879" w:rsidRDefault="00547879">
      <w:pPr>
        <w:pStyle w:val="STPR2BulletsLevel1"/>
      </w:pPr>
      <w:r w:rsidRPr="00547879">
        <w:rPr>
          <w:b/>
          <w:bCs/>
        </w:rPr>
        <w:t>Employment</w:t>
      </w:r>
      <w:r w:rsidRPr="00211936">
        <w:rPr>
          <w:b/>
        </w:rPr>
        <w:t xml:space="preserve"> -</w:t>
      </w:r>
      <w:r>
        <w:t xml:space="preserve"> </w:t>
      </w:r>
      <w:r w:rsidRPr="00F008DA">
        <w:t>Deliver an effective and integrated transport system that improves access to employment and economic opportunities for all.</w:t>
      </w:r>
    </w:p>
    <w:p w14:paraId="38267F21" w14:textId="32A7001D" w:rsidR="00547879" w:rsidRDefault="00547879">
      <w:pPr>
        <w:pStyle w:val="STPR2BulletsLevel1"/>
      </w:pPr>
      <w:r w:rsidRPr="00445C80">
        <w:rPr>
          <w:b/>
          <w:bCs/>
        </w:rPr>
        <w:t>Income and Wealth</w:t>
      </w:r>
      <w:r>
        <w:rPr>
          <w:b/>
          <w:bCs/>
        </w:rPr>
        <w:t xml:space="preserve"> </w:t>
      </w:r>
      <w:r w:rsidRPr="00211936">
        <w:rPr>
          <w:b/>
        </w:rPr>
        <w:t>-</w:t>
      </w:r>
      <w:r w:rsidRPr="00547879">
        <w:t xml:space="preserve"> </w:t>
      </w:r>
      <w:r w:rsidRPr="006B3316">
        <w:t>Deliver an effective and integrated transport system which promotes economic opportunity for all.</w:t>
      </w:r>
    </w:p>
    <w:p w14:paraId="4BBC32C0" w14:textId="14F40D1E" w:rsidR="00547879" w:rsidRDefault="00547879">
      <w:pPr>
        <w:pStyle w:val="STPR2BulletsLevel1"/>
      </w:pPr>
      <w:r w:rsidRPr="006B3316">
        <w:rPr>
          <w:b/>
          <w:bCs/>
        </w:rPr>
        <w:t>Education and Skills</w:t>
      </w:r>
      <w:r>
        <w:rPr>
          <w:b/>
          <w:bCs/>
        </w:rPr>
        <w:t xml:space="preserve"> </w:t>
      </w:r>
      <w:r w:rsidRPr="00211936">
        <w:rPr>
          <w:b/>
        </w:rPr>
        <w:t>-</w:t>
      </w:r>
      <w:r>
        <w:rPr>
          <w:b/>
          <w:bCs/>
        </w:rPr>
        <w:t xml:space="preserve"> </w:t>
      </w:r>
      <w:r w:rsidRPr="006B3316">
        <w:t>Enhance education and training opportunities across Scotland and reduce socio-economic and geographic disparities in educational attainment.</w:t>
      </w:r>
    </w:p>
    <w:p w14:paraId="71A7E899" w14:textId="45D0EB31" w:rsidR="00547879" w:rsidRDefault="00547879">
      <w:pPr>
        <w:pStyle w:val="STPR2BulletsLevel1"/>
      </w:pPr>
      <w:r w:rsidRPr="006B3316">
        <w:rPr>
          <w:b/>
          <w:bCs/>
        </w:rPr>
        <w:t>Health and Health Inequality</w:t>
      </w:r>
      <w:r>
        <w:rPr>
          <w:b/>
          <w:bCs/>
        </w:rPr>
        <w:t xml:space="preserve"> - </w:t>
      </w:r>
      <w:r w:rsidRPr="006B3316">
        <w:t>Maintain, or provide opportunities to improve, human health for all demographic groups and communities across Scotland and minimi</w:t>
      </w:r>
      <w:r w:rsidR="002D3088">
        <w:t>s</w:t>
      </w:r>
      <w:r w:rsidRPr="006B3316">
        <w:t>e health inequalities.</w:t>
      </w:r>
    </w:p>
    <w:p w14:paraId="092021A3" w14:textId="03D882B6" w:rsidR="00547879" w:rsidRDefault="00547879">
      <w:pPr>
        <w:pStyle w:val="STPR2BulletsLevel1"/>
      </w:pPr>
      <w:r w:rsidRPr="006B3316">
        <w:rPr>
          <w:b/>
          <w:bCs/>
        </w:rPr>
        <w:t>Transport Accessibility and Connectivity</w:t>
      </w:r>
      <w:r>
        <w:rPr>
          <w:b/>
          <w:bCs/>
        </w:rPr>
        <w:t xml:space="preserve"> - </w:t>
      </w:r>
      <w:r w:rsidRPr="006B3316">
        <w:t>Ensure the provision of adequate and affordable transport infrastructure, services and facilities to meet identified population and economic needs and minimise barriers to travel for all people, in particular those facing socio-economic disadvantage.</w:t>
      </w:r>
    </w:p>
    <w:p w14:paraId="241B437B" w14:textId="4D1B5E71" w:rsidR="00547879" w:rsidRDefault="00547879">
      <w:pPr>
        <w:pStyle w:val="STPR2BulletsLevel1"/>
      </w:pPr>
      <w:r w:rsidRPr="006B3316">
        <w:rPr>
          <w:b/>
          <w:bCs/>
        </w:rPr>
        <w:t>Safety and Security</w:t>
      </w:r>
      <w:r>
        <w:rPr>
          <w:b/>
          <w:bCs/>
        </w:rPr>
        <w:t xml:space="preserve"> - </w:t>
      </w:r>
      <w:r w:rsidRPr="006B3316">
        <w:t>Improve the safety, security and health of people by reducing the risk of death, injury or illness arising from transport, and by promoting travel modes that are beneficial to health.</w:t>
      </w:r>
    </w:p>
    <w:p w14:paraId="3E8A887C" w14:textId="46F7453B" w:rsidR="00547879" w:rsidRDefault="00547879" w:rsidP="00AD04AB">
      <w:pPr>
        <w:pStyle w:val="STPR2BulletsLevel1"/>
      </w:pPr>
      <w:r w:rsidRPr="006B3316">
        <w:rPr>
          <w:b/>
          <w:bCs/>
        </w:rPr>
        <w:t>Island Communities</w:t>
      </w:r>
      <w:r>
        <w:rPr>
          <w:b/>
          <w:bCs/>
        </w:rPr>
        <w:t xml:space="preserve"> - </w:t>
      </w:r>
      <w:r w:rsidRPr="006B3316">
        <w:t>Increase the economic prosperity of</w:t>
      </w:r>
      <w:r w:rsidR="00410239">
        <w:t>,</w:t>
      </w:r>
      <w:r w:rsidRPr="006B3316">
        <w:t xml:space="preserve"> and address the unique challenges faced by</w:t>
      </w:r>
      <w:r w:rsidR="00410239">
        <w:t>,</w:t>
      </w:r>
      <w:r w:rsidRPr="006B3316">
        <w:t xml:space="preserve"> island communities.</w:t>
      </w:r>
    </w:p>
    <w:p w14:paraId="12D0428D" w14:textId="7A6801BB" w:rsidR="00E15442" w:rsidRPr="008B5CFF" w:rsidRDefault="00E15442" w:rsidP="00982754">
      <w:pPr>
        <w:pStyle w:val="Heading2"/>
        <w:keepNext/>
        <w:keepLines/>
      </w:pPr>
      <w:bookmarkStart w:id="351" w:name="_Toc81993609"/>
      <w:bookmarkStart w:id="352" w:name="_Toc89974034"/>
      <w:bookmarkStart w:id="353" w:name="_Toc121233807"/>
      <w:r w:rsidRPr="008B5CFF">
        <w:lastRenderedPageBreak/>
        <w:t xml:space="preserve">Matrix </w:t>
      </w:r>
      <w:r w:rsidRPr="001F034F">
        <w:t>Approach</w:t>
      </w:r>
      <w:bookmarkEnd w:id="351"/>
      <w:bookmarkEnd w:id="352"/>
      <w:bookmarkEnd w:id="353"/>
    </w:p>
    <w:p w14:paraId="5A95C58E" w14:textId="55BA53F7" w:rsidR="00E15442" w:rsidRPr="008F0C9D" w:rsidRDefault="00E15442" w:rsidP="008F0C9D">
      <w:pPr>
        <w:pStyle w:val="STPR2BodyText"/>
      </w:pPr>
      <w:r w:rsidRPr="008F0C9D">
        <w:t xml:space="preserve">The </w:t>
      </w:r>
      <w:r w:rsidR="005F62D4" w:rsidRPr="008F0C9D">
        <w:t>EqIA</w:t>
      </w:r>
      <w:r w:rsidRPr="008F0C9D">
        <w:t xml:space="preserve"> process has used a matrix-based approach, with a qualitative scoring system to identify likely </w:t>
      </w:r>
      <w:r w:rsidR="004B3CF3" w:rsidRPr="008F0C9D">
        <w:t>impact</w:t>
      </w:r>
      <w:r w:rsidRPr="008F0C9D">
        <w:t xml:space="preserve">s on the </w:t>
      </w:r>
      <w:r w:rsidR="00D7206E" w:rsidRPr="008F0C9D">
        <w:t>EqIA</w:t>
      </w:r>
      <w:r w:rsidRPr="008F0C9D">
        <w:t xml:space="preserve"> objectives. The seven-point scoring system used for the assessment of effects in the detailed appraisal stage is described in </w:t>
      </w:r>
      <w:r w:rsidR="008F0C9D" w:rsidRPr="008F0C9D">
        <w:fldChar w:fldCharType="begin"/>
      </w:r>
      <w:r w:rsidR="008F0C9D" w:rsidRPr="008F0C9D">
        <w:instrText xml:space="preserve"> REF _Ref121234483 \h </w:instrText>
      </w:r>
      <w:r w:rsidR="008F0C9D">
        <w:instrText xml:space="preserve"> \* MERGEFORMAT </w:instrText>
      </w:r>
      <w:r w:rsidR="008F0C9D" w:rsidRPr="008F0C9D">
        <w:fldChar w:fldCharType="separate"/>
      </w:r>
      <w:r w:rsidR="007F1A40" w:rsidRPr="00445B93">
        <w:t xml:space="preserve">Table </w:t>
      </w:r>
      <w:r w:rsidR="007F1A40">
        <w:t>2</w:t>
      </w:r>
      <w:r w:rsidR="008F0C9D" w:rsidRPr="008F0C9D">
        <w:fldChar w:fldCharType="end"/>
      </w:r>
      <w:r w:rsidR="00AA45BA" w:rsidRPr="008F0C9D">
        <w:t>.</w:t>
      </w:r>
      <w:r w:rsidRPr="008F0C9D">
        <w:t xml:space="preserve"> This approach has several advantages, including the systematic recording of potential effects and their significance, with a narrative accompanying each score to explain the rationale for scoring and the predicted impacts.</w:t>
      </w:r>
    </w:p>
    <w:p w14:paraId="28115B55" w14:textId="49CB4B97" w:rsidR="00D87E78" w:rsidRDefault="00700BB3" w:rsidP="00AD04AB">
      <w:pPr>
        <w:pStyle w:val="STPR2CaptionFigures"/>
      </w:pPr>
      <w:bookmarkStart w:id="354" w:name="_Ref121234483"/>
      <w:bookmarkStart w:id="355" w:name="_Toc121233685"/>
      <w:r w:rsidRPr="00445B93">
        <w:t xml:space="preserve">Table </w:t>
      </w:r>
      <w:fldSimple w:instr=" SEQ Table \* ARABIC ">
        <w:r w:rsidR="007F1A40">
          <w:rPr>
            <w:noProof/>
          </w:rPr>
          <w:t>2</w:t>
        </w:r>
      </w:fldSimple>
      <w:bookmarkEnd w:id="354"/>
      <w:r w:rsidRPr="00445B93">
        <w:t xml:space="preserve"> </w:t>
      </w:r>
      <w:r w:rsidR="00AD04AB">
        <w:t>–</w:t>
      </w:r>
      <w:r w:rsidRPr="00445B93">
        <w:t xml:space="preserve"> </w:t>
      </w:r>
      <w:r w:rsidR="00D87E78" w:rsidRPr="00445B93">
        <w:t xml:space="preserve">EqIA Scoring System for </w:t>
      </w:r>
      <w:r w:rsidR="00362BFF" w:rsidRPr="00445B93">
        <w:t xml:space="preserve">Detailed </w:t>
      </w:r>
      <w:r w:rsidR="00D87E78" w:rsidRPr="00445B93">
        <w:t xml:space="preserve">Appraisal of </w:t>
      </w:r>
      <w:r w:rsidR="00D00FE7" w:rsidRPr="00445B93">
        <w:t>O</w:t>
      </w:r>
      <w:r w:rsidR="00D87E78" w:rsidRPr="00445B93">
        <w:t>ptions</w:t>
      </w:r>
      <w:bookmarkEnd w:id="355"/>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AD04AB" w14:paraId="2FCE7657" w14:textId="77777777" w:rsidTr="00D54AA7">
        <w:trPr>
          <w:cantSplit/>
        </w:trPr>
        <w:tc>
          <w:tcPr>
            <w:tcW w:w="5000" w:type="pct"/>
            <w:shd w:val="clear" w:color="auto" w:fill="007D55"/>
          </w:tcPr>
          <w:p w14:paraId="084A91F7" w14:textId="59DD9EA0" w:rsidR="00AD04AB" w:rsidRPr="0087499B" w:rsidRDefault="00AD04AB" w:rsidP="00AD04AB">
            <w:pPr>
              <w:pStyle w:val="TABLEHEADINGWHITE"/>
              <w:spacing w:before="60" w:after="60"/>
            </w:pPr>
            <w:r w:rsidRPr="002C41FD">
              <w:t>Score Major Positive Impact</w:t>
            </w:r>
          </w:p>
        </w:tc>
      </w:tr>
      <w:tr w:rsidR="00AD04AB" w14:paraId="49F77507" w14:textId="77777777" w:rsidTr="00D54AA7">
        <w:trPr>
          <w:cantSplit/>
        </w:trPr>
        <w:tc>
          <w:tcPr>
            <w:tcW w:w="5000" w:type="pct"/>
            <w:shd w:val="clear" w:color="auto" w:fill="DCEDC6"/>
          </w:tcPr>
          <w:p w14:paraId="1E9EB7A2" w14:textId="261B4847" w:rsidR="00AD04AB" w:rsidRPr="007116F6" w:rsidRDefault="00AD04AB" w:rsidP="00AD04AB">
            <w:pPr>
              <w:pStyle w:val="STPR2TableBody"/>
              <w:spacing w:before="60" w:after="60"/>
            </w:pPr>
            <w:r w:rsidRPr="002C41FD">
              <w:t>The proposed option provides a major contribution to the achievement of the EqIA Objective.</w:t>
            </w:r>
          </w:p>
        </w:tc>
      </w:tr>
      <w:tr w:rsidR="00AD04AB" w14:paraId="0F510845" w14:textId="77777777" w:rsidTr="00D54AA7">
        <w:trPr>
          <w:cantSplit/>
        </w:trPr>
        <w:tc>
          <w:tcPr>
            <w:tcW w:w="5000" w:type="pct"/>
            <w:shd w:val="clear" w:color="auto" w:fill="007D55"/>
          </w:tcPr>
          <w:p w14:paraId="355169B5" w14:textId="7FB091B3" w:rsidR="00AD04AB" w:rsidRPr="007116F6" w:rsidRDefault="00AD04AB" w:rsidP="00AD04AB">
            <w:pPr>
              <w:pStyle w:val="TABLEHEADINGWHITE"/>
              <w:spacing w:before="60" w:after="60"/>
            </w:pPr>
            <w:r w:rsidRPr="002C41FD">
              <w:t>Score Moderate Positive Impact</w:t>
            </w:r>
          </w:p>
        </w:tc>
      </w:tr>
      <w:tr w:rsidR="00AD04AB" w14:paraId="2D8C86CD" w14:textId="77777777" w:rsidTr="00D54AA7">
        <w:trPr>
          <w:cantSplit/>
        </w:trPr>
        <w:tc>
          <w:tcPr>
            <w:tcW w:w="5000" w:type="pct"/>
            <w:shd w:val="clear" w:color="auto" w:fill="DCEDC6"/>
          </w:tcPr>
          <w:p w14:paraId="32B6E56E" w14:textId="33D26BED" w:rsidR="00AD04AB" w:rsidRPr="007116F6" w:rsidRDefault="00AD04AB" w:rsidP="00AD04AB">
            <w:pPr>
              <w:pStyle w:val="STPR2TableBody"/>
              <w:spacing w:before="60" w:after="60"/>
            </w:pPr>
            <w:r w:rsidRPr="002C41FD">
              <w:t>The proposed option contributes significantly to the achievement of the EqIA Objective.</w:t>
            </w:r>
          </w:p>
        </w:tc>
      </w:tr>
      <w:tr w:rsidR="00AD04AB" w14:paraId="6CA2BCD4" w14:textId="77777777" w:rsidTr="00D54AA7">
        <w:trPr>
          <w:cantSplit/>
        </w:trPr>
        <w:tc>
          <w:tcPr>
            <w:tcW w:w="5000" w:type="pct"/>
            <w:shd w:val="clear" w:color="auto" w:fill="007D55"/>
          </w:tcPr>
          <w:p w14:paraId="031C3826" w14:textId="2A832C28" w:rsidR="00AD04AB" w:rsidRPr="007116F6" w:rsidRDefault="00AD04AB" w:rsidP="00AD04AB">
            <w:pPr>
              <w:pStyle w:val="TABLEHEADINGWHITE"/>
              <w:spacing w:before="60" w:after="60"/>
            </w:pPr>
            <w:r w:rsidRPr="002C41FD">
              <w:t>Score Minor Positive Impact</w:t>
            </w:r>
          </w:p>
        </w:tc>
      </w:tr>
      <w:tr w:rsidR="00AD04AB" w14:paraId="526AEE23" w14:textId="77777777" w:rsidTr="00D54AA7">
        <w:trPr>
          <w:cantSplit/>
        </w:trPr>
        <w:tc>
          <w:tcPr>
            <w:tcW w:w="5000" w:type="pct"/>
            <w:shd w:val="clear" w:color="auto" w:fill="DCEDC6"/>
          </w:tcPr>
          <w:p w14:paraId="3A33059B" w14:textId="0541B1D5" w:rsidR="00AD04AB" w:rsidRPr="007116F6" w:rsidRDefault="00AD04AB" w:rsidP="00AD04AB">
            <w:pPr>
              <w:pStyle w:val="STPR2TableBody"/>
              <w:spacing w:before="60" w:after="60"/>
            </w:pPr>
            <w:r w:rsidRPr="002C41FD">
              <w:t>The proposed option contributes to the achievement of the EqIA Objective, but not significantly.</w:t>
            </w:r>
          </w:p>
        </w:tc>
      </w:tr>
      <w:tr w:rsidR="00AD04AB" w14:paraId="5D4B2896" w14:textId="77777777" w:rsidTr="00D54AA7">
        <w:trPr>
          <w:cantSplit/>
        </w:trPr>
        <w:tc>
          <w:tcPr>
            <w:tcW w:w="5000" w:type="pct"/>
            <w:shd w:val="clear" w:color="auto" w:fill="007D55"/>
          </w:tcPr>
          <w:p w14:paraId="6B3EA4F5" w14:textId="444FEDCE" w:rsidR="00AD04AB" w:rsidRPr="007116F6" w:rsidRDefault="00AD04AB" w:rsidP="00AD04AB">
            <w:pPr>
              <w:pStyle w:val="TABLEHEADINGWHITE"/>
              <w:spacing w:before="60" w:after="60"/>
            </w:pPr>
            <w:r w:rsidRPr="002C41FD">
              <w:t>Score Neutral Impact</w:t>
            </w:r>
          </w:p>
        </w:tc>
      </w:tr>
      <w:tr w:rsidR="00AD04AB" w14:paraId="4EF380DF" w14:textId="77777777" w:rsidTr="00D54AA7">
        <w:trPr>
          <w:cantSplit/>
        </w:trPr>
        <w:tc>
          <w:tcPr>
            <w:tcW w:w="5000" w:type="pct"/>
            <w:shd w:val="clear" w:color="auto" w:fill="DCEDC6"/>
          </w:tcPr>
          <w:p w14:paraId="2760FDC0" w14:textId="4962BEDE" w:rsidR="00AD04AB" w:rsidRPr="007116F6" w:rsidRDefault="00AD04AB" w:rsidP="00AD04AB">
            <w:pPr>
              <w:pStyle w:val="STPR2TableBody"/>
              <w:spacing w:before="60" w:after="60"/>
            </w:pPr>
            <w:r w:rsidRPr="002C41FD">
              <w:t>The proposed option is related to, but does not have any impact on the achievement of, the EqIA Objective.</w:t>
            </w:r>
          </w:p>
        </w:tc>
      </w:tr>
      <w:tr w:rsidR="00AD04AB" w14:paraId="1C36ABB2" w14:textId="77777777" w:rsidTr="00D54AA7">
        <w:trPr>
          <w:cantSplit/>
        </w:trPr>
        <w:tc>
          <w:tcPr>
            <w:tcW w:w="5000" w:type="pct"/>
            <w:shd w:val="clear" w:color="auto" w:fill="007D55"/>
          </w:tcPr>
          <w:p w14:paraId="6EA3C7D8" w14:textId="6C412BFA" w:rsidR="00AD04AB" w:rsidRPr="007116F6" w:rsidRDefault="00AD04AB" w:rsidP="00AD04AB">
            <w:pPr>
              <w:pStyle w:val="TABLEHEADINGWHITE"/>
              <w:spacing w:before="60" w:after="60"/>
            </w:pPr>
            <w:r w:rsidRPr="002C41FD">
              <w:t>Score Minor Negative Impact</w:t>
            </w:r>
          </w:p>
        </w:tc>
      </w:tr>
      <w:tr w:rsidR="00AD04AB" w14:paraId="6CCAABB5" w14:textId="77777777" w:rsidTr="00D54AA7">
        <w:trPr>
          <w:cantSplit/>
        </w:trPr>
        <w:tc>
          <w:tcPr>
            <w:tcW w:w="5000" w:type="pct"/>
            <w:shd w:val="clear" w:color="auto" w:fill="DCEDC6"/>
          </w:tcPr>
          <w:p w14:paraId="786599D0" w14:textId="1B411427" w:rsidR="00AD04AB" w:rsidRPr="007116F6" w:rsidRDefault="00AD04AB" w:rsidP="00AD04AB">
            <w:pPr>
              <w:pStyle w:val="STPR2TableBody"/>
              <w:spacing w:before="60" w:after="60"/>
            </w:pPr>
            <w:r w:rsidRPr="002C41FD">
              <w:t>The proposed option detracts from the achievement of the EqIA Objective, but not significantly.</w:t>
            </w:r>
          </w:p>
        </w:tc>
      </w:tr>
      <w:tr w:rsidR="00AD04AB" w14:paraId="0C4E1F4F" w14:textId="77777777" w:rsidTr="00D54AA7">
        <w:trPr>
          <w:cantSplit/>
        </w:trPr>
        <w:tc>
          <w:tcPr>
            <w:tcW w:w="5000" w:type="pct"/>
            <w:shd w:val="clear" w:color="auto" w:fill="007D55"/>
          </w:tcPr>
          <w:p w14:paraId="362A355E" w14:textId="2AAED93C" w:rsidR="00AD04AB" w:rsidRPr="007116F6" w:rsidRDefault="00AD04AB" w:rsidP="00AD04AB">
            <w:pPr>
              <w:pStyle w:val="TABLEHEADINGWHITE"/>
              <w:spacing w:before="60" w:after="60"/>
            </w:pPr>
            <w:r w:rsidRPr="002C41FD">
              <w:t xml:space="preserve">Score Moderate </w:t>
            </w:r>
            <w:r w:rsidRPr="00AD04AB">
              <w:t>Negative</w:t>
            </w:r>
            <w:r w:rsidRPr="002C41FD">
              <w:t xml:space="preserve"> Impact</w:t>
            </w:r>
          </w:p>
        </w:tc>
      </w:tr>
      <w:tr w:rsidR="00AD04AB" w14:paraId="0E3D2E53" w14:textId="77777777" w:rsidTr="00D54AA7">
        <w:trPr>
          <w:cantSplit/>
        </w:trPr>
        <w:tc>
          <w:tcPr>
            <w:tcW w:w="5000" w:type="pct"/>
            <w:shd w:val="clear" w:color="auto" w:fill="DCEDC6"/>
          </w:tcPr>
          <w:p w14:paraId="2C13CA1B" w14:textId="10D0AE10" w:rsidR="00AD04AB" w:rsidRPr="007116F6" w:rsidRDefault="00AD04AB" w:rsidP="00AD04AB">
            <w:pPr>
              <w:pStyle w:val="STPR2TableBody"/>
              <w:spacing w:before="60" w:after="60"/>
            </w:pPr>
            <w:r w:rsidRPr="002C41FD">
              <w:t>The proposed option detracts significantly from the achievement of the EqIA Objective. Mitigation is therefore required.</w:t>
            </w:r>
          </w:p>
        </w:tc>
      </w:tr>
      <w:tr w:rsidR="00AD04AB" w14:paraId="1C26F7EA" w14:textId="77777777" w:rsidTr="00AD04AB">
        <w:trPr>
          <w:cantSplit/>
        </w:trPr>
        <w:tc>
          <w:tcPr>
            <w:tcW w:w="5000" w:type="pct"/>
            <w:shd w:val="clear" w:color="auto" w:fill="007D55"/>
          </w:tcPr>
          <w:p w14:paraId="0360303B" w14:textId="30B2586E" w:rsidR="00AD04AB" w:rsidRPr="007116F6" w:rsidRDefault="00AD04AB" w:rsidP="00AD04AB">
            <w:pPr>
              <w:pStyle w:val="TABLEHEADINGWHITE"/>
              <w:spacing w:before="60" w:after="60"/>
            </w:pPr>
            <w:r w:rsidRPr="002C41FD">
              <w:t>Score Major Negative Impact</w:t>
            </w:r>
          </w:p>
        </w:tc>
      </w:tr>
      <w:tr w:rsidR="00AD04AB" w14:paraId="4373B9A7" w14:textId="77777777" w:rsidTr="00D54AA7">
        <w:trPr>
          <w:cantSplit/>
        </w:trPr>
        <w:tc>
          <w:tcPr>
            <w:tcW w:w="5000" w:type="pct"/>
            <w:shd w:val="clear" w:color="auto" w:fill="DCEDC6"/>
          </w:tcPr>
          <w:p w14:paraId="7C397613" w14:textId="44F74BC7" w:rsidR="00AD04AB" w:rsidRPr="007116F6" w:rsidRDefault="00AD04AB" w:rsidP="00AD04AB">
            <w:pPr>
              <w:pStyle w:val="STPR2TableBody"/>
              <w:spacing w:before="60" w:after="60"/>
            </w:pPr>
            <w:r w:rsidRPr="002C41FD">
              <w:t>The proposed option results in a major detraction from the achievement of the EqIA Objective. An alternative option or significant mitigation is therefore required.</w:t>
            </w:r>
          </w:p>
        </w:tc>
      </w:tr>
    </w:tbl>
    <w:p w14:paraId="15A0E4EE" w14:textId="48943D0E" w:rsidR="002F1FD5" w:rsidRPr="00D00C04" w:rsidRDefault="002F1FD5" w:rsidP="007F2389">
      <w:pPr>
        <w:pStyle w:val="STPR2BodyText"/>
      </w:pPr>
      <w:r w:rsidRPr="00D00C04">
        <w:t xml:space="preserve">Following each stage of assessment, any potentially negative impacts identified have been discussed with the project team to consider reasonable alternatives, effective mitigation and enhancement recommendations. The key recommendations </w:t>
      </w:r>
      <w:r w:rsidR="000B23D0">
        <w:t>have included</w:t>
      </w:r>
      <w:r w:rsidRPr="00D00C04">
        <w:t xml:space="preserve"> refinements to objectives, wording, intervention options, caveats and monitoring controls based on the criteria considered. </w:t>
      </w:r>
    </w:p>
    <w:p w14:paraId="31712CA4" w14:textId="52410878" w:rsidR="000C6958" w:rsidRDefault="002F1FD5">
      <w:pPr>
        <w:pStyle w:val="STPR2BodyText"/>
      </w:pPr>
      <w:r>
        <w:t>The key r</w:t>
      </w:r>
      <w:r w:rsidRPr="00D00C04">
        <w:t xml:space="preserve">elevant findings and recommendations are recorded in summary form in </w:t>
      </w:r>
      <w:r w:rsidRPr="00AF5A3B">
        <w:t xml:space="preserve">Chapter 6 of this report, with </w:t>
      </w:r>
      <w:r w:rsidR="00A92E02">
        <w:t xml:space="preserve">overall </w:t>
      </w:r>
      <w:r w:rsidRPr="00AF5A3B">
        <w:t xml:space="preserve">assessment </w:t>
      </w:r>
      <w:r>
        <w:t xml:space="preserve">scores for </w:t>
      </w:r>
      <w:r w:rsidR="00A92E02">
        <w:t>the</w:t>
      </w:r>
      <w:r>
        <w:t xml:space="preserve"> EqIA</w:t>
      </w:r>
      <w:r w:rsidRPr="00AF5A3B">
        <w:t xml:space="preserve"> </w:t>
      </w:r>
      <w:r>
        <w:t>(based on a cumulative score of all EqIA objective scores)</w:t>
      </w:r>
      <w:r w:rsidRPr="00AF5A3B">
        <w:t xml:space="preserve"> </w:t>
      </w:r>
      <w:r w:rsidR="00624022">
        <w:t>included</w:t>
      </w:r>
      <w:r w:rsidR="00A92E02">
        <w:t xml:space="preserve"> in the </w:t>
      </w:r>
      <w:r w:rsidR="00362BFF">
        <w:t xml:space="preserve">Recommendation Appraisal Summary Tables </w:t>
      </w:r>
      <w:r w:rsidR="00A92E02">
        <w:t>(ASTs)</w:t>
      </w:r>
      <w:r w:rsidR="007B3ED9">
        <w:t xml:space="preserve"> (Appendix I of the Final STRP2 Technical report)</w:t>
      </w:r>
      <w:r w:rsidR="00362BFF">
        <w:t xml:space="preserve">. </w:t>
      </w:r>
      <w:bookmarkStart w:id="356" w:name="_Toc88563968"/>
      <w:bookmarkStart w:id="357" w:name="_Toc88563969"/>
      <w:bookmarkStart w:id="358" w:name="_Toc85028538"/>
      <w:bookmarkStart w:id="359" w:name="_Toc85028600"/>
      <w:bookmarkStart w:id="360" w:name="_Toc88563970"/>
      <w:bookmarkStart w:id="361" w:name="_Toc20903638"/>
      <w:bookmarkStart w:id="362" w:name="_Toc20903750"/>
      <w:bookmarkStart w:id="363" w:name="_Toc20903870"/>
      <w:bookmarkStart w:id="364" w:name="_Toc21078515"/>
      <w:bookmarkStart w:id="365" w:name="_Toc21080141"/>
      <w:bookmarkStart w:id="366" w:name="_Toc21353760"/>
      <w:bookmarkStart w:id="367" w:name="_Toc21354225"/>
      <w:bookmarkStart w:id="368" w:name="_Toc21446888"/>
      <w:bookmarkStart w:id="369" w:name="_Toc21447144"/>
      <w:bookmarkStart w:id="370" w:name="_Toc21447258"/>
      <w:bookmarkStart w:id="371" w:name="_Toc21447503"/>
      <w:bookmarkStart w:id="372" w:name="_Toc21447637"/>
      <w:bookmarkStart w:id="373" w:name="_Toc21510396"/>
      <w:bookmarkStart w:id="374" w:name="_Toc21510998"/>
      <w:bookmarkStart w:id="375" w:name="_Toc21523067"/>
      <w:bookmarkStart w:id="376" w:name="_Toc20903639"/>
      <w:bookmarkStart w:id="377" w:name="_Toc20903751"/>
      <w:bookmarkStart w:id="378" w:name="_Toc20903871"/>
      <w:bookmarkStart w:id="379" w:name="_Toc21078516"/>
      <w:bookmarkStart w:id="380" w:name="_Toc21080142"/>
      <w:bookmarkStart w:id="381" w:name="_Toc21353761"/>
      <w:bookmarkStart w:id="382" w:name="_Toc21354226"/>
      <w:bookmarkStart w:id="383" w:name="_Toc21446889"/>
      <w:bookmarkStart w:id="384" w:name="_Toc21447145"/>
      <w:bookmarkStart w:id="385" w:name="_Toc21447259"/>
      <w:bookmarkStart w:id="386" w:name="_Toc21447504"/>
      <w:bookmarkStart w:id="387" w:name="_Toc21447638"/>
      <w:bookmarkStart w:id="388" w:name="_Toc21510397"/>
      <w:bookmarkStart w:id="389" w:name="_Toc21510999"/>
      <w:bookmarkStart w:id="390" w:name="_Toc21523068"/>
      <w:bookmarkStart w:id="391" w:name="_Toc20903640"/>
      <w:bookmarkStart w:id="392" w:name="_Toc20903752"/>
      <w:bookmarkStart w:id="393" w:name="_Toc20903872"/>
      <w:bookmarkStart w:id="394" w:name="_Toc21078517"/>
      <w:bookmarkStart w:id="395" w:name="_Toc21080143"/>
      <w:bookmarkStart w:id="396" w:name="_Toc21353762"/>
      <w:bookmarkStart w:id="397" w:name="_Toc21354227"/>
      <w:bookmarkStart w:id="398" w:name="_Toc21446890"/>
      <w:bookmarkStart w:id="399" w:name="_Toc21447146"/>
      <w:bookmarkStart w:id="400" w:name="_Toc21447260"/>
      <w:bookmarkStart w:id="401" w:name="_Toc21447505"/>
      <w:bookmarkStart w:id="402" w:name="_Toc21447639"/>
      <w:bookmarkStart w:id="403" w:name="_Toc21510398"/>
      <w:bookmarkStart w:id="404" w:name="_Toc21511000"/>
      <w:bookmarkStart w:id="405" w:name="_Toc21523069"/>
      <w:bookmarkStart w:id="406" w:name="_Toc20903641"/>
      <w:bookmarkStart w:id="407" w:name="_Toc20903753"/>
      <w:bookmarkStart w:id="408" w:name="_Toc20903873"/>
      <w:bookmarkStart w:id="409" w:name="_Toc21078518"/>
      <w:bookmarkStart w:id="410" w:name="_Toc21080144"/>
      <w:bookmarkStart w:id="411" w:name="_Toc21353763"/>
      <w:bookmarkStart w:id="412" w:name="_Toc21354228"/>
      <w:bookmarkStart w:id="413" w:name="_Toc21446891"/>
      <w:bookmarkStart w:id="414" w:name="_Toc21447147"/>
      <w:bookmarkStart w:id="415" w:name="_Toc21447261"/>
      <w:bookmarkStart w:id="416" w:name="_Toc21447506"/>
      <w:bookmarkStart w:id="417" w:name="_Toc21447640"/>
      <w:bookmarkStart w:id="418" w:name="_Toc21510399"/>
      <w:bookmarkStart w:id="419" w:name="_Toc21511001"/>
      <w:bookmarkStart w:id="420" w:name="_Toc21523070"/>
      <w:bookmarkStart w:id="421" w:name="_Toc20903642"/>
      <w:bookmarkStart w:id="422" w:name="_Toc20903754"/>
      <w:bookmarkStart w:id="423" w:name="_Toc20903874"/>
      <w:bookmarkStart w:id="424" w:name="_Toc21078519"/>
      <w:bookmarkStart w:id="425" w:name="_Toc21080145"/>
      <w:bookmarkStart w:id="426" w:name="_Toc21353764"/>
      <w:bookmarkStart w:id="427" w:name="_Toc21354229"/>
      <w:bookmarkStart w:id="428" w:name="_Toc21446892"/>
      <w:bookmarkStart w:id="429" w:name="_Toc21447148"/>
      <w:bookmarkStart w:id="430" w:name="_Toc21447262"/>
      <w:bookmarkStart w:id="431" w:name="_Toc21447507"/>
      <w:bookmarkStart w:id="432" w:name="_Toc21447641"/>
      <w:bookmarkStart w:id="433" w:name="_Toc21510400"/>
      <w:bookmarkStart w:id="434" w:name="_Toc21511002"/>
      <w:bookmarkStart w:id="435" w:name="_Toc21523071"/>
      <w:bookmarkStart w:id="436" w:name="_Toc88563971"/>
      <w:bookmarkStart w:id="437" w:name="_Toc88563972"/>
      <w:bookmarkStart w:id="438" w:name="_Toc88563973"/>
      <w:bookmarkStart w:id="439" w:name="_Toc88563974"/>
      <w:bookmarkStart w:id="440" w:name="_Toc88563975"/>
      <w:bookmarkStart w:id="441" w:name="_Toc88563976"/>
      <w:bookmarkStart w:id="442" w:name="_Toc88563977"/>
      <w:bookmarkStart w:id="443" w:name="_Toc88563978"/>
      <w:bookmarkStart w:id="444" w:name="_Toc88563979"/>
      <w:bookmarkStart w:id="445" w:name="_Toc88563980"/>
      <w:bookmarkStart w:id="446" w:name="_Toc88563981"/>
      <w:bookmarkStart w:id="447" w:name="_Toc88563982"/>
      <w:bookmarkStart w:id="448" w:name="_Toc88563983"/>
      <w:bookmarkStart w:id="449" w:name="_Toc88563984"/>
      <w:bookmarkStart w:id="450" w:name="_Toc88563985"/>
      <w:bookmarkStart w:id="451" w:name="_Toc88563986"/>
      <w:bookmarkStart w:id="452" w:name="_Toc88563987"/>
      <w:bookmarkStart w:id="453" w:name="_Toc88563988"/>
      <w:bookmarkStart w:id="454" w:name="_Toc20903644"/>
      <w:bookmarkStart w:id="455" w:name="_Toc20903756"/>
      <w:bookmarkStart w:id="456" w:name="_Toc20903876"/>
      <w:bookmarkStart w:id="457" w:name="_Toc21078521"/>
      <w:bookmarkStart w:id="458" w:name="_Toc21080147"/>
      <w:bookmarkStart w:id="459" w:name="_Toc21353766"/>
      <w:bookmarkStart w:id="460" w:name="_Toc21354231"/>
      <w:bookmarkStart w:id="461" w:name="_Toc21446894"/>
      <w:bookmarkStart w:id="462" w:name="_Toc21447150"/>
      <w:bookmarkStart w:id="463" w:name="_Toc21447264"/>
      <w:bookmarkStart w:id="464" w:name="_Toc21447509"/>
      <w:bookmarkStart w:id="465" w:name="_Toc21447643"/>
      <w:bookmarkStart w:id="466" w:name="_Toc21510402"/>
      <w:bookmarkStart w:id="467" w:name="_Toc21511004"/>
      <w:bookmarkStart w:id="468" w:name="_Toc21523073"/>
      <w:bookmarkStart w:id="469" w:name="_Toc20903645"/>
      <w:bookmarkStart w:id="470" w:name="_Toc20903757"/>
      <w:bookmarkStart w:id="471" w:name="_Toc20903877"/>
      <w:bookmarkStart w:id="472" w:name="_Toc21078522"/>
      <w:bookmarkStart w:id="473" w:name="_Toc21080148"/>
      <w:bookmarkStart w:id="474" w:name="_Toc21353767"/>
      <w:bookmarkStart w:id="475" w:name="_Toc21354232"/>
      <w:bookmarkStart w:id="476" w:name="_Toc21446895"/>
      <w:bookmarkStart w:id="477" w:name="_Toc21447151"/>
      <w:bookmarkStart w:id="478" w:name="_Toc21447265"/>
      <w:bookmarkStart w:id="479" w:name="_Toc21447510"/>
      <w:bookmarkStart w:id="480" w:name="_Toc21447644"/>
      <w:bookmarkStart w:id="481" w:name="_Toc21510403"/>
      <w:bookmarkStart w:id="482" w:name="_Toc21511005"/>
      <w:bookmarkStart w:id="483" w:name="_Toc21523074"/>
      <w:bookmarkStart w:id="484" w:name="_Toc20903650"/>
      <w:bookmarkStart w:id="485" w:name="_Toc20903762"/>
      <w:bookmarkStart w:id="486" w:name="_Toc20903882"/>
      <w:bookmarkStart w:id="487" w:name="_Toc21078527"/>
      <w:bookmarkStart w:id="488" w:name="_Toc21080153"/>
      <w:bookmarkStart w:id="489" w:name="_Toc21353772"/>
      <w:bookmarkStart w:id="490" w:name="_Toc21354237"/>
      <w:bookmarkStart w:id="491" w:name="_Toc21446900"/>
      <w:bookmarkStart w:id="492" w:name="_Toc21447156"/>
      <w:bookmarkStart w:id="493" w:name="_Toc21447270"/>
      <w:bookmarkStart w:id="494" w:name="_Toc21447515"/>
      <w:bookmarkStart w:id="495" w:name="_Toc21447649"/>
      <w:bookmarkStart w:id="496" w:name="_Toc21510408"/>
      <w:bookmarkStart w:id="497" w:name="_Toc21511010"/>
      <w:bookmarkStart w:id="498" w:name="_Toc21523079"/>
      <w:bookmarkStart w:id="499" w:name="_Toc20903651"/>
      <w:bookmarkStart w:id="500" w:name="_Toc20903763"/>
      <w:bookmarkStart w:id="501" w:name="_Toc20903883"/>
      <w:bookmarkStart w:id="502" w:name="_Toc21078528"/>
      <w:bookmarkStart w:id="503" w:name="_Toc21080154"/>
      <w:bookmarkStart w:id="504" w:name="_Toc21353773"/>
      <w:bookmarkStart w:id="505" w:name="_Toc21354238"/>
      <w:bookmarkStart w:id="506" w:name="_Toc21446901"/>
      <w:bookmarkStart w:id="507" w:name="_Toc21447157"/>
      <w:bookmarkStart w:id="508" w:name="_Toc21447271"/>
      <w:bookmarkStart w:id="509" w:name="_Toc21447516"/>
      <w:bookmarkStart w:id="510" w:name="_Toc21447650"/>
      <w:bookmarkStart w:id="511" w:name="_Toc21510409"/>
      <w:bookmarkStart w:id="512" w:name="_Toc21511011"/>
      <w:bookmarkStart w:id="513" w:name="_Toc21523080"/>
      <w:bookmarkStart w:id="514" w:name="_Toc20903652"/>
      <w:bookmarkStart w:id="515" w:name="_Toc20903764"/>
      <w:bookmarkStart w:id="516" w:name="_Toc20903884"/>
      <w:bookmarkStart w:id="517" w:name="_Toc21078529"/>
      <w:bookmarkStart w:id="518" w:name="_Toc21080155"/>
      <w:bookmarkStart w:id="519" w:name="_Toc21353774"/>
      <w:bookmarkStart w:id="520" w:name="_Toc21354239"/>
      <w:bookmarkStart w:id="521" w:name="_Toc21446902"/>
      <w:bookmarkStart w:id="522" w:name="_Toc21447158"/>
      <w:bookmarkStart w:id="523" w:name="_Toc21447272"/>
      <w:bookmarkStart w:id="524" w:name="_Toc21447517"/>
      <w:bookmarkStart w:id="525" w:name="_Toc21447651"/>
      <w:bookmarkStart w:id="526" w:name="_Toc21510410"/>
      <w:bookmarkStart w:id="527" w:name="_Toc21511012"/>
      <w:bookmarkStart w:id="528" w:name="_Toc21523081"/>
      <w:bookmarkStart w:id="529" w:name="_Toc20903658"/>
      <w:bookmarkStart w:id="530" w:name="_Toc20903770"/>
      <w:bookmarkStart w:id="531" w:name="_Toc20903890"/>
      <w:bookmarkStart w:id="532" w:name="_Toc21078535"/>
      <w:bookmarkStart w:id="533" w:name="_Toc21080161"/>
      <w:bookmarkStart w:id="534" w:name="_Toc21353780"/>
      <w:bookmarkStart w:id="535" w:name="_Toc21354245"/>
      <w:bookmarkStart w:id="536" w:name="_Toc21446908"/>
      <w:bookmarkStart w:id="537" w:name="_Toc21447164"/>
      <w:bookmarkStart w:id="538" w:name="_Toc21447278"/>
      <w:bookmarkStart w:id="539" w:name="_Toc21447523"/>
      <w:bookmarkStart w:id="540" w:name="_Toc21447657"/>
      <w:bookmarkStart w:id="541" w:name="_Toc21510416"/>
      <w:bookmarkStart w:id="542" w:name="_Toc21511018"/>
      <w:bookmarkStart w:id="543" w:name="_Toc21523087"/>
      <w:bookmarkStart w:id="544" w:name="_Toc20124045"/>
      <w:bookmarkStart w:id="545" w:name="_Toc20124177"/>
      <w:bookmarkStart w:id="546" w:name="_Toc20124965"/>
      <w:bookmarkStart w:id="547" w:name="_Toc20127018"/>
      <w:bookmarkStart w:id="548" w:name="_Toc20380980"/>
      <w:bookmarkStart w:id="549" w:name="_Toc20484727"/>
      <w:bookmarkStart w:id="550" w:name="_Toc20484971"/>
      <w:bookmarkStart w:id="551" w:name="_Toc20487781"/>
      <w:bookmarkStart w:id="552" w:name="_Toc20487976"/>
      <w:bookmarkStart w:id="553" w:name="_Toc20744591"/>
      <w:bookmarkStart w:id="554" w:name="_Toc20754074"/>
      <w:bookmarkStart w:id="555" w:name="_Toc20756462"/>
      <w:bookmarkStart w:id="556" w:name="_Toc20758895"/>
      <w:bookmarkStart w:id="557" w:name="_Toc20758968"/>
      <w:bookmarkStart w:id="558" w:name="_Toc20759039"/>
      <w:bookmarkStart w:id="559" w:name="_Toc20759231"/>
      <w:bookmarkStart w:id="560" w:name="_Toc20898716"/>
      <w:bookmarkStart w:id="561" w:name="_Toc20899001"/>
      <w:bookmarkStart w:id="562" w:name="_Toc20903659"/>
      <w:bookmarkStart w:id="563" w:name="_Toc20903771"/>
      <w:bookmarkStart w:id="564" w:name="_Toc20903891"/>
      <w:bookmarkStart w:id="565" w:name="_Toc21078536"/>
      <w:bookmarkStart w:id="566" w:name="_Toc21080162"/>
      <w:bookmarkStart w:id="567" w:name="_Toc21353781"/>
      <w:bookmarkStart w:id="568" w:name="_Toc21354246"/>
      <w:bookmarkStart w:id="569" w:name="_Toc21446909"/>
      <w:bookmarkStart w:id="570" w:name="_Toc21447165"/>
      <w:bookmarkStart w:id="571" w:name="_Toc21447279"/>
      <w:bookmarkStart w:id="572" w:name="_Toc21447524"/>
      <w:bookmarkStart w:id="573" w:name="_Toc21447658"/>
      <w:bookmarkStart w:id="574" w:name="_Toc21510417"/>
      <w:bookmarkStart w:id="575" w:name="_Toc21511019"/>
      <w:bookmarkStart w:id="576" w:name="_Toc21523088"/>
      <w:bookmarkStart w:id="577" w:name="_Toc20124046"/>
      <w:bookmarkStart w:id="578" w:name="_Toc20124178"/>
      <w:bookmarkStart w:id="579" w:name="_Toc20124966"/>
      <w:bookmarkStart w:id="580" w:name="_Toc20127019"/>
      <w:bookmarkStart w:id="581" w:name="_Toc20380981"/>
      <w:bookmarkStart w:id="582" w:name="_Toc20484728"/>
      <w:bookmarkStart w:id="583" w:name="_Toc20484972"/>
      <w:bookmarkStart w:id="584" w:name="_Toc20487782"/>
      <w:bookmarkStart w:id="585" w:name="_Toc20487977"/>
      <w:bookmarkStart w:id="586" w:name="_Toc20744592"/>
      <w:bookmarkStart w:id="587" w:name="_Toc20754075"/>
      <w:bookmarkStart w:id="588" w:name="_Toc20756463"/>
      <w:bookmarkStart w:id="589" w:name="_Toc20758896"/>
      <w:bookmarkStart w:id="590" w:name="_Toc20758969"/>
      <w:bookmarkStart w:id="591" w:name="_Toc20759040"/>
      <w:bookmarkStart w:id="592" w:name="_Toc20759232"/>
      <w:bookmarkStart w:id="593" w:name="_Toc20898717"/>
      <w:bookmarkStart w:id="594" w:name="_Toc20899002"/>
      <w:bookmarkStart w:id="595" w:name="_Toc20903660"/>
      <w:bookmarkStart w:id="596" w:name="_Toc20903772"/>
      <w:bookmarkStart w:id="597" w:name="_Toc20903892"/>
      <w:bookmarkStart w:id="598" w:name="_Toc21078537"/>
      <w:bookmarkStart w:id="599" w:name="_Toc21080163"/>
      <w:bookmarkStart w:id="600" w:name="_Toc21353782"/>
      <w:bookmarkStart w:id="601" w:name="_Toc21354247"/>
      <w:bookmarkStart w:id="602" w:name="_Toc21446910"/>
      <w:bookmarkStart w:id="603" w:name="_Toc21447166"/>
      <w:bookmarkStart w:id="604" w:name="_Toc21447280"/>
      <w:bookmarkStart w:id="605" w:name="_Toc21447525"/>
      <w:bookmarkStart w:id="606" w:name="_Toc21447659"/>
      <w:bookmarkStart w:id="607" w:name="_Toc21510418"/>
      <w:bookmarkStart w:id="608" w:name="_Toc21511020"/>
      <w:bookmarkStart w:id="609" w:name="_Toc21523089"/>
      <w:bookmarkStart w:id="610" w:name="_Toc20124047"/>
      <w:bookmarkStart w:id="611" w:name="_Toc20124179"/>
      <w:bookmarkStart w:id="612" w:name="_Toc20124967"/>
      <w:bookmarkStart w:id="613" w:name="_Toc20127020"/>
      <w:bookmarkStart w:id="614" w:name="_Toc20380982"/>
      <w:bookmarkStart w:id="615" w:name="_Toc20484729"/>
      <w:bookmarkStart w:id="616" w:name="_Toc20484973"/>
      <w:bookmarkStart w:id="617" w:name="_Toc20487783"/>
      <w:bookmarkStart w:id="618" w:name="_Toc20487978"/>
      <w:bookmarkStart w:id="619" w:name="_Toc20744593"/>
      <w:bookmarkStart w:id="620" w:name="_Toc20754076"/>
      <w:bookmarkStart w:id="621" w:name="_Toc20756464"/>
      <w:bookmarkStart w:id="622" w:name="_Toc20758897"/>
      <w:bookmarkStart w:id="623" w:name="_Toc20758970"/>
      <w:bookmarkStart w:id="624" w:name="_Toc20759041"/>
      <w:bookmarkStart w:id="625" w:name="_Toc20759233"/>
      <w:bookmarkStart w:id="626" w:name="_Toc20898718"/>
      <w:bookmarkStart w:id="627" w:name="_Toc20899003"/>
      <w:bookmarkStart w:id="628" w:name="_Toc20903661"/>
      <w:bookmarkStart w:id="629" w:name="_Toc20903773"/>
      <w:bookmarkStart w:id="630" w:name="_Toc20903893"/>
      <w:bookmarkStart w:id="631" w:name="_Toc21078538"/>
      <w:bookmarkStart w:id="632" w:name="_Toc21080164"/>
      <w:bookmarkStart w:id="633" w:name="_Toc21353783"/>
      <w:bookmarkStart w:id="634" w:name="_Toc21354248"/>
      <w:bookmarkStart w:id="635" w:name="_Toc21446911"/>
      <w:bookmarkStart w:id="636" w:name="_Toc21447167"/>
      <w:bookmarkStart w:id="637" w:name="_Toc21447281"/>
      <w:bookmarkStart w:id="638" w:name="_Toc21447526"/>
      <w:bookmarkStart w:id="639" w:name="_Toc21447660"/>
      <w:bookmarkStart w:id="640" w:name="_Toc21510419"/>
      <w:bookmarkStart w:id="641" w:name="_Toc21511021"/>
      <w:bookmarkStart w:id="642" w:name="_Toc21523090"/>
      <w:bookmarkStart w:id="643" w:name="_Toc20124048"/>
      <w:bookmarkStart w:id="644" w:name="_Toc20124180"/>
      <w:bookmarkStart w:id="645" w:name="_Toc20124968"/>
      <w:bookmarkStart w:id="646" w:name="_Toc20127021"/>
      <w:bookmarkStart w:id="647" w:name="_Toc20380983"/>
      <w:bookmarkStart w:id="648" w:name="_Toc20484730"/>
      <w:bookmarkStart w:id="649" w:name="_Toc20484974"/>
      <w:bookmarkStart w:id="650" w:name="_Toc20487784"/>
      <w:bookmarkStart w:id="651" w:name="_Toc20487979"/>
      <w:bookmarkStart w:id="652" w:name="_Toc20744594"/>
      <w:bookmarkStart w:id="653" w:name="_Toc20754077"/>
      <w:bookmarkStart w:id="654" w:name="_Toc20756465"/>
      <w:bookmarkStart w:id="655" w:name="_Toc20758898"/>
      <w:bookmarkStart w:id="656" w:name="_Toc20758971"/>
      <w:bookmarkStart w:id="657" w:name="_Toc20759042"/>
      <w:bookmarkStart w:id="658" w:name="_Toc20759234"/>
      <w:bookmarkStart w:id="659" w:name="_Toc20898719"/>
      <w:bookmarkStart w:id="660" w:name="_Toc20899004"/>
      <w:bookmarkStart w:id="661" w:name="_Toc20903662"/>
      <w:bookmarkStart w:id="662" w:name="_Toc20903774"/>
      <w:bookmarkStart w:id="663" w:name="_Toc20903894"/>
      <w:bookmarkStart w:id="664" w:name="_Toc21078539"/>
      <w:bookmarkStart w:id="665" w:name="_Toc21080165"/>
      <w:bookmarkStart w:id="666" w:name="_Toc21353784"/>
      <w:bookmarkStart w:id="667" w:name="_Toc21354249"/>
      <w:bookmarkStart w:id="668" w:name="_Toc21446912"/>
      <w:bookmarkStart w:id="669" w:name="_Toc21447168"/>
      <w:bookmarkStart w:id="670" w:name="_Toc21447282"/>
      <w:bookmarkStart w:id="671" w:name="_Toc21447527"/>
      <w:bookmarkStart w:id="672" w:name="_Toc21447661"/>
      <w:bookmarkStart w:id="673" w:name="_Toc21510420"/>
      <w:bookmarkStart w:id="674" w:name="_Toc21511022"/>
      <w:bookmarkStart w:id="675" w:name="_Toc21523091"/>
      <w:bookmarkStart w:id="676" w:name="_Toc20756466"/>
      <w:bookmarkStart w:id="677" w:name="_Toc20758899"/>
      <w:bookmarkStart w:id="678" w:name="_Toc20758972"/>
      <w:bookmarkStart w:id="679" w:name="_Toc20759043"/>
      <w:bookmarkStart w:id="680" w:name="_Toc20759235"/>
      <w:bookmarkStart w:id="681" w:name="_Toc20898720"/>
      <w:bookmarkStart w:id="682" w:name="_Toc20899005"/>
      <w:bookmarkStart w:id="683" w:name="_Toc20903663"/>
      <w:bookmarkStart w:id="684" w:name="_Toc20903775"/>
      <w:bookmarkStart w:id="685" w:name="_Toc20903895"/>
      <w:bookmarkStart w:id="686" w:name="_Toc21078540"/>
      <w:bookmarkStart w:id="687" w:name="_Toc21080166"/>
      <w:bookmarkStart w:id="688" w:name="_Toc21353785"/>
      <w:bookmarkStart w:id="689" w:name="_Toc21354250"/>
      <w:bookmarkStart w:id="690" w:name="_Toc21446913"/>
      <w:bookmarkStart w:id="691" w:name="_Toc21447169"/>
      <w:bookmarkStart w:id="692" w:name="_Toc21447283"/>
      <w:bookmarkStart w:id="693" w:name="_Toc21447528"/>
      <w:bookmarkStart w:id="694" w:name="_Toc21447662"/>
      <w:bookmarkStart w:id="695" w:name="_Toc21510421"/>
      <w:bookmarkStart w:id="696" w:name="_Toc21511023"/>
      <w:bookmarkStart w:id="697" w:name="_Toc21523092"/>
      <w:bookmarkStart w:id="698" w:name="_Toc88563989"/>
      <w:bookmarkStart w:id="699" w:name="_Toc88563990"/>
      <w:bookmarkStart w:id="700" w:name="_Toc88563991"/>
      <w:bookmarkStart w:id="701" w:name="_Toc88563992"/>
      <w:bookmarkStart w:id="702" w:name="_Toc88563993"/>
      <w:bookmarkStart w:id="703" w:name="_Toc88563994"/>
      <w:bookmarkStart w:id="704" w:name="_Toc88563995"/>
      <w:bookmarkStart w:id="705" w:name="_Toc88563996"/>
      <w:bookmarkStart w:id="706" w:name="_Toc88563997"/>
      <w:bookmarkStart w:id="707" w:name="_Toc88563998"/>
      <w:bookmarkStart w:id="708" w:name="_Toc88563999"/>
      <w:bookmarkStart w:id="709" w:name="_Toc88564000"/>
      <w:bookmarkStart w:id="710" w:name="_Toc88564001"/>
      <w:bookmarkStart w:id="711" w:name="_Toc88564002"/>
      <w:bookmarkStart w:id="712" w:name="_Toc88564003"/>
      <w:bookmarkStart w:id="713" w:name="_Toc88564004"/>
      <w:bookmarkStart w:id="714" w:name="_Toc88564005"/>
      <w:bookmarkStart w:id="715" w:name="_Toc88564006"/>
      <w:bookmarkStart w:id="716" w:name="_Toc88564021"/>
      <w:bookmarkStart w:id="717" w:name="_Toc88564036"/>
      <w:bookmarkStart w:id="718" w:name="_Toc88564037"/>
      <w:bookmarkStart w:id="719" w:name="_Toc88564038"/>
      <w:bookmarkStart w:id="720" w:name="_Toc88564039"/>
      <w:bookmarkStart w:id="721" w:name="_Toc88564040"/>
      <w:bookmarkStart w:id="722" w:name="_Toc88564041"/>
      <w:bookmarkStart w:id="723" w:name="_Toc88564042"/>
      <w:bookmarkStart w:id="724" w:name="_Toc88564043"/>
      <w:bookmarkStart w:id="725" w:name="_Toc88564044"/>
      <w:bookmarkStart w:id="726" w:name="_Toc88564045"/>
      <w:bookmarkStart w:id="727" w:name="_Toc88564046"/>
      <w:bookmarkStart w:id="728" w:name="_Toc88564047"/>
      <w:bookmarkStart w:id="729" w:name="_Toc88564048"/>
      <w:bookmarkStart w:id="730" w:name="_Toc88564049"/>
      <w:bookmarkStart w:id="731" w:name="_Toc88564050"/>
      <w:bookmarkStart w:id="732" w:name="_Toc88564051"/>
      <w:bookmarkStart w:id="733" w:name="_Toc88564052"/>
      <w:bookmarkStart w:id="734" w:name="_Toc88564053"/>
      <w:bookmarkStart w:id="735" w:name="_Toc88564054"/>
      <w:bookmarkStart w:id="736" w:name="_Toc88564055"/>
      <w:bookmarkStart w:id="737" w:name="_Toc88564056"/>
      <w:bookmarkStart w:id="738" w:name="_Toc88564057"/>
      <w:bookmarkStart w:id="739" w:name="_Toc88564058"/>
      <w:bookmarkStart w:id="740" w:name="_Toc88564059"/>
      <w:bookmarkStart w:id="741" w:name="_Toc88564060"/>
      <w:bookmarkStart w:id="742" w:name="_Toc88564061"/>
      <w:bookmarkStart w:id="743" w:name="_Toc88564127"/>
      <w:bookmarkStart w:id="744" w:name="_Toc20756474"/>
      <w:bookmarkStart w:id="745" w:name="_Toc20758907"/>
      <w:bookmarkStart w:id="746" w:name="_Toc20758980"/>
      <w:bookmarkStart w:id="747" w:name="_Toc20759051"/>
      <w:bookmarkStart w:id="748" w:name="_Toc20759243"/>
      <w:bookmarkStart w:id="749" w:name="_Toc20898728"/>
      <w:bookmarkStart w:id="750" w:name="_Toc20899013"/>
      <w:bookmarkStart w:id="751" w:name="_Toc20903671"/>
      <w:bookmarkStart w:id="752" w:name="_Toc20903783"/>
      <w:bookmarkStart w:id="753" w:name="_Toc20903903"/>
      <w:bookmarkStart w:id="754" w:name="_Toc21078548"/>
      <w:bookmarkStart w:id="755" w:name="_Toc21080174"/>
      <w:bookmarkStart w:id="756" w:name="_Toc21353793"/>
      <w:bookmarkStart w:id="757" w:name="_Toc21354258"/>
      <w:bookmarkStart w:id="758" w:name="_Toc21446921"/>
      <w:bookmarkStart w:id="759" w:name="_Toc21447177"/>
      <w:bookmarkStart w:id="760" w:name="_Toc21447291"/>
      <w:bookmarkStart w:id="761" w:name="_Toc21447536"/>
      <w:bookmarkStart w:id="762" w:name="_Toc21447670"/>
      <w:bookmarkStart w:id="763" w:name="_Toc21510429"/>
      <w:bookmarkStart w:id="764" w:name="_Toc21511031"/>
      <w:bookmarkStart w:id="765" w:name="_Toc21523100"/>
      <w:bookmarkStart w:id="766" w:name="_Toc21672573"/>
      <w:bookmarkStart w:id="767" w:name="_Toc21677979"/>
      <w:bookmarkStart w:id="768" w:name="_Toc20756475"/>
      <w:bookmarkStart w:id="769" w:name="_Toc20758908"/>
      <w:bookmarkStart w:id="770" w:name="_Toc20758981"/>
      <w:bookmarkStart w:id="771" w:name="_Toc20759052"/>
      <w:bookmarkStart w:id="772" w:name="_Toc20759244"/>
      <w:bookmarkStart w:id="773" w:name="_Toc20898729"/>
      <w:bookmarkStart w:id="774" w:name="_Toc20899014"/>
      <w:bookmarkStart w:id="775" w:name="_Toc20903672"/>
      <w:bookmarkStart w:id="776" w:name="_Toc20903784"/>
      <w:bookmarkStart w:id="777" w:name="_Toc20903904"/>
      <w:bookmarkStart w:id="778" w:name="_Toc21078549"/>
      <w:bookmarkStart w:id="779" w:name="_Toc21080175"/>
      <w:bookmarkStart w:id="780" w:name="_Toc21353794"/>
      <w:bookmarkStart w:id="781" w:name="_Toc21354259"/>
      <w:bookmarkStart w:id="782" w:name="_Toc21446922"/>
      <w:bookmarkStart w:id="783" w:name="_Toc21447178"/>
      <w:bookmarkStart w:id="784" w:name="_Toc21447292"/>
      <w:bookmarkStart w:id="785" w:name="_Toc21447537"/>
      <w:bookmarkStart w:id="786" w:name="_Toc21447671"/>
      <w:bookmarkStart w:id="787" w:name="_Toc21510430"/>
      <w:bookmarkStart w:id="788" w:name="_Toc21511032"/>
      <w:bookmarkStart w:id="789" w:name="_Toc21523101"/>
      <w:bookmarkStart w:id="790" w:name="_Toc21672574"/>
      <w:bookmarkStart w:id="791" w:name="_Toc21677980"/>
      <w:bookmarkStart w:id="792" w:name="_Toc20756476"/>
      <w:bookmarkStart w:id="793" w:name="_Toc20758909"/>
      <w:bookmarkStart w:id="794" w:name="_Toc20758982"/>
      <w:bookmarkStart w:id="795" w:name="_Toc20759053"/>
      <w:bookmarkStart w:id="796" w:name="_Toc20759245"/>
      <w:bookmarkStart w:id="797" w:name="_Toc20898730"/>
      <w:bookmarkStart w:id="798" w:name="_Toc20899015"/>
      <w:bookmarkStart w:id="799" w:name="_Toc20903673"/>
      <w:bookmarkStart w:id="800" w:name="_Toc20903785"/>
      <w:bookmarkStart w:id="801" w:name="_Toc20903905"/>
      <w:bookmarkStart w:id="802" w:name="_Toc21078550"/>
      <w:bookmarkStart w:id="803" w:name="_Toc21080176"/>
      <w:bookmarkStart w:id="804" w:name="_Toc21353795"/>
      <w:bookmarkStart w:id="805" w:name="_Toc21354260"/>
      <w:bookmarkStart w:id="806" w:name="_Toc21446923"/>
      <w:bookmarkStart w:id="807" w:name="_Toc21447179"/>
      <w:bookmarkStart w:id="808" w:name="_Toc21447293"/>
      <w:bookmarkStart w:id="809" w:name="_Toc21447538"/>
      <w:bookmarkStart w:id="810" w:name="_Toc21447672"/>
      <w:bookmarkStart w:id="811" w:name="_Toc21510431"/>
      <w:bookmarkStart w:id="812" w:name="_Toc21511033"/>
      <w:bookmarkStart w:id="813" w:name="_Toc21523102"/>
      <w:bookmarkStart w:id="814" w:name="_Toc21672575"/>
      <w:bookmarkStart w:id="815" w:name="_Toc21677981"/>
      <w:bookmarkStart w:id="816" w:name="_Toc20756477"/>
      <w:bookmarkStart w:id="817" w:name="_Toc20758910"/>
      <w:bookmarkStart w:id="818" w:name="_Toc20758983"/>
      <w:bookmarkStart w:id="819" w:name="_Toc20759054"/>
      <w:bookmarkStart w:id="820" w:name="_Toc20759246"/>
      <w:bookmarkStart w:id="821" w:name="_Toc20898731"/>
      <w:bookmarkStart w:id="822" w:name="_Toc20899016"/>
      <w:bookmarkStart w:id="823" w:name="_Toc20903674"/>
      <w:bookmarkStart w:id="824" w:name="_Toc20903786"/>
      <w:bookmarkStart w:id="825" w:name="_Toc20903906"/>
      <w:bookmarkStart w:id="826" w:name="_Toc21078551"/>
      <w:bookmarkStart w:id="827" w:name="_Toc21080177"/>
      <w:bookmarkStart w:id="828" w:name="_Toc21353796"/>
      <w:bookmarkStart w:id="829" w:name="_Toc21354261"/>
      <w:bookmarkStart w:id="830" w:name="_Toc21446924"/>
      <w:bookmarkStart w:id="831" w:name="_Toc21447180"/>
      <w:bookmarkStart w:id="832" w:name="_Toc21447294"/>
      <w:bookmarkStart w:id="833" w:name="_Toc21447539"/>
      <w:bookmarkStart w:id="834" w:name="_Toc21447673"/>
      <w:bookmarkStart w:id="835" w:name="_Toc21510432"/>
      <w:bookmarkStart w:id="836" w:name="_Toc21511034"/>
      <w:bookmarkStart w:id="837" w:name="_Toc21523103"/>
      <w:bookmarkStart w:id="838" w:name="_Toc21672576"/>
      <w:bookmarkStart w:id="839" w:name="_Toc21677982"/>
      <w:bookmarkStart w:id="840" w:name="_Toc20756478"/>
      <w:bookmarkStart w:id="841" w:name="_Toc20758911"/>
      <w:bookmarkStart w:id="842" w:name="_Toc20758984"/>
      <w:bookmarkStart w:id="843" w:name="_Toc20759055"/>
      <w:bookmarkStart w:id="844" w:name="_Toc20759247"/>
      <w:bookmarkStart w:id="845" w:name="_Toc20898732"/>
      <w:bookmarkStart w:id="846" w:name="_Toc20899017"/>
      <w:bookmarkStart w:id="847" w:name="_Toc20903675"/>
      <w:bookmarkStart w:id="848" w:name="_Toc20903787"/>
      <w:bookmarkStart w:id="849" w:name="_Toc20903907"/>
      <w:bookmarkStart w:id="850" w:name="_Toc21078552"/>
      <w:bookmarkStart w:id="851" w:name="_Toc21080178"/>
      <w:bookmarkStart w:id="852" w:name="_Toc21353797"/>
      <w:bookmarkStart w:id="853" w:name="_Toc21354262"/>
      <w:bookmarkStart w:id="854" w:name="_Toc21446925"/>
      <w:bookmarkStart w:id="855" w:name="_Toc21447181"/>
      <w:bookmarkStart w:id="856" w:name="_Toc21447295"/>
      <w:bookmarkStart w:id="857" w:name="_Toc21447540"/>
      <w:bookmarkStart w:id="858" w:name="_Toc21447674"/>
      <w:bookmarkStart w:id="859" w:name="_Toc21510433"/>
      <w:bookmarkStart w:id="860" w:name="_Toc21511035"/>
      <w:bookmarkStart w:id="861" w:name="_Toc21523104"/>
      <w:bookmarkStart w:id="862" w:name="_Toc21672577"/>
      <w:bookmarkStart w:id="863" w:name="_Toc21677983"/>
      <w:bookmarkStart w:id="864" w:name="_Toc20756479"/>
      <w:bookmarkStart w:id="865" w:name="_Toc20758912"/>
      <w:bookmarkStart w:id="866" w:name="_Toc20758985"/>
      <w:bookmarkStart w:id="867" w:name="_Toc20759056"/>
      <w:bookmarkStart w:id="868" w:name="_Toc20759248"/>
      <w:bookmarkStart w:id="869" w:name="_Toc20898733"/>
      <w:bookmarkStart w:id="870" w:name="_Toc20899018"/>
      <w:bookmarkStart w:id="871" w:name="_Toc20903676"/>
      <w:bookmarkStart w:id="872" w:name="_Toc20903788"/>
      <w:bookmarkStart w:id="873" w:name="_Toc20903908"/>
      <w:bookmarkStart w:id="874" w:name="_Toc21078553"/>
      <w:bookmarkStart w:id="875" w:name="_Toc21080179"/>
      <w:bookmarkStart w:id="876" w:name="_Toc21353798"/>
      <w:bookmarkStart w:id="877" w:name="_Toc21354263"/>
      <w:bookmarkStart w:id="878" w:name="_Toc21446926"/>
      <w:bookmarkStart w:id="879" w:name="_Toc21447182"/>
      <w:bookmarkStart w:id="880" w:name="_Toc21447296"/>
      <w:bookmarkStart w:id="881" w:name="_Toc21447541"/>
      <w:bookmarkStart w:id="882" w:name="_Toc21447675"/>
      <w:bookmarkStart w:id="883" w:name="_Toc21510434"/>
      <w:bookmarkStart w:id="884" w:name="_Toc21511036"/>
      <w:bookmarkStart w:id="885" w:name="_Toc21523105"/>
      <w:bookmarkStart w:id="886" w:name="_Toc21672578"/>
      <w:bookmarkStart w:id="887" w:name="_Toc21677984"/>
      <w:bookmarkStart w:id="888" w:name="_Toc20756480"/>
      <w:bookmarkStart w:id="889" w:name="_Toc20758913"/>
      <w:bookmarkStart w:id="890" w:name="_Toc20758986"/>
      <w:bookmarkStart w:id="891" w:name="_Toc20759057"/>
      <w:bookmarkStart w:id="892" w:name="_Toc20759249"/>
      <w:bookmarkStart w:id="893" w:name="_Toc20898734"/>
      <w:bookmarkStart w:id="894" w:name="_Toc20899019"/>
      <w:bookmarkStart w:id="895" w:name="_Toc20903677"/>
      <w:bookmarkStart w:id="896" w:name="_Toc20903789"/>
      <w:bookmarkStart w:id="897" w:name="_Toc20903909"/>
      <w:bookmarkStart w:id="898" w:name="_Toc21078554"/>
      <w:bookmarkStart w:id="899" w:name="_Toc21080180"/>
      <w:bookmarkStart w:id="900" w:name="_Toc21353799"/>
      <w:bookmarkStart w:id="901" w:name="_Toc21354264"/>
      <w:bookmarkStart w:id="902" w:name="_Toc21446927"/>
      <w:bookmarkStart w:id="903" w:name="_Toc21447183"/>
      <w:bookmarkStart w:id="904" w:name="_Toc21447297"/>
      <w:bookmarkStart w:id="905" w:name="_Toc21447542"/>
      <w:bookmarkStart w:id="906" w:name="_Toc21447676"/>
      <w:bookmarkStart w:id="907" w:name="_Toc21510435"/>
      <w:bookmarkStart w:id="908" w:name="_Toc21511037"/>
      <w:bookmarkStart w:id="909" w:name="_Toc21523106"/>
      <w:bookmarkStart w:id="910" w:name="_Toc21672579"/>
      <w:bookmarkStart w:id="911" w:name="_Toc21677985"/>
      <w:bookmarkStart w:id="912" w:name="_Toc20756481"/>
      <w:bookmarkStart w:id="913" w:name="_Toc20758914"/>
      <w:bookmarkStart w:id="914" w:name="_Toc20758987"/>
      <w:bookmarkStart w:id="915" w:name="_Toc20759058"/>
      <w:bookmarkStart w:id="916" w:name="_Toc20759250"/>
      <w:bookmarkStart w:id="917" w:name="_Toc20898735"/>
      <w:bookmarkStart w:id="918" w:name="_Toc20899020"/>
      <w:bookmarkStart w:id="919" w:name="_Toc20903678"/>
      <w:bookmarkStart w:id="920" w:name="_Toc20903790"/>
      <w:bookmarkStart w:id="921" w:name="_Toc20903910"/>
      <w:bookmarkStart w:id="922" w:name="_Toc21078555"/>
      <w:bookmarkStart w:id="923" w:name="_Toc21080181"/>
      <w:bookmarkStart w:id="924" w:name="_Toc21353800"/>
      <w:bookmarkStart w:id="925" w:name="_Toc21354265"/>
      <w:bookmarkStart w:id="926" w:name="_Toc21446928"/>
      <w:bookmarkStart w:id="927" w:name="_Toc21447184"/>
      <w:bookmarkStart w:id="928" w:name="_Toc21447298"/>
      <w:bookmarkStart w:id="929" w:name="_Toc21447543"/>
      <w:bookmarkStart w:id="930" w:name="_Toc21447677"/>
      <w:bookmarkStart w:id="931" w:name="_Toc21510436"/>
      <w:bookmarkStart w:id="932" w:name="_Toc21511038"/>
      <w:bookmarkStart w:id="933" w:name="_Toc21523107"/>
      <w:bookmarkStart w:id="934" w:name="_Toc21672580"/>
      <w:bookmarkStart w:id="935" w:name="_Toc21677986"/>
      <w:bookmarkStart w:id="936" w:name="_Toc20756482"/>
      <w:bookmarkStart w:id="937" w:name="_Toc20758915"/>
      <w:bookmarkStart w:id="938" w:name="_Toc20758988"/>
      <w:bookmarkStart w:id="939" w:name="_Toc20759059"/>
      <w:bookmarkStart w:id="940" w:name="_Toc20759251"/>
      <w:bookmarkStart w:id="941" w:name="_Toc20898736"/>
      <w:bookmarkStart w:id="942" w:name="_Toc20899021"/>
      <w:bookmarkStart w:id="943" w:name="_Toc20903679"/>
      <w:bookmarkStart w:id="944" w:name="_Toc20903791"/>
      <w:bookmarkStart w:id="945" w:name="_Toc20903911"/>
      <w:bookmarkStart w:id="946" w:name="_Toc21078556"/>
      <w:bookmarkStart w:id="947" w:name="_Toc21080182"/>
      <w:bookmarkStart w:id="948" w:name="_Toc21353801"/>
      <w:bookmarkStart w:id="949" w:name="_Toc21354266"/>
      <w:bookmarkStart w:id="950" w:name="_Toc21446929"/>
      <w:bookmarkStart w:id="951" w:name="_Toc21447185"/>
      <w:bookmarkStart w:id="952" w:name="_Toc21447299"/>
      <w:bookmarkStart w:id="953" w:name="_Toc21447544"/>
      <w:bookmarkStart w:id="954" w:name="_Toc21447678"/>
      <w:bookmarkStart w:id="955" w:name="_Toc21510437"/>
      <w:bookmarkStart w:id="956" w:name="_Toc21511039"/>
      <w:bookmarkStart w:id="957" w:name="_Toc21523108"/>
      <w:bookmarkStart w:id="958" w:name="_Toc21672581"/>
      <w:bookmarkStart w:id="959" w:name="_Toc21677987"/>
      <w:bookmarkStart w:id="960" w:name="_Toc20756483"/>
      <w:bookmarkStart w:id="961" w:name="_Toc20758916"/>
      <w:bookmarkStart w:id="962" w:name="_Toc20758989"/>
      <w:bookmarkStart w:id="963" w:name="_Toc20759060"/>
      <w:bookmarkStart w:id="964" w:name="_Toc20759252"/>
      <w:bookmarkStart w:id="965" w:name="_Toc20898737"/>
      <w:bookmarkStart w:id="966" w:name="_Toc20899022"/>
      <w:bookmarkStart w:id="967" w:name="_Toc20903680"/>
      <w:bookmarkStart w:id="968" w:name="_Toc20903792"/>
      <w:bookmarkStart w:id="969" w:name="_Toc20903912"/>
      <w:bookmarkStart w:id="970" w:name="_Toc21078557"/>
      <w:bookmarkStart w:id="971" w:name="_Toc21080183"/>
      <w:bookmarkStart w:id="972" w:name="_Toc21353802"/>
      <w:bookmarkStart w:id="973" w:name="_Toc21354267"/>
      <w:bookmarkStart w:id="974" w:name="_Toc21446930"/>
      <w:bookmarkStart w:id="975" w:name="_Toc21447186"/>
      <w:bookmarkStart w:id="976" w:name="_Toc21447300"/>
      <w:bookmarkStart w:id="977" w:name="_Toc21447545"/>
      <w:bookmarkStart w:id="978" w:name="_Toc21447679"/>
      <w:bookmarkStart w:id="979" w:name="_Toc21510438"/>
      <w:bookmarkStart w:id="980" w:name="_Toc21511040"/>
      <w:bookmarkStart w:id="981" w:name="_Toc21523109"/>
      <w:bookmarkStart w:id="982" w:name="_Toc21672582"/>
      <w:bookmarkStart w:id="983" w:name="_Toc21677988"/>
      <w:bookmarkStart w:id="984" w:name="_Toc20756484"/>
      <w:bookmarkStart w:id="985" w:name="_Toc20758917"/>
      <w:bookmarkStart w:id="986" w:name="_Toc20758990"/>
      <w:bookmarkStart w:id="987" w:name="_Toc20759061"/>
      <w:bookmarkStart w:id="988" w:name="_Toc20759253"/>
      <w:bookmarkStart w:id="989" w:name="_Toc20898738"/>
      <w:bookmarkStart w:id="990" w:name="_Toc20899023"/>
      <w:bookmarkStart w:id="991" w:name="_Toc20903681"/>
      <w:bookmarkStart w:id="992" w:name="_Toc20903793"/>
      <w:bookmarkStart w:id="993" w:name="_Toc20903913"/>
      <w:bookmarkStart w:id="994" w:name="_Toc21078558"/>
      <w:bookmarkStart w:id="995" w:name="_Toc21080184"/>
      <w:bookmarkStart w:id="996" w:name="_Toc21353803"/>
      <w:bookmarkStart w:id="997" w:name="_Toc21354268"/>
      <w:bookmarkStart w:id="998" w:name="_Toc21446931"/>
      <w:bookmarkStart w:id="999" w:name="_Toc21447187"/>
      <w:bookmarkStart w:id="1000" w:name="_Toc21447301"/>
      <w:bookmarkStart w:id="1001" w:name="_Toc21447546"/>
      <w:bookmarkStart w:id="1002" w:name="_Toc21447680"/>
      <w:bookmarkStart w:id="1003" w:name="_Toc21510439"/>
      <w:bookmarkStart w:id="1004" w:name="_Toc21511041"/>
      <w:bookmarkStart w:id="1005" w:name="_Toc21523110"/>
      <w:bookmarkStart w:id="1006" w:name="_Toc21672583"/>
      <w:bookmarkStart w:id="1007" w:name="_Toc21677989"/>
      <w:bookmarkStart w:id="1008" w:name="_Toc20756485"/>
      <w:bookmarkStart w:id="1009" w:name="_Toc20758918"/>
      <w:bookmarkStart w:id="1010" w:name="_Toc20758991"/>
      <w:bookmarkStart w:id="1011" w:name="_Toc20759062"/>
      <w:bookmarkStart w:id="1012" w:name="_Toc20759254"/>
      <w:bookmarkStart w:id="1013" w:name="_Toc20898739"/>
      <w:bookmarkStart w:id="1014" w:name="_Toc20899024"/>
      <w:bookmarkStart w:id="1015" w:name="_Toc20903682"/>
      <w:bookmarkStart w:id="1016" w:name="_Toc20903794"/>
      <w:bookmarkStart w:id="1017" w:name="_Toc20903914"/>
      <w:bookmarkStart w:id="1018" w:name="_Toc21078559"/>
      <w:bookmarkStart w:id="1019" w:name="_Toc21080185"/>
      <w:bookmarkStart w:id="1020" w:name="_Toc21353804"/>
      <w:bookmarkStart w:id="1021" w:name="_Toc21354269"/>
      <w:bookmarkStart w:id="1022" w:name="_Toc21446932"/>
      <w:bookmarkStart w:id="1023" w:name="_Toc21447188"/>
      <w:bookmarkStart w:id="1024" w:name="_Toc21447302"/>
      <w:bookmarkStart w:id="1025" w:name="_Toc21447547"/>
      <w:bookmarkStart w:id="1026" w:name="_Toc21447681"/>
      <w:bookmarkStart w:id="1027" w:name="_Toc21510440"/>
      <w:bookmarkStart w:id="1028" w:name="_Toc21511042"/>
      <w:bookmarkStart w:id="1029" w:name="_Toc21523111"/>
      <w:bookmarkStart w:id="1030" w:name="_Toc21672584"/>
      <w:bookmarkStart w:id="1031" w:name="_Toc21677990"/>
      <w:bookmarkStart w:id="1032" w:name="_Toc20756486"/>
      <w:bookmarkStart w:id="1033" w:name="_Toc20758919"/>
      <w:bookmarkStart w:id="1034" w:name="_Toc20758992"/>
      <w:bookmarkStart w:id="1035" w:name="_Toc20759063"/>
      <w:bookmarkStart w:id="1036" w:name="_Toc20759255"/>
      <w:bookmarkStart w:id="1037" w:name="_Toc20898740"/>
      <w:bookmarkStart w:id="1038" w:name="_Toc20899025"/>
      <w:bookmarkStart w:id="1039" w:name="_Toc20903683"/>
      <w:bookmarkStart w:id="1040" w:name="_Toc20903795"/>
      <w:bookmarkStart w:id="1041" w:name="_Toc20903915"/>
      <w:bookmarkStart w:id="1042" w:name="_Toc21078560"/>
      <w:bookmarkStart w:id="1043" w:name="_Toc21080186"/>
      <w:bookmarkStart w:id="1044" w:name="_Toc21353805"/>
      <w:bookmarkStart w:id="1045" w:name="_Toc21354270"/>
      <w:bookmarkStart w:id="1046" w:name="_Toc21446933"/>
      <w:bookmarkStart w:id="1047" w:name="_Toc21447189"/>
      <w:bookmarkStart w:id="1048" w:name="_Toc21447303"/>
      <w:bookmarkStart w:id="1049" w:name="_Toc21447548"/>
      <w:bookmarkStart w:id="1050" w:name="_Toc21447682"/>
      <w:bookmarkStart w:id="1051" w:name="_Toc21510441"/>
      <w:bookmarkStart w:id="1052" w:name="_Toc21511043"/>
      <w:bookmarkStart w:id="1053" w:name="_Toc21523112"/>
      <w:bookmarkStart w:id="1054" w:name="_Toc21672585"/>
      <w:bookmarkStart w:id="1055" w:name="_Toc21677991"/>
      <w:bookmarkStart w:id="1056" w:name="_Toc20756487"/>
      <w:bookmarkStart w:id="1057" w:name="_Toc20758920"/>
      <w:bookmarkStart w:id="1058" w:name="_Toc20758993"/>
      <w:bookmarkStart w:id="1059" w:name="_Toc20759064"/>
      <w:bookmarkStart w:id="1060" w:name="_Toc20759256"/>
      <w:bookmarkStart w:id="1061" w:name="_Toc20898741"/>
      <w:bookmarkStart w:id="1062" w:name="_Toc20899026"/>
      <w:bookmarkStart w:id="1063" w:name="_Toc20903684"/>
      <w:bookmarkStart w:id="1064" w:name="_Toc20903796"/>
      <w:bookmarkStart w:id="1065" w:name="_Toc20903916"/>
      <w:bookmarkStart w:id="1066" w:name="_Toc21078561"/>
      <w:bookmarkStart w:id="1067" w:name="_Toc21080187"/>
      <w:bookmarkStart w:id="1068" w:name="_Toc21353806"/>
      <w:bookmarkStart w:id="1069" w:name="_Toc21354271"/>
      <w:bookmarkStart w:id="1070" w:name="_Toc21446934"/>
      <w:bookmarkStart w:id="1071" w:name="_Toc21447190"/>
      <w:bookmarkStart w:id="1072" w:name="_Toc21447304"/>
      <w:bookmarkStart w:id="1073" w:name="_Toc21447549"/>
      <w:bookmarkStart w:id="1074" w:name="_Toc21447683"/>
      <w:bookmarkStart w:id="1075" w:name="_Toc21510442"/>
      <w:bookmarkStart w:id="1076" w:name="_Toc21511044"/>
      <w:bookmarkStart w:id="1077" w:name="_Toc21523113"/>
      <w:bookmarkStart w:id="1078" w:name="_Toc21672586"/>
      <w:bookmarkStart w:id="1079" w:name="_Toc21677992"/>
      <w:bookmarkStart w:id="1080" w:name="_Toc20756488"/>
      <w:bookmarkStart w:id="1081" w:name="_Toc20758921"/>
      <w:bookmarkStart w:id="1082" w:name="_Toc20758994"/>
      <w:bookmarkStart w:id="1083" w:name="_Toc20759065"/>
      <w:bookmarkStart w:id="1084" w:name="_Toc20759257"/>
      <w:bookmarkStart w:id="1085" w:name="_Toc20898742"/>
      <w:bookmarkStart w:id="1086" w:name="_Toc20899027"/>
      <w:bookmarkStart w:id="1087" w:name="_Toc20903685"/>
      <w:bookmarkStart w:id="1088" w:name="_Toc20903797"/>
      <w:bookmarkStart w:id="1089" w:name="_Toc20903917"/>
      <w:bookmarkStart w:id="1090" w:name="_Toc21078562"/>
      <w:bookmarkStart w:id="1091" w:name="_Toc21080188"/>
      <w:bookmarkStart w:id="1092" w:name="_Toc21353807"/>
      <w:bookmarkStart w:id="1093" w:name="_Toc21354272"/>
      <w:bookmarkStart w:id="1094" w:name="_Toc21446935"/>
      <w:bookmarkStart w:id="1095" w:name="_Toc21447191"/>
      <w:bookmarkStart w:id="1096" w:name="_Toc21447305"/>
      <w:bookmarkStart w:id="1097" w:name="_Toc21447550"/>
      <w:bookmarkStart w:id="1098" w:name="_Toc21447684"/>
      <w:bookmarkStart w:id="1099" w:name="_Toc21510443"/>
      <w:bookmarkStart w:id="1100" w:name="_Toc21511045"/>
      <w:bookmarkStart w:id="1101" w:name="_Toc21523114"/>
      <w:bookmarkStart w:id="1102" w:name="_Toc21672587"/>
      <w:bookmarkStart w:id="1103" w:name="_Toc21677993"/>
      <w:bookmarkStart w:id="1104" w:name="_Toc20756489"/>
      <w:bookmarkStart w:id="1105" w:name="_Toc20758922"/>
      <w:bookmarkStart w:id="1106" w:name="_Toc20758995"/>
      <w:bookmarkStart w:id="1107" w:name="_Toc20759066"/>
      <w:bookmarkStart w:id="1108" w:name="_Toc20759258"/>
      <w:bookmarkStart w:id="1109" w:name="_Toc20898743"/>
      <w:bookmarkStart w:id="1110" w:name="_Toc20899028"/>
      <w:bookmarkStart w:id="1111" w:name="_Toc20903686"/>
      <w:bookmarkStart w:id="1112" w:name="_Toc20903798"/>
      <w:bookmarkStart w:id="1113" w:name="_Toc20903918"/>
      <w:bookmarkStart w:id="1114" w:name="_Toc21078563"/>
      <w:bookmarkStart w:id="1115" w:name="_Toc21080189"/>
      <w:bookmarkStart w:id="1116" w:name="_Toc21353808"/>
      <w:bookmarkStart w:id="1117" w:name="_Toc21354273"/>
      <w:bookmarkStart w:id="1118" w:name="_Toc21446936"/>
      <w:bookmarkStart w:id="1119" w:name="_Toc21447192"/>
      <w:bookmarkStart w:id="1120" w:name="_Toc21447306"/>
      <w:bookmarkStart w:id="1121" w:name="_Toc21447551"/>
      <w:bookmarkStart w:id="1122" w:name="_Toc21447685"/>
      <w:bookmarkStart w:id="1123" w:name="_Toc21510444"/>
      <w:bookmarkStart w:id="1124" w:name="_Toc21511046"/>
      <w:bookmarkStart w:id="1125" w:name="_Toc21523115"/>
      <w:bookmarkStart w:id="1126" w:name="_Toc21672588"/>
      <w:bookmarkStart w:id="1127" w:name="_Toc21677994"/>
      <w:bookmarkStart w:id="1128" w:name="_Toc20756490"/>
      <w:bookmarkStart w:id="1129" w:name="_Toc20758923"/>
      <w:bookmarkStart w:id="1130" w:name="_Toc20758996"/>
      <w:bookmarkStart w:id="1131" w:name="_Toc20759067"/>
      <w:bookmarkStart w:id="1132" w:name="_Toc20759259"/>
      <w:bookmarkStart w:id="1133" w:name="_Toc20898744"/>
      <w:bookmarkStart w:id="1134" w:name="_Toc20899029"/>
      <w:bookmarkStart w:id="1135" w:name="_Toc20903687"/>
      <w:bookmarkStart w:id="1136" w:name="_Toc20903799"/>
      <w:bookmarkStart w:id="1137" w:name="_Toc20903919"/>
      <w:bookmarkStart w:id="1138" w:name="_Toc21078564"/>
      <w:bookmarkStart w:id="1139" w:name="_Toc21080190"/>
      <w:bookmarkStart w:id="1140" w:name="_Toc21353809"/>
      <w:bookmarkStart w:id="1141" w:name="_Toc21354274"/>
      <w:bookmarkStart w:id="1142" w:name="_Toc21446937"/>
      <w:bookmarkStart w:id="1143" w:name="_Toc21447193"/>
      <w:bookmarkStart w:id="1144" w:name="_Toc21447307"/>
      <w:bookmarkStart w:id="1145" w:name="_Toc21447552"/>
      <w:bookmarkStart w:id="1146" w:name="_Toc21447686"/>
      <w:bookmarkStart w:id="1147" w:name="_Toc21510445"/>
      <w:bookmarkStart w:id="1148" w:name="_Toc21511047"/>
      <w:bookmarkStart w:id="1149" w:name="_Toc21523116"/>
      <w:bookmarkStart w:id="1150" w:name="_Toc21672589"/>
      <w:bookmarkStart w:id="1151" w:name="_Toc21677995"/>
      <w:bookmarkStart w:id="1152" w:name="_Toc20756491"/>
      <w:bookmarkStart w:id="1153" w:name="_Toc20758924"/>
      <w:bookmarkStart w:id="1154" w:name="_Toc20758997"/>
      <w:bookmarkStart w:id="1155" w:name="_Toc20759068"/>
      <w:bookmarkStart w:id="1156" w:name="_Toc20759260"/>
      <w:bookmarkStart w:id="1157" w:name="_Toc20898745"/>
      <w:bookmarkStart w:id="1158" w:name="_Toc20899030"/>
      <w:bookmarkStart w:id="1159" w:name="_Toc20903688"/>
      <w:bookmarkStart w:id="1160" w:name="_Toc20903800"/>
      <w:bookmarkStart w:id="1161" w:name="_Toc20903920"/>
      <w:bookmarkStart w:id="1162" w:name="_Toc21078565"/>
      <w:bookmarkStart w:id="1163" w:name="_Toc21080191"/>
      <w:bookmarkStart w:id="1164" w:name="_Toc21353810"/>
      <w:bookmarkStart w:id="1165" w:name="_Toc21354275"/>
      <w:bookmarkStart w:id="1166" w:name="_Toc21446938"/>
      <w:bookmarkStart w:id="1167" w:name="_Toc21447194"/>
      <w:bookmarkStart w:id="1168" w:name="_Toc21447308"/>
      <w:bookmarkStart w:id="1169" w:name="_Toc21447553"/>
      <w:bookmarkStart w:id="1170" w:name="_Toc21447687"/>
      <w:bookmarkStart w:id="1171" w:name="_Toc21510446"/>
      <w:bookmarkStart w:id="1172" w:name="_Toc21511048"/>
      <w:bookmarkStart w:id="1173" w:name="_Toc21523117"/>
      <w:bookmarkStart w:id="1174" w:name="_Toc21672590"/>
      <w:bookmarkStart w:id="1175" w:name="_Toc21677996"/>
      <w:bookmarkStart w:id="1176" w:name="_Toc20756492"/>
      <w:bookmarkStart w:id="1177" w:name="_Toc20758925"/>
      <w:bookmarkStart w:id="1178" w:name="_Toc20758998"/>
      <w:bookmarkStart w:id="1179" w:name="_Toc20759069"/>
      <w:bookmarkStart w:id="1180" w:name="_Toc20759261"/>
      <w:bookmarkStart w:id="1181" w:name="_Toc20898746"/>
      <w:bookmarkStart w:id="1182" w:name="_Toc20899031"/>
      <w:bookmarkStart w:id="1183" w:name="_Toc20903689"/>
      <w:bookmarkStart w:id="1184" w:name="_Toc20903801"/>
      <w:bookmarkStart w:id="1185" w:name="_Toc20903921"/>
      <w:bookmarkStart w:id="1186" w:name="_Toc21078566"/>
      <w:bookmarkStart w:id="1187" w:name="_Toc21080192"/>
      <w:bookmarkStart w:id="1188" w:name="_Toc21353811"/>
      <w:bookmarkStart w:id="1189" w:name="_Toc21354276"/>
      <w:bookmarkStart w:id="1190" w:name="_Toc21446939"/>
      <w:bookmarkStart w:id="1191" w:name="_Toc21447195"/>
      <w:bookmarkStart w:id="1192" w:name="_Toc21447309"/>
      <w:bookmarkStart w:id="1193" w:name="_Toc21447554"/>
      <w:bookmarkStart w:id="1194" w:name="_Toc21447688"/>
      <w:bookmarkStart w:id="1195" w:name="_Toc21510447"/>
      <w:bookmarkStart w:id="1196" w:name="_Toc21511049"/>
      <w:bookmarkStart w:id="1197" w:name="_Toc21523118"/>
      <w:bookmarkStart w:id="1198" w:name="_Toc21672591"/>
      <w:bookmarkStart w:id="1199" w:name="_Toc21677997"/>
      <w:bookmarkStart w:id="1200" w:name="_Toc8199359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2D9CB5B4" w14:textId="1675F108" w:rsidR="000C6958" w:rsidRPr="003141DC" w:rsidRDefault="000C6958">
      <w:pPr>
        <w:pStyle w:val="STPR2BulletsLevel1"/>
        <w:sectPr w:rsidR="000C6958" w:rsidRPr="003141DC" w:rsidSect="007100CE">
          <w:headerReference w:type="even" r:id="rId25"/>
          <w:footerReference w:type="default" r:id="rId26"/>
          <w:headerReference w:type="first" r:id="rId27"/>
          <w:pgSz w:w="11906" w:h="16838" w:code="9"/>
          <w:pgMar w:top="1699" w:right="1138" w:bottom="1138" w:left="1138" w:header="454" w:footer="567" w:gutter="0"/>
          <w:cols w:space="720"/>
          <w:noEndnote/>
          <w:docGrid w:linePitch="299"/>
        </w:sectPr>
      </w:pPr>
      <w:bookmarkStart w:id="1201" w:name="_Toc88564129"/>
      <w:bookmarkStart w:id="1202" w:name="_Toc88564130"/>
      <w:bookmarkStart w:id="1203" w:name="_Toc88564131"/>
      <w:bookmarkStart w:id="1204" w:name="_Toc88564149"/>
      <w:bookmarkStart w:id="1205" w:name="_Toc88564150"/>
      <w:bookmarkStart w:id="1206" w:name="_Toc88564151"/>
      <w:bookmarkStart w:id="1207" w:name="_Toc88564152"/>
      <w:bookmarkStart w:id="1208" w:name="_Toc88564153"/>
      <w:bookmarkStart w:id="1209" w:name="_Toc88564154"/>
      <w:bookmarkStart w:id="1210" w:name="_Toc88564155"/>
      <w:bookmarkStart w:id="1211" w:name="_Toc88564156"/>
      <w:bookmarkStart w:id="1212" w:name="_Toc88564157"/>
      <w:bookmarkStart w:id="1213" w:name="_Toc88564158"/>
      <w:bookmarkStart w:id="1214" w:name="_Toc88564159"/>
      <w:bookmarkStart w:id="1215" w:name="_Toc88564160"/>
      <w:bookmarkStart w:id="1216" w:name="_Toc88564161"/>
      <w:bookmarkStart w:id="1217" w:name="_Toc88564162"/>
      <w:bookmarkStart w:id="1218" w:name="_Toc88564163"/>
      <w:bookmarkStart w:id="1219" w:name="_Toc88564164"/>
      <w:bookmarkStart w:id="1220" w:name="_Toc88564165"/>
      <w:bookmarkStart w:id="1221" w:name="_Toc88564166"/>
      <w:bookmarkStart w:id="1222" w:name="_Toc88564167"/>
      <w:bookmarkStart w:id="1223" w:name="_Toc88564168"/>
      <w:bookmarkStart w:id="1224" w:name="_Toc88564169"/>
      <w:bookmarkStart w:id="1225" w:name="_Toc88564170"/>
      <w:bookmarkStart w:id="1226" w:name="_Toc88564171"/>
      <w:bookmarkStart w:id="1227" w:name="_Toc88564172"/>
      <w:bookmarkStart w:id="1228" w:name="_Toc88564173"/>
      <w:bookmarkStart w:id="1229" w:name="_Toc88564174"/>
      <w:bookmarkStart w:id="1230" w:name="_Toc88564175"/>
      <w:bookmarkStart w:id="1231" w:name="_Toc88564176"/>
      <w:bookmarkStart w:id="1232" w:name="_Toc88564177"/>
      <w:bookmarkStart w:id="1233" w:name="_Toc88564178"/>
      <w:bookmarkStart w:id="1234" w:name="_Toc88564179"/>
      <w:bookmarkStart w:id="1235" w:name="_Toc88564180"/>
      <w:bookmarkStart w:id="1236" w:name="_Toc88564181"/>
      <w:bookmarkStart w:id="1237" w:name="_Toc88564182"/>
      <w:bookmarkStart w:id="1238" w:name="_Toc88564183"/>
      <w:bookmarkStart w:id="1239" w:name="_Toc88564184"/>
      <w:bookmarkStart w:id="1240" w:name="_Toc88564185"/>
      <w:bookmarkStart w:id="1241" w:name="_Toc88564186"/>
      <w:bookmarkStart w:id="1242" w:name="_Toc88564187"/>
      <w:bookmarkStart w:id="1243" w:name="_Toc88564188"/>
      <w:bookmarkStart w:id="1244" w:name="_Toc88564189"/>
      <w:bookmarkStart w:id="1245" w:name="_Toc88564190"/>
      <w:bookmarkStart w:id="1246" w:name="_Toc88564191"/>
      <w:bookmarkStart w:id="1247" w:name="_Toc21446944"/>
      <w:bookmarkStart w:id="1248" w:name="_Toc21447200"/>
      <w:bookmarkStart w:id="1249" w:name="_Toc21447314"/>
      <w:bookmarkStart w:id="1250" w:name="_Toc21447559"/>
      <w:bookmarkStart w:id="1251" w:name="_Toc21447693"/>
      <w:bookmarkStart w:id="1252" w:name="_Toc21510452"/>
      <w:bookmarkStart w:id="1253" w:name="_Toc21511054"/>
      <w:bookmarkStart w:id="1254" w:name="_Toc21523123"/>
      <w:bookmarkStart w:id="1255" w:name="_Toc88564195"/>
      <w:bookmarkStart w:id="1256" w:name="_Toc88564197"/>
      <w:bookmarkStart w:id="1257" w:name="_Toc20487791"/>
      <w:bookmarkStart w:id="1258" w:name="_Toc20487985"/>
      <w:bookmarkStart w:id="1259" w:name="_Toc20744600"/>
      <w:bookmarkStart w:id="1260" w:name="_Toc20754083"/>
      <w:bookmarkStart w:id="1261" w:name="_Toc20487792"/>
      <w:bookmarkStart w:id="1262" w:name="_Toc20487986"/>
      <w:bookmarkStart w:id="1263" w:name="_Toc20744601"/>
      <w:bookmarkStart w:id="1264" w:name="_Toc20754084"/>
      <w:bookmarkStart w:id="1265" w:name="_Toc20487793"/>
      <w:bookmarkStart w:id="1266" w:name="_Toc20487987"/>
      <w:bookmarkStart w:id="1267" w:name="_Toc20744602"/>
      <w:bookmarkStart w:id="1268" w:name="_Toc20754085"/>
      <w:bookmarkStart w:id="1269" w:name="_Toc20487794"/>
      <w:bookmarkStart w:id="1270" w:name="_Toc20487988"/>
      <w:bookmarkStart w:id="1271" w:name="_Toc20744603"/>
      <w:bookmarkStart w:id="1272" w:name="_Toc20754086"/>
      <w:bookmarkStart w:id="1273" w:name="_Toc20487795"/>
      <w:bookmarkStart w:id="1274" w:name="_Toc20487989"/>
      <w:bookmarkStart w:id="1275" w:name="_Toc20744604"/>
      <w:bookmarkStart w:id="1276" w:name="_Toc20754087"/>
      <w:bookmarkStart w:id="1277" w:name="_Toc20487796"/>
      <w:bookmarkStart w:id="1278" w:name="_Toc20487990"/>
      <w:bookmarkStart w:id="1279" w:name="_Toc20744605"/>
      <w:bookmarkStart w:id="1280" w:name="_Toc20754088"/>
      <w:bookmarkStart w:id="1281" w:name="_Toc20487797"/>
      <w:bookmarkStart w:id="1282" w:name="_Toc20487991"/>
      <w:bookmarkStart w:id="1283" w:name="_Toc20744606"/>
      <w:bookmarkStart w:id="1284" w:name="_Toc20754089"/>
      <w:bookmarkStart w:id="1285" w:name="_Toc20487799"/>
      <w:bookmarkStart w:id="1286" w:name="_Toc20487993"/>
      <w:bookmarkStart w:id="1287" w:name="_Toc20744608"/>
      <w:bookmarkStart w:id="1288" w:name="_Toc20754091"/>
      <w:bookmarkStart w:id="1289" w:name="_Toc20487800"/>
      <w:bookmarkStart w:id="1290" w:name="_Toc20487994"/>
      <w:bookmarkStart w:id="1291" w:name="_Toc20744609"/>
      <w:bookmarkStart w:id="1292" w:name="_Toc20754092"/>
      <w:bookmarkStart w:id="1293" w:name="_Toc20487801"/>
      <w:bookmarkStart w:id="1294" w:name="_Toc20487995"/>
      <w:bookmarkStart w:id="1295" w:name="_Toc20744610"/>
      <w:bookmarkStart w:id="1296" w:name="_Toc20754093"/>
      <w:bookmarkStart w:id="1297" w:name="_Toc20487802"/>
      <w:bookmarkStart w:id="1298" w:name="_Toc20487996"/>
      <w:bookmarkStart w:id="1299" w:name="_Toc20744611"/>
      <w:bookmarkStart w:id="1300" w:name="_Toc20754094"/>
      <w:bookmarkStart w:id="1301" w:name="_Toc20487803"/>
      <w:bookmarkStart w:id="1302" w:name="_Toc20487997"/>
      <w:bookmarkStart w:id="1303" w:name="_Toc20744612"/>
      <w:bookmarkStart w:id="1304" w:name="_Toc20754095"/>
      <w:bookmarkStart w:id="1305" w:name="_Toc20487804"/>
      <w:bookmarkStart w:id="1306" w:name="_Toc20487998"/>
      <w:bookmarkStart w:id="1307" w:name="_Toc20744613"/>
      <w:bookmarkStart w:id="1308" w:name="_Toc20754096"/>
      <w:bookmarkStart w:id="1309" w:name="_Toc20487805"/>
      <w:bookmarkStart w:id="1310" w:name="_Toc20487999"/>
      <w:bookmarkStart w:id="1311" w:name="_Toc20744614"/>
      <w:bookmarkStart w:id="1312" w:name="_Toc20754097"/>
      <w:bookmarkStart w:id="1313" w:name="_Toc20487806"/>
      <w:bookmarkStart w:id="1314" w:name="_Toc20488000"/>
      <w:bookmarkStart w:id="1315" w:name="_Toc20744615"/>
      <w:bookmarkStart w:id="1316" w:name="_Toc20754098"/>
      <w:bookmarkStart w:id="1317" w:name="_Toc20487807"/>
      <w:bookmarkStart w:id="1318" w:name="_Toc20488001"/>
      <w:bookmarkStart w:id="1319" w:name="_Toc20744616"/>
      <w:bookmarkStart w:id="1320" w:name="_Toc20754099"/>
      <w:bookmarkStart w:id="1321" w:name="_Toc20487808"/>
      <w:bookmarkStart w:id="1322" w:name="_Toc20488002"/>
      <w:bookmarkStart w:id="1323" w:name="_Toc20744617"/>
      <w:bookmarkStart w:id="1324" w:name="_Toc20754100"/>
      <w:bookmarkStart w:id="1325" w:name="_Toc20487809"/>
      <w:bookmarkStart w:id="1326" w:name="_Toc20488003"/>
      <w:bookmarkStart w:id="1327" w:name="_Toc20744618"/>
      <w:bookmarkStart w:id="1328" w:name="_Toc20754101"/>
      <w:bookmarkStart w:id="1329" w:name="_Toc20487810"/>
      <w:bookmarkStart w:id="1330" w:name="_Toc20488004"/>
      <w:bookmarkStart w:id="1331" w:name="_Toc20744619"/>
      <w:bookmarkStart w:id="1332" w:name="_Toc20754102"/>
      <w:bookmarkStart w:id="1333" w:name="_Toc20487811"/>
      <w:bookmarkStart w:id="1334" w:name="_Toc20488005"/>
      <w:bookmarkStart w:id="1335" w:name="_Toc20744620"/>
      <w:bookmarkStart w:id="1336" w:name="_Toc20754103"/>
      <w:bookmarkStart w:id="1337" w:name="_Toc20487812"/>
      <w:bookmarkStart w:id="1338" w:name="_Toc20488006"/>
      <w:bookmarkStart w:id="1339" w:name="_Toc20744621"/>
      <w:bookmarkStart w:id="1340" w:name="_Toc20754104"/>
      <w:bookmarkStart w:id="1341" w:name="_Toc20487813"/>
      <w:bookmarkStart w:id="1342" w:name="_Toc20488007"/>
      <w:bookmarkStart w:id="1343" w:name="_Toc20744622"/>
      <w:bookmarkStart w:id="1344" w:name="_Toc20754105"/>
      <w:bookmarkStart w:id="1345" w:name="_Toc20487814"/>
      <w:bookmarkStart w:id="1346" w:name="_Toc20488008"/>
      <w:bookmarkStart w:id="1347" w:name="_Toc20744623"/>
      <w:bookmarkStart w:id="1348" w:name="_Toc20754106"/>
      <w:bookmarkStart w:id="1349" w:name="_Toc20487815"/>
      <w:bookmarkStart w:id="1350" w:name="_Toc20488009"/>
      <w:bookmarkStart w:id="1351" w:name="_Toc20744624"/>
      <w:bookmarkStart w:id="1352" w:name="_Toc20754107"/>
      <w:bookmarkStart w:id="1353" w:name="_Toc20487816"/>
      <w:bookmarkStart w:id="1354" w:name="_Toc20488010"/>
      <w:bookmarkStart w:id="1355" w:name="_Toc20744625"/>
      <w:bookmarkStart w:id="1356" w:name="_Toc20754108"/>
      <w:bookmarkStart w:id="1357" w:name="_Toc20487817"/>
      <w:bookmarkStart w:id="1358" w:name="_Toc20488011"/>
      <w:bookmarkStart w:id="1359" w:name="_Toc20744626"/>
      <w:bookmarkStart w:id="1360" w:name="_Toc20754109"/>
      <w:bookmarkStart w:id="1361" w:name="_Toc20487818"/>
      <w:bookmarkStart w:id="1362" w:name="_Toc20488012"/>
      <w:bookmarkStart w:id="1363" w:name="_Toc20744627"/>
      <w:bookmarkStart w:id="1364" w:name="_Toc20754110"/>
      <w:bookmarkStart w:id="1365" w:name="_Toc20487819"/>
      <w:bookmarkStart w:id="1366" w:name="_Toc20488013"/>
      <w:bookmarkStart w:id="1367" w:name="_Toc20744628"/>
      <w:bookmarkStart w:id="1368" w:name="_Toc20754111"/>
      <w:bookmarkStart w:id="1369" w:name="_Toc20487820"/>
      <w:bookmarkStart w:id="1370" w:name="_Toc20488014"/>
      <w:bookmarkStart w:id="1371" w:name="_Toc20744629"/>
      <w:bookmarkStart w:id="1372" w:name="_Toc20754112"/>
      <w:bookmarkStart w:id="1373" w:name="_Toc20487821"/>
      <w:bookmarkStart w:id="1374" w:name="_Toc20488015"/>
      <w:bookmarkStart w:id="1375" w:name="_Toc20744630"/>
      <w:bookmarkStart w:id="1376" w:name="_Toc20754113"/>
      <w:bookmarkStart w:id="1377" w:name="_Toc20487822"/>
      <w:bookmarkStart w:id="1378" w:name="_Toc20488016"/>
      <w:bookmarkStart w:id="1379" w:name="_Toc20744631"/>
      <w:bookmarkStart w:id="1380" w:name="_Toc20754114"/>
      <w:bookmarkStart w:id="1381" w:name="_Toc20487823"/>
      <w:bookmarkStart w:id="1382" w:name="_Toc20488017"/>
      <w:bookmarkStart w:id="1383" w:name="_Toc20744632"/>
      <w:bookmarkStart w:id="1384" w:name="_Toc20754115"/>
      <w:bookmarkStart w:id="1385" w:name="_Toc20487824"/>
      <w:bookmarkStart w:id="1386" w:name="_Toc20488018"/>
      <w:bookmarkStart w:id="1387" w:name="_Toc20744633"/>
      <w:bookmarkStart w:id="1388" w:name="_Toc20754116"/>
      <w:bookmarkStart w:id="1389" w:name="_Toc20487825"/>
      <w:bookmarkStart w:id="1390" w:name="_Toc20488019"/>
      <w:bookmarkStart w:id="1391" w:name="_Toc20744634"/>
      <w:bookmarkStart w:id="1392" w:name="_Toc20754117"/>
      <w:bookmarkStart w:id="1393" w:name="_Toc20487826"/>
      <w:bookmarkStart w:id="1394" w:name="_Toc20488020"/>
      <w:bookmarkStart w:id="1395" w:name="_Toc20744635"/>
      <w:bookmarkStart w:id="1396" w:name="_Toc20754118"/>
      <w:bookmarkStart w:id="1397" w:name="_Toc20487827"/>
      <w:bookmarkStart w:id="1398" w:name="_Toc20488021"/>
      <w:bookmarkStart w:id="1399" w:name="_Toc20744636"/>
      <w:bookmarkStart w:id="1400" w:name="_Toc20754119"/>
      <w:bookmarkStart w:id="1401" w:name="_Toc20487828"/>
      <w:bookmarkStart w:id="1402" w:name="_Toc20488022"/>
      <w:bookmarkStart w:id="1403" w:name="_Toc20744637"/>
      <w:bookmarkStart w:id="1404" w:name="_Toc20754120"/>
      <w:bookmarkStart w:id="1405" w:name="_Toc20487829"/>
      <w:bookmarkStart w:id="1406" w:name="_Toc20488023"/>
      <w:bookmarkStart w:id="1407" w:name="_Toc20744638"/>
      <w:bookmarkStart w:id="1408" w:name="_Toc20754121"/>
      <w:bookmarkStart w:id="1409" w:name="_Toc20487830"/>
      <w:bookmarkStart w:id="1410" w:name="_Toc20488024"/>
      <w:bookmarkStart w:id="1411" w:name="_Toc20744639"/>
      <w:bookmarkStart w:id="1412" w:name="_Toc20754122"/>
      <w:bookmarkStart w:id="1413" w:name="_Toc20487831"/>
      <w:bookmarkStart w:id="1414" w:name="_Toc20488025"/>
      <w:bookmarkStart w:id="1415" w:name="_Toc20744640"/>
      <w:bookmarkStart w:id="1416" w:name="_Toc20754123"/>
      <w:bookmarkStart w:id="1417" w:name="_Toc20487842"/>
      <w:bookmarkStart w:id="1418" w:name="_Toc20488036"/>
      <w:bookmarkStart w:id="1419" w:name="_Toc20744651"/>
      <w:bookmarkStart w:id="1420" w:name="_Toc20754134"/>
      <w:bookmarkStart w:id="1421" w:name="_Toc20487843"/>
      <w:bookmarkStart w:id="1422" w:name="_Toc20488037"/>
      <w:bookmarkStart w:id="1423" w:name="_Toc20744652"/>
      <w:bookmarkStart w:id="1424" w:name="_Toc20754135"/>
      <w:bookmarkStart w:id="1425" w:name="_Toc20487844"/>
      <w:bookmarkStart w:id="1426" w:name="_Toc20488038"/>
      <w:bookmarkStart w:id="1427" w:name="_Toc20744653"/>
      <w:bookmarkStart w:id="1428" w:name="_Toc20754136"/>
      <w:bookmarkStart w:id="1429" w:name="_Toc20487845"/>
      <w:bookmarkStart w:id="1430" w:name="_Toc20488039"/>
      <w:bookmarkStart w:id="1431" w:name="_Toc20744654"/>
      <w:bookmarkStart w:id="1432" w:name="_Toc20754137"/>
      <w:bookmarkStart w:id="1433" w:name="_Toc20487846"/>
      <w:bookmarkStart w:id="1434" w:name="_Toc20488040"/>
      <w:bookmarkStart w:id="1435" w:name="_Toc20744655"/>
      <w:bookmarkStart w:id="1436" w:name="_Toc20754138"/>
      <w:bookmarkStart w:id="1437" w:name="_Toc20487847"/>
      <w:bookmarkStart w:id="1438" w:name="_Toc20488041"/>
      <w:bookmarkStart w:id="1439" w:name="_Toc20744656"/>
      <w:bookmarkStart w:id="1440" w:name="_Toc20754139"/>
      <w:bookmarkStart w:id="1441" w:name="_Toc20487848"/>
      <w:bookmarkStart w:id="1442" w:name="_Toc20488042"/>
      <w:bookmarkStart w:id="1443" w:name="_Toc20744657"/>
      <w:bookmarkStart w:id="1444" w:name="_Toc20754140"/>
      <w:bookmarkStart w:id="1445" w:name="_Toc20487849"/>
      <w:bookmarkStart w:id="1446" w:name="_Toc20488043"/>
      <w:bookmarkStart w:id="1447" w:name="_Toc20744658"/>
      <w:bookmarkStart w:id="1448" w:name="_Toc20754141"/>
      <w:bookmarkStart w:id="1449" w:name="_Toc20487850"/>
      <w:bookmarkStart w:id="1450" w:name="_Toc20488044"/>
      <w:bookmarkStart w:id="1451" w:name="_Toc20744659"/>
      <w:bookmarkStart w:id="1452" w:name="_Toc20754142"/>
      <w:bookmarkStart w:id="1453" w:name="_Toc20487851"/>
      <w:bookmarkStart w:id="1454" w:name="_Toc20488045"/>
      <w:bookmarkStart w:id="1455" w:name="_Toc20744660"/>
      <w:bookmarkStart w:id="1456" w:name="_Toc20754143"/>
      <w:bookmarkStart w:id="1457" w:name="_Toc20487852"/>
      <w:bookmarkStart w:id="1458" w:name="_Toc20488046"/>
      <w:bookmarkStart w:id="1459" w:name="_Toc20744661"/>
      <w:bookmarkStart w:id="1460" w:name="_Toc20754144"/>
      <w:bookmarkStart w:id="1461" w:name="_Toc20487853"/>
      <w:bookmarkStart w:id="1462" w:name="_Toc20488047"/>
      <w:bookmarkStart w:id="1463" w:name="_Toc20744662"/>
      <w:bookmarkStart w:id="1464" w:name="_Toc20754145"/>
      <w:bookmarkStart w:id="1465" w:name="_Toc20487854"/>
      <w:bookmarkStart w:id="1466" w:name="_Toc20488048"/>
      <w:bookmarkStart w:id="1467" w:name="_Toc20744663"/>
      <w:bookmarkStart w:id="1468" w:name="_Toc20754146"/>
      <w:bookmarkStart w:id="1469" w:name="_Toc20487855"/>
      <w:bookmarkStart w:id="1470" w:name="_Toc20488049"/>
      <w:bookmarkStart w:id="1471" w:name="_Toc20744664"/>
      <w:bookmarkStart w:id="1472" w:name="_Toc20754147"/>
      <w:bookmarkStart w:id="1473" w:name="_Toc20487856"/>
      <w:bookmarkStart w:id="1474" w:name="_Toc20488050"/>
      <w:bookmarkStart w:id="1475" w:name="_Toc20744665"/>
      <w:bookmarkStart w:id="1476" w:name="_Toc20754148"/>
      <w:bookmarkStart w:id="1477" w:name="_Toc20487857"/>
      <w:bookmarkStart w:id="1478" w:name="_Toc20488051"/>
      <w:bookmarkStart w:id="1479" w:name="_Toc20744666"/>
      <w:bookmarkStart w:id="1480" w:name="_Toc20754149"/>
      <w:bookmarkStart w:id="1481" w:name="_Toc20487858"/>
      <w:bookmarkStart w:id="1482" w:name="_Toc20488052"/>
      <w:bookmarkStart w:id="1483" w:name="_Toc20744667"/>
      <w:bookmarkStart w:id="1484" w:name="_Toc20754150"/>
      <w:bookmarkStart w:id="1485" w:name="_Toc20487859"/>
      <w:bookmarkStart w:id="1486" w:name="_Toc20488053"/>
      <w:bookmarkStart w:id="1487" w:name="_Toc20744668"/>
      <w:bookmarkStart w:id="1488" w:name="_Toc20754151"/>
      <w:bookmarkStart w:id="1489" w:name="_Toc20487860"/>
      <w:bookmarkStart w:id="1490" w:name="_Toc20488054"/>
      <w:bookmarkStart w:id="1491" w:name="_Toc20744669"/>
      <w:bookmarkStart w:id="1492" w:name="_Toc20754152"/>
      <w:bookmarkStart w:id="1493" w:name="_Toc20380994"/>
      <w:bookmarkStart w:id="1494" w:name="_Toc20484740"/>
      <w:bookmarkStart w:id="1495" w:name="_Toc20484985"/>
      <w:bookmarkStart w:id="1496" w:name="_Toc20487861"/>
      <w:bookmarkStart w:id="1497" w:name="_Toc20488055"/>
      <w:bookmarkStart w:id="1498" w:name="_Toc20744670"/>
      <w:bookmarkStart w:id="1499" w:name="_Toc20754153"/>
      <w:bookmarkStart w:id="1500" w:name="_Toc20380995"/>
      <w:bookmarkStart w:id="1501" w:name="_Toc20484741"/>
      <w:bookmarkStart w:id="1502" w:name="_Toc20484986"/>
      <w:bookmarkStart w:id="1503" w:name="_Toc20487862"/>
      <w:bookmarkStart w:id="1504" w:name="_Toc20488056"/>
      <w:bookmarkStart w:id="1505" w:name="_Toc20744671"/>
      <w:bookmarkStart w:id="1506" w:name="_Toc20754154"/>
      <w:bookmarkStart w:id="1507" w:name="_Toc20380996"/>
      <w:bookmarkStart w:id="1508" w:name="_Toc20484742"/>
      <w:bookmarkStart w:id="1509" w:name="_Toc20484987"/>
      <w:bookmarkStart w:id="1510" w:name="_Toc20487863"/>
      <w:bookmarkStart w:id="1511" w:name="_Toc20488057"/>
      <w:bookmarkStart w:id="1512" w:name="_Toc20744672"/>
      <w:bookmarkStart w:id="1513" w:name="_Toc20754155"/>
      <w:bookmarkStart w:id="1514" w:name="_Toc20487864"/>
      <w:bookmarkStart w:id="1515" w:name="_Toc20488058"/>
      <w:bookmarkStart w:id="1516" w:name="_Toc20744673"/>
      <w:bookmarkStart w:id="1517" w:name="_Toc20754156"/>
      <w:bookmarkStart w:id="1518" w:name="_Toc20487865"/>
      <w:bookmarkStart w:id="1519" w:name="_Toc20488059"/>
      <w:bookmarkStart w:id="1520" w:name="_Toc20744674"/>
      <w:bookmarkStart w:id="1521" w:name="_Toc20754157"/>
      <w:bookmarkStart w:id="1522" w:name="_Toc20487866"/>
      <w:bookmarkStart w:id="1523" w:name="_Toc20488060"/>
      <w:bookmarkStart w:id="1524" w:name="_Toc20744675"/>
      <w:bookmarkStart w:id="1525" w:name="_Toc20754158"/>
      <w:bookmarkStart w:id="1526" w:name="_Toc20487867"/>
      <w:bookmarkStart w:id="1527" w:name="_Toc20488061"/>
      <w:bookmarkStart w:id="1528" w:name="_Toc20744676"/>
      <w:bookmarkStart w:id="1529" w:name="_Toc20754159"/>
      <w:bookmarkStart w:id="1530" w:name="_Toc20487868"/>
      <w:bookmarkStart w:id="1531" w:name="_Toc20488062"/>
      <w:bookmarkStart w:id="1532" w:name="_Toc20744677"/>
      <w:bookmarkStart w:id="1533" w:name="_Toc20754160"/>
      <w:bookmarkStart w:id="1534" w:name="_Toc20487869"/>
      <w:bookmarkStart w:id="1535" w:name="_Toc20488063"/>
      <w:bookmarkStart w:id="1536" w:name="_Toc20744678"/>
      <w:bookmarkStart w:id="1537" w:name="_Toc20754161"/>
      <w:bookmarkStart w:id="1538" w:name="_Toc20487870"/>
      <w:bookmarkStart w:id="1539" w:name="_Toc20488064"/>
      <w:bookmarkStart w:id="1540" w:name="_Toc20744679"/>
      <w:bookmarkStart w:id="1541" w:name="_Toc20754162"/>
      <w:bookmarkStart w:id="1542" w:name="_Toc20487871"/>
      <w:bookmarkStart w:id="1543" w:name="_Toc20488065"/>
      <w:bookmarkStart w:id="1544" w:name="_Toc20744680"/>
      <w:bookmarkStart w:id="1545" w:name="_Toc20754163"/>
      <w:bookmarkStart w:id="1546" w:name="_Toc20487872"/>
      <w:bookmarkStart w:id="1547" w:name="_Toc20488066"/>
      <w:bookmarkStart w:id="1548" w:name="_Toc20744681"/>
      <w:bookmarkStart w:id="1549" w:name="_Toc20754164"/>
      <w:bookmarkStart w:id="1550" w:name="_Toc20487873"/>
      <w:bookmarkStart w:id="1551" w:name="_Toc20488067"/>
      <w:bookmarkStart w:id="1552" w:name="_Toc20744682"/>
      <w:bookmarkStart w:id="1553" w:name="_Toc20754165"/>
      <w:bookmarkStart w:id="1554" w:name="_Toc20487874"/>
      <w:bookmarkStart w:id="1555" w:name="_Toc20488068"/>
      <w:bookmarkStart w:id="1556" w:name="_Toc20744683"/>
      <w:bookmarkStart w:id="1557" w:name="_Toc20754166"/>
      <w:bookmarkStart w:id="1558" w:name="_Toc20487875"/>
      <w:bookmarkStart w:id="1559" w:name="_Toc20488069"/>
      <w:bookmarkStart w:id="1560" w:name="_Toc20744684"/>
      <w:bookmarkStart w:id="1561" w:name="_Toc20754167"/>
      <w:bookmarkStart w:id="1562" w:name="_Toc20487876"/>
      <w:bookmarkStart w:id="1563" w:name="_Toc20488070"/>
      <w:bookmarkStart w:id="1564" w:name="_Toc20744685"/>
      <w:bookmarkStart w:id="1565" w:name="_Toc20754168"/>
      <w:bookmarkStart w:id="1566" w:name="_Toc20484744"/>
      <w:bookmarkStart w:id="1567" w:name="_Toc20484989"/>
      <w:bookmarkStart w:id="1568" w:name="_Toc20487877"/>
      <w:bookmarkStart w:id="1569" w:name="_Toc20488071"/>
      <w:bookmarkStart w:id="1570" w:name="_Toc20744686"/>
      <w:bookmarkStart w:id="1571" w:name="_Toc20754169"/>
      <w:bookmarkStart w:id="1572" w:name="_Toc20487878"/>
      <w:bookmarkStart w:id="1573" w:name="_Toc20488072"/>
      <w:bookmarkStart w:id="1574" w:name="_Toc20744687"/>
      <w:bookmarkStart w:id="1575" w:name="_Toc20754170"/>
      <w:bookmarkStart w:id="1576" w:name="_Toc20487879"/>
      <w:bookmarkStart w:id="1577" w:name="_Toc20488073"/>
      <w:bookmarkStart w:id="1578" w:name="_Toc20744688"/>
      <w:bookmarkStart w:id="1579" w:name="_Toc20754171"/>
      <w:bookmarkStart w:id="1580" w:name="_Toc20487880"/>
      <w:bookmarkStart w:id="1581" w:name="_Toc20488074"/>
      <w:bookmarkStart w:id="1582" w:name="_Toc20744689"/>
      <w:bookmarkStart w:id="1583" w:name="_Toc20754172"/>
      <w:bookmarkStart w:id="1584" w:name="_Toc20487881"/>
      <w:bookmarkStart w:id="1585" w:name="_Toc20488075"/>
      <w:bookmarkStart w:id="1586" w:name="_Toc20744690"/>
      <w:bookmarkStart w:id="1587" w:name="_Toc20754173"/>
      <w:bookmarkStart w:id="1588" w:name="_Toc20487882"/>
      <w:bookmarkStart w:id="1589" w:name="_Toc20488076"/>
      <w:bookmarkStart w:id="1590" w:name="_Toc20744691"/>
      <w:bookmarkStart w:id="1591" w:name="_Toc20754174"/>
      <w:bookmarkStart w:id="1592" w:name="_Toc20487883"/>
      <w:bookmarkStart w:id="1593" w:name="_Toc20488077"/>
      <w:bookmarkStart w:id="1594" w:name="_Toc20744692"/>
      <w:bookmarkStart w:id="1595" w:name="_Toc20754175"/>
      <w:bookmarkStart w:id="1596" w:name="_Toc20487884"/>
      <w:bookmarkStart w:id="1597" w:name="_Toc20488078"/>
      <w:bookmarkStart w:id="1598" w:name="_Toc20744693"/>
      <w:bookmarkStart w:id="1599" w:name="_Toc20754176"/>
      <w:bookmarkStart w:id="1600" w:name="_Toc20487885"/>
      <w:bookmarkStart w:id="1601" w:name="_Toc20488079"/>
      <w:bookmarkStart w:id="1602" w:name="_Toc20744694"/>
      <w:bookmarkStart w:id="1603" w:name="_Toc20754177"/>
      <w:bookmarkStart w:id="1604" w:name="_Toc20487886"/>
      <w:bookmarkStart w:id="1605" w:name="_Toc20488080"/>
      <w:bookmarkStart w:id="1606" w:name="_Toc20744695"/>
      <w:bookmarkStart w:id="1607" w:name="_Toc20754178"/>
      <w:bookmarkStart w:id="1608" w:name="_Toc20487887"/>
      <w:bookmarkStart w:id="1609" w:name="_Toc20488081"/>
      <w:bookmarkStart w:id="1610" w:name="_Toc20744696"/>
      <w:bookmarkStart w:id="1611" w:name="_Toc20754179"/>
      <w:bookmarkStart w:id="1612" w:name="_Toc20487888"/>
      <w:bookmarkStart w:id="1613" w:name="_Toc20488082"/>
      <w:bookmarkStart w:id="1614" w:name="_Toc20744697"/>
      <w:bookmarkStart w:id="1615" w:name="_Toc20754180"/>
      <w:bookmarkStart w:id="1616" w:name="_Toc20487889"/>
      <w:bookmarkStart w:id="1617" w:name="_Toc20488083"/>
      <w:bookmarkStart w:id="1618" w:name="_Toc20744698"/>
      <w:bookmarkStart w:id="1619" w:name="_Toc20754181"/>
      <w:bookmarkStart w:id="1620" w:name="_Toc20487890"/>
      <w:bookmarkStart w:id="1621" w:name="_Toc20488084"/>
      <w:bookmarkStart w:id="1622" w:name="_Toc20744699"/>
      <w:bookmarkStart w:id="1623" w:name="_Toc20754182"/>
      <w:bookmarkStart w:id="1624" w:name="_Toc20487891"/>
      <w:bookmarkStart w:id="1625" w:name="_Toc20488085"/>
      <w:bookmarkStart w:id="1626" w:name="_Toc20744700"/>
      <w:bookmarkStart w:id="1627" w:name="_Toc20754183"/>
      <w:bookmarkStart w:id="1628" w:name="_Toc20487892"/>
      <w:bookmarkStart w:id="1629" w:name="_Toc20488086"/>
      <w:bookmarkStart w:id="1630" w:name="_Toc20744701"/>
      <w:bookmarkStart w:id="1631" w:name="_Toc20754184"/>
      <w:bookmarkStart w:id="1632" w:name="_Toc20487893"/>
      <w:bookmarkStart w:id="1633" w:name="_Toc20488087"/>
      <w:bookmarkStart w:id="1634" w:name="_Toc20744702"/>
      <w:bookmarkStart w:id="1635" w:name="_Toc20754185"/>
      <w:bookmarkStart w:id="1636" w:name="_Toc20487894"/>
      <w:bookmarkStart w:id="1637" w:name="_Toc20488088"/>
      <w:bookmarkStart w:id="1638" w:name="_Toc20744703"/>
      <w:bookmarkStart w:id="1639" w:name="_Toc20754186"/>
      <w:bookmarkStart w:id="1640" w:name="_Toc20487895"/>
      <w:bookmarkStart w:id="1641" w:name="_Toc20488089"/>
      <w:bookmarkStart w:id="1642" w:name="_Toc20744704"/>
      <w:bookmarkStart w:id="1643" w:name="_Toc20754187"/>
      <w:bookmarkStart w:id="1644" w:name="_Toc20487896"/>
      <w:bookmarkStart w:id="1645" w:name="_Toc20488090"/>
      <w:bookmarkStart w:id="1646" w:name="_Toc20744705"/>
      <w:bookmarkStart w:id="1647" w:name="_Toc20754188"/>
      <w:bookmarkStart w:id="1648" w:name="_Toc20487897"/>
      <w:bookmarkStart w:id="1649" w:name="_Toc20488091"/>
      <w:bookmarkStart w:id="1650" w:name="_Toc20744706"/>
      <w:bookmarkStart w:id="1651" w:name="_Toc20754189"/>
      <w:bookmarkStart w:id="1652" w:name="_Toc20487898"/>
      <w:bookmarkStart w:id="1653" w:name="_Toc20488092"/>
      <w:bookmarkStart w:id="1654" w:name="_Toc20744707"/>
      <w:bookmarkStart w:id="1655" w:name="_Toc20754190"/>
      <w:bookmarkStart w:id="1656" w:name="_Toc20380999"/>
      <w:bookmarkStart w:id="1657" w:name="_Toc20484746"/>
      <w:bookmarkStart w:id="1658" w:name="_Toc20484991"/>
      <w:bookmarkStart w:id="1659" w:name="_Toc20487899"/>
      <w:bookmarkStart w:id="1660" w:name="_Toc20488093"/>
      <w:bookmarkStart w:id="1661" w:name="_Toc20744708"/>
      <w:bookmarkStart w:id="1662" w:name="_Toc20754191"/>
      <w:bookmarkStart w:id="1663" w:name="_Toc20381000"/>
      <w:bookmarkStart w:id="1664" w:name="_Toc20484747"/>
      <w:bookmarkStart w:id="1665" w:name="_Toc20484992"/>
      <w:bookmarkStart w:id="1666" w:name="_Toc20487900"/>
      <w:bookmarkStart w:id="1667" w:name="_Toc20488094"/>
      <w:bookmarkStart w:id="1668" w:name="_Toc20744709"/>
      <w:bookmarkStart w:id="1669" w:name="_Toc20754192"/>
      <w:bookmarkStart w:id="1670" w:name="_Toc20487901"/>
      <w:bookmarkStart w:id="1671" w:name="_Toc20488095"/>
      <w:bookmarkStart w:id="1672" w:name="_Toc20744710"/>
      <w:bookmarkStart w:id="1673" w:name="_Toc20754193"/>
      <w:bookmarkStart w:id="1674" w:name="_Toc20487902"/>
      <w:bookmarkStart w:id="1675" w:name="_Toc20488096"/>
      <w:bookmarkStart w:id="1676" w:name="_Toc20744711"/>
      <w:bookmarkStart w:id="1677" w:name="_Toc20754194"/>
      <w:bookmarkStart w:id="1678" w:name="_Toc20487903"/>
      <w:bookmarkStart w:id="1679" w:name="_Toc20488097"/>
      <w:bookmarkStart w:id="1680" w:name="_Toc20744712"/>
      <w:bookmarkStart w:id="1681" w:name="_Toc20754195"/>
      <w:bookmarkStart w:id="1682" w:name="_Toc20487904"/>
      <w:bookmarkStart w:id="1683" w:name="_Toc20488098"/>
      <w:bookmarkStart w:id="1684" w:name="_Toc20744713"/>
      <w:bookmarkStart w:id="1685" w:name="_Toc20754196"/>
      <w:bookmarkStart w:id="1686" w:name="_Toc20487905"/>
      <w:bookmarkStart w:id="1687" w:name="_Toc20488099"/>
      <w:bookmarkStart w:id="1688" w:name="_Toc20744714"/>
      <w:bookmarkStart w:id="1689" w:name="_Toc20754197"/>
      <w:bookmarkStart w:id="1690" w:name="_Toc20487906"/>
      <w:bookmarkStart w:id="1691" w:name="_Toc20488100"/>
      <w:bookmarkStart w:id="1692" w:name="_Toc20744715"/>
      <w:bookmarkStart w:id="1693" w:name="_Toc20754198"/>
      <w:bookmarkStart w:id="1694" w:name="_Toc20487907"/>
      <w:bookmarkStart w:id="1695" w:name="_Toc20488101"/>
      <w:bookmarkStart w:id="1696" w:name="_Toc20744716"/>
      <w:bookmarkStart w:id="1697" w:name="_Toc20754199"/>
      <w:bookmarkStart w:id="1698" w:name="_Toc20487908"/>
      <w:bookmarkStart w:id="1699" w:name="_Toc20488102"/>
      <w:bookmarkStart w:id="1700" w:name="_Toc20744717"/>
      <w:bookmarkStart w:id="1701" w:name="_Toc20754200"/>
      <w:bookmarkStart w:id="1702" w:name="_Toc20487909"/>
      <w:bookmarkStart w:id="1703" w:name="_Toc20488103"/>
      <w:bookmarkStart w:id="1704" w:name="_Toc20744718"/>
      <w:bookmarkStart w:id="1705" w:name="_Toc20754201"/>
      <w:bookmarkStart w:id="1706" w:name="_Toc20487910"/>
      <w:bookmarkStart w:id="1707" w:name="_Toc20488104"/>
      <w:bookmarkStart w:id="1708" w:name="_Toc20744719"/>
      <w:bookmarkStart w:id="1709" w:name="_Toc20754202"/>
      <w:bookmarkStart w:id="1710" w:name="_Toc20487911"/>
      <w:bookmarkStart w:id="1711" w:name="_Toc20488105"/>
      <w:bookmarkStart w:id="1712" w:name="_Toc20744720"/>
      <w:bookmarkStart w:id="1713" w:name="_Toc20754203"/>
      <w:bookmarkStart w:id="1714" w:name="_Toc20487912"/>
      <w:bookmarkStart w:id="1715" w:name="_Toc20488106"/>
      <w:bookmarkStart w:id="1716" w:name="_Toc20744721"/>
      <w:bookmarkStart w:id="1717" w:name="_Toc20754204"/>
      <w:bookmarkStart w:id="1718" w:name="_Toc20487913"/>
      <w:bookmarkStart w:id="1719" w:name="_Toc20488107"/>
      <w:bookmarkStart w:id="1720" w:name="_Toc20744722"/>
      <w:bookmarkStart w:id="1721" w:name="_Toc20754205"/>
      <w:bookmarkStart w:id="1722" w:name="_Toc20487914"/>
      <w:bookmarkStart w:id="1723" w:name="_Toc20488108"/>
      <w:bookmarkStart w:id="1724" w:name="_Toc20744723"/>
      <w:bookmarkStart w:id="1725" w:name="_Toc20754206"/>
      <w:bookmarkStart w:id="1726" w:name="_Toc20487915"/>
      <w:bookmarkStart w:id="1727" w:name="_Toc20488109"/>
      <w:bookmarkStart w:id="1728" w:name="_Toc20744724"/>
      <w:bookmarkStart w:id="1729" w:name="_Toc20754207"/>
      <w:bookmarkStart w:id="1730" w:name="_Toc20487916"/>
      <w:bookmarkStart w:id="1731" w:name="_Toc20488110"/>
      <w:bookmarkStart w:id="1732" w:name="_Toc20744725"/>
      <w:bookmarkStart w:id="1733" w:name="_Toc20754208"/>
      <w:bookmarkStart w:id="1734" w:name="_Toc20487917"/>
      <w:bookmarkStart w:id="1735" w:name="_Toc20488111"/>
      <w:bookmarkStart w:id="1736" w:name="_Toc20744726"/>
      <w:bookmarkStart w:id="1737" w:name="_Toc20754209"/>
      <w:bookmarkStart w:id="1738" w:name="_Toc20487918"/>
      <w:bookmarkStart w:id="1739" w:name="_Toc20488112"/>
      <w:bookmarkStart w:id="1740" w:name="_Toc20744727"/>
      <w:bookmarkStart w:id="1741" w:name="_Toc20754210"/>
      <w:bookmarkStart w:id="1742" w:name="_Toc20487919"/>
      <w:bookmarkStart w:id="1743" w:name="_Toc20488113"/>
      <w:bookmarkStart w:id="1744" w:name="_Toc20744728"/>
      <w:bookmarkStart w:id="1745" w:name="_Toc20754211"/>
      <w:bookmarkStart w:id="1746" w:name="_Toc20487920"/>
      <w:bookmarkStart w:id="1747" w:name="_Toc20488114"/>
      <w:bookmarkStart w:id="1748" w:name="_Toc20744729"/>
      <w:bookmarkStart w:id="1749" w:name="_Toc20754212"/>
      <w:bookmarkStart w:id="1750" w:name="_Toc20487921"/>
      <w:bookmarkStart w:id="1751" w:name="_Toc20488115"/>
      <w:bookmarkStart w:id="1752" w:name="_Toc20744730"/>
      <w:bookmarkStart w:id="1753" w:name="_Toc20754213"/>
      <w:bookmarkStart w:id="1754" w:name="_Toc20487922"/>
      <w:bookmarkStart w:id="1755" w:name="_Toc20488116"/>
      <w:bookmarkStart w:id="1756" w:name="_Toc20744731"/>
      <w:bookmarkStart w:id="1757" w:name="_Toc20754214"/>
      <w:bookmarkStart w:id="1758" w:name="_Toc20487923"/>
      <w:bookmarkStart w:id="1759" w:name="_Toc20488117"/>
      <w:bookmarkStart w:id="1760" w:name="_Toc20744732"/>
      <w:bookmarkStart w:id="1761" w:name="_Toc20754215"/>
      <w:bookmarkStart w:id="1762" w:name="_Toc20487924"/>
      <w:bookmarkStart w:id="1763" w:name="_Toc20488118"/>
      <w:bookmarkStart w:id="1764" w:name="_Toc20744733"/>
      <w:bookmarkStart w:id="1765" w:name="_Toc20754216"/>
      <w:bookmarkStart w:id="1766" w:name="_Toc20487925"/>
      <w:bookmarkStart w:id="1767" w:name="_Toc20488119"/>
      <w:bookmarkStart w:id="1768" w:name="_Toc20744734"/>
      <w:bookmarkStart w:id="1769" w:name="_Toc20754217"/>
      <w:bookmarkStart w:id="1770" w:name="_Toc20381003"/>
      <w:bookmarkStart w:id="1771" w:name="_Toc20484750"/>
      <w:bookmarkStart w:id="1772" w:name="_Toc20484995"/>
      <w:bookmarkStart w:id="1773" w:name="_Toc20487926"/>
      <w:bookmarkStart w:id="1774" w:name="_Toc20488120"/>
      <w:bookmarkStart w:id="1775" w:name="_Toc20744735"/>
      <w:bookmarkStart w:id="1776" w:name="_Toc20754218"/>
      <w:bookmarkStart w:id="1777" w:name="_Toc20124193"/>
      <w:bookmarkStart w:id="1778" w:name="_Toc20124982"/>
      <w:bookmarkStart w:id="1779" w:name="_Toc20127036"/>
      <w:bookmarkStart w:id="1780" w:name="_Toc20381004"/>
      <w:bookmarkStart w:id="1781" w:name="_Toc20484751"/>
      <w:bookmarkStart w:id="1782" w:name="_Toc20484996"/>
      <w:bookmarkStart w:id="1783" w:name="_Toc20487927"/>
      <w:bookmarkStart w:id="1784" w:name="_Toc20488121"/>
      <w:bookmarkStart w:id="1785" w:name="_Toc20744736"/>
      <w:bookmarkStart w:id="1786" w:name="_Toc20754219"/>
      <w:bookmarkStart w:id="1787" w:name="_Toc20487928"/>
      <w:bookmarkStart w:id="1788" w:name="_Toc20488122"/>
      <w:bookmarkStart w:id="1789" w:name="_Toc20744737"/>
      <w:bookmarkStart w:id="1790" w:name="_Toc20754220"/>
      <w:bookmarkStart w:id="1791" w:name="_Toc20487929"/>
      <w:bookmarkStart w:id="1792" w:name="_Toc20488123"/>
      <w:bookmarkStart w:id="1793" w:name="_Toc20744738"/>
      <w:bookmarkStart w:id="1794" w:name="_Toc20754221"/>
      <w:bookmarkStart w:id="1795" w:name="_Toc20487930"/>
      <w:bookmarkStart w:id="1796" w:name="_Toc20488124"/>
      <w:bookmarkStart w:id="1797" w:name="_Toc20744739"/>
      <w:bookmarkStart w:id="1798" w:name="_Toc20754222"/>
      <w:bookmarkStart w:id="1799" w:name="_Toc20487931"/>
      <w:bookmarkStart w:id="1800" w:name="_Toc20488125"/>
      <w:bookmarkStart w:id="1801" w:name="_Toc20744740"/>
      <w:bookmarkStart w:id="1802" w:name="_Toc20754223"/>
      <w:bookmarkStart w:id="1803" w:name="_Toc20487932"/>
      <w:bookmarkStart w:id="1804" w:name="_Toc20488126"/>
      <w:bookmarkStart w:id="1805" w:name="_Toc20744741"/>
      <w:bookmarkStart w:id="1806" w:name="_Toc20754224"/>
      <w:bookmarkStart w:id="1807" w:name="_Toc20487933"/>
      <w:bookmarkStart w:id="1808" w:name="_Toc20488127"/>
      <w:bookmarkStart w:id="1809" w:name="_Toc20744742"/>
      <w:bookmarkStart w:id="1810" w:name="_Toc20754225"/>
      <w:bookmarkStart w:id="1811" w:name="_Toc20487934"/>
      <w:bookmarkStart w:id="1812" w:name="_Toc20488128"/>
      <w:bookmarkStart w:id="1813" w:name="_Toc20744743"/>
      <w:bookmarkStart w:id="1814" w:name="_Toc20754226"/>
      <w:bookmarkStart w:id="1815" w:name="_Toc20487935"/>
      <w:bookmarkStart w:id="1816" w:name="_Toc20488129"/>
      <w:bookmarkStart w:id="1817" w:name="_Toc20744744"/>
      <w:bookmarkStart w:id="1818" w:name="_Toc20754227"/>
      <w:bookmarkStart w:id="1819" w:name="_Toc20487936"/>
      <w:bookmarkStart w:id="1820" w:name="_Toc20488130"/>
      <w:bookmarkStart w:id="1821" w:name="_Toc20744745"/>
      <w:bookmarkStart w:id="1822" w:name="_Toc20754228"/>
      <w:bookmarkStart w:id="1823" w:name="_Toc20487937"/>
      <w:bookmarkStart w:id="1824" w:name="_Toc20488131"/>
      <w:bookmarkStart w:id="1825" w:name="_Toc20744746"/>
      <w:bookmarkStart w:id="1826" w:name="_Toc20754229"/>
      <w:bookmarkStart w:id="1827" w:name="_Toc20487938"/>
      <w:bookmarkStart w:id="1828" w:name="_Toc20488132"/>
      <w:bookmarkStart w:id="1829" w:name="_Toc20744747"/>
      <w:bookmarkStart w:id="1830" w:name="_Toc20754230"/>
      <w:bookmarkStart w:id="1831" w:name="_Toc20487939"/>
      <w:bookmarkStart w:id="1832" w:name="_Toc20488133"/>
      <w:bookmarkStart w:id="1833" w:name="_Toc20744748"/>
      <w:bookmarkStart w:id="1834" w:name="_Toc20754231"/>
      <w:bookmarkStart w:id="1835" w:name="_Toc20487940"/>
      <w:bookmarkStart w:id="1836" w:name="_Toc20488134"/>
      <w:bookmarkStart w:id="1837" w:name="_Toc20744749"/>
      <w:bookmarkStart w:id="1838" w:name="_Toc20754232"/>
      <w:bookmarkStart w:id="1839" w:name="_Toc20487941"/>
      <w:bookmarkStart w:id="1840" w:name="_Toc20488135"/>
      <w:bookmarkStart w:id="1841" w:name="_Toc20744750"/>
      <w:bookmarkStart w:id="1842" w:name="_Toc20754233"/>
      <w:bookmarkStart w:id="1843" w:name="_Toc20487942"/>
      <w:bookmarkStart w:id="1844" w:name="_Toc20488136"/>
      <w:bookmarkStart w:id="1845" w:name="_Toc20744751"/>
      <w:bookmarkStart w:id="1846" w:name="_Toc20754234"/>
      <w:bookmarkStart w:id="1847" w:name="_Toc20487943"/>
      <w:bookmarkStart w:id="1848" w:name="_Toc20488137"/>
      <w:bookmarkStart w:id="1849" w:name="_Toc20744752"/>
      <w:bookmarkStart w:id="1850" w:name="_Toc20754235"/>
      <w:bookmarkStart w:id="1851" w:name="_Toc20487944"/>
      <w:bookmarkStart w:id="1852" w:name="_Toc20488138"/>
      <w:bookmarkStart w:id="1853" w:name="_Toc20744753"/>
      <w:bookmarkStart w:id="1854" w:name="_Toc20754236"/>
      <w:bookmarkStart w:id="1855" w:name="_Toc20487945"/>
      <w:bookmarkStart w:id="1856" w:name="_Toc20488139"/>
      <w:bookmarkStart w:id="1857" w:name="_Toc20744754"/>
      <w:bookmarkStart w:id="1858" w:name="_Toc20754237"/>
      <w:bookmarkStart w:id="1859" w:name="_Toc20898752"/>
      <w:bookmarkStart w:id="1860" w:name="_Toc20899037"/>
      <w:bookmarkStart w:id="1861" w:name="_Toc20903695"/>
      <w:bookmarkStart w:id="1862" w:name="_Toc20903807"/>
      <w:bookmarkStart w:id="1863" w:name="_Toc20903927"/>
      <w:bookmarkStart w:id="1864" w:name="_Toc21078575"/>
      <w:bookmarkStart w:id="1865" w:name="_Toc21080202"/>
      <w:bookmarkStart w:id="1866" w:name="_Toc21353821"/>
      <w:bookmarkStart w:id="1867" w:name="_Toc21354286"/>
      <w:bookmarkStart w:id="1868" w:name="_Toc21446951"/>
      <w:bookmarkStart w:id="1869" w:name="_Toc21447207"/>
      <w:bookmarkStart w:id="1870" w:name="_Toc21447321"/>
      <w:bookmarkStart w:id="1871" w:name="_Toc21447566"/>
      <w:bookmarkStart w:id="1872" w:name="_Toc21447700"/>
      <w:bookmarkStart w:id="1873" w:name="_Toc21510459"/>
      <w:bookmarkStart w:id="1874" w:name="_Toc21511061"/>
      <w:bookmarkStart w:id="1875" w:name="_Toc21523130"/>
      <w:bookmarkStart w:id="1876" w:name="_Toc20898753"/>
      <w:bookmarkStart w:id="1877" w:name="_Toc20899038"/>
      <w:bookmarkStart w:id="1878" w:name="_Toc20903696"/>
      <w:bookmarkStart w:id="1879" w:name="_Toc20903808"/>
      <w:bookmarkStart w:id="1880" w:name="_Toc20903928"/>
      <w:bookmarkStart w:id="1881" w:name="_Toc21078576"/>
      <w:bookmarkStart w:id="1882" w:name="_Toc21080203"/>
      <w:bookmarkStart w:id="1883" w:name="_Toc21353822"/>
      <w:bookmarkStart w:id="1884" w:name="_Toc21354287"/>
      <w:bookmarkStart w:id="1885" w:name="_Toc21446952"/>
      <w:bookmarkStart w:id="1886" w:name="_Toc21447208"/>
      <w:bookmarkStart w:id="1887" w:name="_Toc21447322"/>
      <w:bookmarkStart w:id="1888" w:name="_Toc21447567"/>
      <w:bookmarkStart w:id="1889" w:name="_Toc21447701"/>
      <w:bookmarkStart w:id="1890" w:name="_Toc21510460"/>
      <w:bookmarkStart w:id="1891" w:name="_Toc21511062"/>
      <w:bookmarkStart w:id="1892" w:name="_Toc21523131"/>
      <w:bookmarkStart w:id="1893" w:name="_Toc19797340"/>
      <w:bookmarkStart w:id="1894" w:name="_Toc19797393"/>
      <w:bookmarkStart w:id="1895" w:name="_Toc19797493"/>
      <w:bookmarkStart w:id="1896" w:name="_Toc19802872"/>
      <w:bookmarkStart w:id="1897" w:name="_Toc19871997"/>
      <w:bookmarkStart w:id="1898" w:name="_Toc19882180"/>
      <w:bookmarkStart w:id="1899" w:name="_Toc19882345"/>
      <w:bookmarkStart w:id="1900" w:name="_Toc19889667"/>
      <w:bookmarkStart w:id="1901" w:name="_Toc20124066"/>
      <w:bookmarkStart w:id="1902" w:name="_Toc20124198"/>
      <w:bookmarkStart w:id="1903" w:name="_Toc20124987"/>
      <w:bookmarkStart w:id="1904" w:name="_Toc20127041"/>
      <w:bookmarkStart w:id="1905" w:name="_Toc20381009"/>
      <w:bookmarkStart w:id="1906" w:name="_Toc20484756"/>
      <w:bookmarkStart w:id="1907" w:name="_Toc20485001"/>
      <w:bookmarkStart w:id="1908" w:name="_Toc20487949"/>
      <w:bookmarkStart w:id="1909" w:name="_Toc20488143"/>
      <w:bookmarkStart w:id="1910" w:name="_Toc20744758"/>
      <w:bookmarkStart w:id="1911" w:name="_Toc20754241"/>
      <w:bookmarkStart w:id="1912" w:name="_Toc20756498"/>
      <w:bookmarkStart w:id="1913" w:name="_Toc20758931"/>
      <w:bookmarkStart w:id="1914" w:name="_Toc20759004"/>
      <w:bookmarkStart w:id="1915" w:name="_Toc20759075"/>
      <w:bookmarkStart w:id="1916" w:name="_Toc20759267"/>
      <w:bookmarkStart w:id="1917" w:name="_Toc20898754"/>
      <w:bookmarkStart w:id="1918" w:name="_Toc20899039"/>
      <w:bookmarkStart w:id="1919" w:name="_Toc20903697"/>
      <w:bookmarkStart w:id="1920" w:name="_Toc20903809"/>
      <w:bookmarkStart w:id="1921" w:name="_Toc20903929"/>
      <w:bookmarkStart w:id="1922" w:name="_Toc21078577"/>
      <w:bookmarkStart w:id="1923" w:name="_Toc21080204"/>
      <w:bookmarkStart w:id="1924" w:name="_Toc21353823"/>
      <w:bookmarkStart w:id="1925" w:name="_Toc21354288"/>
      <w:bookmarkStart w:id="1926" w:name="_Toc21446953"/>
      <w:bookmarkStart w:id="1927" w:name="_Toc21447209"/>
      <w:bookmarkStart w:id="1928" w:name="_Toc21447323"/>
      <w:bookmarkStart w:id="1929" w:name="_Toc21447568"/>
      <w:bookmarkStart w:id="1930" w:name="_Toc21447702"/>
      <w:bookmarkStart w:id="1931" w:name="_Toc21510461"/>
      <w:bookmarkStart w:id="1932" w:name="_Toc21511063"/>
      <w:bookmarkStart w:id="1933" w:name="_Toc21523132"/>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63BC5999" w14:textId="1D88C46B" w:rsidR="000C6958" w:rsidRDefault="000C6958" w:rsidP="00EF172D">
      <w:pPr>
        <w:pStyle w:val="Heading1"/>
      </w:pPr>
      <w:bookmarkStart w:id="1934" w:name="_Toc22026433"/>
      <w:bookmarkStart w:id="1935" w:name="_Toc22027429"/>
      <w:bookmarkStart w:id="1936" w:name="_Toc22026434"/>
      <w:bookmarkStart w:id="1937" w:name="_Toc22027430"/>
      <w:bookmarkStart w:id="1938" w:name="_Toc22026435"/>
      <w:bookmarkStart w:id="1939" w:name="_Toc22027431"/>
      <w:bookmarkStart w:id="1940" w:name="_Toc19797343"/>
      <w:bookmarkStart w:id="1941" w:name="_Toc19797396"/>
      <w:bookmarkStart w:id="1942" w:name="_Toc19797496"/>
      <w:bookmarkStart w:id="1943" w:name="_Toc19802875"/>
      <w:bookmarkStart w:id="1944" w:name="_Toc19872000"/>
      <w:bookmarkStart w:id="1945" w:name="_Toc19882183"/>
      <w:bookmarkStart w:id="1946" w:name="_Toc19882348"/>
      <w:bookmarkStart w:id="1947" w:name="_Toc19889670"/>
      <w:bookmarkStart w:id="1948" w:name="_Toc20124069"/>
      <w:bookmarkStart w:id="1949" w:name="_Toc20124201"/>
      <w:bookmarkStart w:id="1950" w:name="_Toc20124990"/>
      <w:bookmarkStart w:id="1951" w:name="_Toc20127044"/>
      <w:bookmarkStart w:id="1952" w:name="_Toc20381012"/>
      <w:bookmarkStart w:id="1953" w:name="_Toc20484759"/>
      <w:bookmarkStart w:id="1954" w:name="_Toc20485004"/>
      <w:bookmarkStart w:id="1955" w:name="_Toc20487952"/>
      <w:bookmarkStart w:id="1956" w:name="_Toc20488146"/>
      <w:bookmarkStart w:id="1957" w:name="_Toc20744761"/>
      <w:bookmarkStart w:id="1958" w:name="_Toc20754244"/>
      <w:bookmarkStart w:id="1959" w:name="_Toc20756501"/>
      <w:bookmarkStart w:id="1960" w:name="_Toc20758934"/>
      <w:bookmarkStart w:id="1961" w:name="_Toc20759007"/>
      <w:bookmarkStart w:id="1962" w:name="_Toc20759078"/>
      <w:bookmarkStart w:id="1963" w:name="_Toc20759270"/>
      <w:bookmarkStart w:id="1964" w:name="_Toc20898761"/>
      <w:bookmarkStart w:id="1965" w:name="_Toc20899042"/>
      <w:bookmarkStart w:id="1966" w:name="_Toc20903700"/>
      <w:bookmarkStart w:id="1967" w:name="_Toc20903812"/>
      <w:bookmarkStart w:id="1968" w:name="_Toc20903932"/>
      <w:bookmarkStart w:id="1969" w:name="_Toc21078580"/>
      <w:bookmarkStart w:id="1970" w:name="_Toc21080207"/>
      <w:bookmarkStart w:id="1971" w:name="_Toc21353826"/>
      <w:bookmarkStart w:id="1972" w:name="_Toc21354291"/>
      <w:bookmarkStart w:id="1973" w:name="_Toc21446956"/>
      <w:bookmarkStart w:id="1974" w:name="_Toc21447212"/>
      <w:bookmarkStart w:id="1975" w:name="_Toc21447326"/>
      <w:bookmarkStart w:id="1976" w:name="_Toc21447571"/>
      <w:bookmarkStart w:id="1977" w:name="_Toc21447705"/>
      <w:bookmarkStart w:id="1978" w:name="_Toc21510464"/>
      <w:bookmarkStart w:id="1979" w:name="_Toc21511066"/>
      <w:bookmarkStart w:id="1980" w:name="_Toc21523135"/>
      <w:bookmarkStart w:id="1981" w:name="_Toc19797344"/>
      <w:bookmarkStart w:id="1982" w:name="_Toc19797397"/>
      <w:bookmarkStart w:id="1983" w:name="_Toc19797497"/>
      <w:bookmarkStart w:id="1984" w:name="_Toc19802876"/>
      <w:bookmarkStart w:id="1985" w:name="_Toc19872001"/>
      <w:bookmarkStart w:id="1986" w:name="_Toc19882184"/>
      <w:bookmarkStart w:id="1987" w:name="_Toc19882349"/>
      <w:bookmarkStart w:id="1988" w:name="_Toc19889671"/>
      <w:bookmarkStart w:id="1989" w:name="_Toc20124070"/>
      <w:bookmarkStart w:id="1990" w:name="_Toc20124202"/>
      <w:bookmarkStart w:id="1991" w:name="_Toc20124991"/>
      <w:bookmarkStart w:id="1992" w:name="_Toc20127045"/>
      <w:bookmarkStart w:id="1993" w:name="_Toc20381013"/>
      <w:bookmarkStart w:id="1994" w:name="_Toc20484760"/>
      <w:bookmarkStart w:id="1995" w:name="_Toc20485005"/>
      <w:bookmarkStart w:id="1996" w:name="_Toc20487953"/>
      <w:bookmarkStart w:id="1997" w:name="_Toc20488147"/>
      <w:bookmarkStart w:id="1998" w:name="_Toc20744762"/>
      <w:bookmarkStart w:id="1999" w:name="_Toc20754245"/>
      <w:bookmarkStart w:id="2000" w:name="_Toc20756502"/>
      <w:bookmarkStart w:id="2001" w:name="_Toc20758935"/>
      <w:bookmarkStart w:id="2002" w:name="_Toc20759008"/>
      <w:bookmarkStart w:id="2003" w:name="_Toc20759079"/>
      <w:bookmarkStart w:id="2004" w:name="_Toc20759271"/>
      <w:bookmarkStart w:id="2005" w:name="_Toc20898762"/>
      <w:bookmarkStart w:id="2006" w:name="_Toc20899043"/>
      <w:bookmarkStart w:id="2007" w:name="_Toc20903701"/>
      <w:bookmarkStart w:id="2008" w:name="_Toc20903813"/>
      <w:bookmarkStart w:id="2009" w:name="_Toc20903933"/>
      <w:bookmarkStart w:id="2010" w:name="_Toc21078581"/>
      <w:bookmarkStart w:id="2011" w:name="_Toc21080208"/>
      <w:bookmarkStart w:id="2012" w:name="_Toc21353827"/>
      <w:bookmarkStart w:id="2013" w:name="_Toc21354292"/>
      <w:bookmarkStart w:id="2014" w:name="_Toc21446957"/>
      <w:bookmarkStart w:id="2015" w:name="_Toc21447213"/>
      <w:bookmarkStart w:id="2016" w:name="_Toc21447327"/>
      <w:bookmarkStart w:id="2017" w:name="_Toc21447572"/>
      <w:bookmarkStart w:id="2018" w:name="_Toc21447706"/>
      <w:bookmarkStart w:id="2019" w:name="_Toc21510465"/>
      <w:bookmarkStart w:id="2020" w:name="_Toc21511067"/>
      <w:bookmarkStart w:id="2021" w:name="_Toc21523136"/>
      <w:bookmarkStart w:id="2022" w:name="_Toc81993612"/>
      <w:bookmarkStart w:id="2023" w:name="_Toc121233808"/>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lastRenderedPageBreak/>
        <w:t>Assessment</w:t>
      </w:r>
      <w:r w:rsidR="00F56A94">
        <w:t xml:space="preserve"> of Impacts</w:t>
      </w:r>
      <w:bookmarkEnd w:id="2022"/>
      <w:bookmarkEnd w:id="2023"/>
    </w:p>
    <w:p w14:paraId="2B72E03C" w14:textId="0DDB3B3B" w:rsidR="000B1D5B" w:rsidRPr="000B1D5B" w:rsidRDefault="000B1D5B" w:rsidP="000B1D5B">
      <w:pPr>
        <w:pStyle w:val="Heading2"/>
      </w:pPr>
      <w:bookmarkStart w:id="2024" w:name="_Toc121233809"/>
      <w:r>
        <w:t>Introduction</w:t>
      </w:r>
      <w:bookmarkEnd w:id="2024"/>
    </w:p>
    <w:p w14:paraId="258DCC56" w14:textId="30665247" w:rsidR="0068650B" w:rsidRDefault="0068650B" w:rsidP="00352646">
      <w:pPr>
        <w:pStyle w:val="STPR2BodyText"/>
      </w:pPr>
      <w:bookmarkStart w:id="2025" w:name="_Hlk90045842"/>
      <w:r>
        <w:t xml:space="preserve">This </w:t>
      </w:r>
      <w:r w:rsidR="00806749">
        <w:t>C</w:t>
      </w:r>
      <w:r>
        <w:t>hapter provides a high</w:t>
      </w:r>
      <w:r w:rsidR="005C7E4B">
        <w:t>-</w:t>
      </w:r>
      <w:r>
        <w:t xml:space="preserve">level assessment of the potential </w:t>
      </w:r>
      <w:r w:rsidR="004A4A78">
        <w:t xml:space="preserve">equality </w:t>
      </w:r>
      <w:r>
        <w:t xml:space="preserve">impacts of the STPR2 recommendations. This is based on the assessment framework shown in </w:t>
      </w:r>
      <w:r w:rsidR="008F0C9D">
        <w:fldChar w:fldCharType="begin"/>
      </w:r>
      <w:r w:rsidR="008F0C9D">
        <w:instrText xml:space="preserve"> REF _Ref121234565 \n \h </w:instrText>
      </w:r>
      <w:r w:rsidR="008F0C9D">
        <w:fldChar w:fldCharType="separate"/>
      </w:r>
      <w:r w:rsidR="007F1A40">
        <w:t>Appendix B:</w:t>
      </w:r>
      <w:r w:rsidR="008F0C9D">
        <w:fldChar w:fldCharType="end"/>
      </w:r>
      <w:r>
        <w:t xml:space="preserve"> and scoring criteria set out in </w:t>
      </w:r>
      <w:r w:rsidR="0004620B">
        <w:t>S</w:t>
      </w:r>
      <w:r>
        <w:t xml:space="preserve">ection 5.3 and takes into account information, appraisal and modelling work carried out on the recommendations whilst also considering baseline data and evidence for </w:t>
      </w:r>
      <w:r w:rsidR="004A4A78">
        <w:t>protected characteristic groups</w:t>
      </w:r>
      <w:r>
        <w:t>.</w:t>
      </w:r>
    </w:p>
    <w:p w14:paraId="4BE4B890" w14:textId="4F6ED727" w:rsidR="0068650B" w:rsidRDefault="0068650B" w:rsidP="007C7756">
      <w:pPr>
        <w:pStyle w:val="STPR2BodyText"/>
      </w:pPr>
      <w:r>
        <w:t xml:space="preserve">In line with the </w:t>
      </w:r>
      <w:r w:rsidR="00EF01BB">
        <w:t xml:space="preserve">Final </w:t>
      </w:r>
      <w:r w:rsidRPr="004E0B23">
        <w:t xml:space="preserve">STPR2 </w:t>
      </w:r>
      <w:r w:rsidR="4517F3ED" w:rsidRPr="004E0B23">
        <w:t xml:space="preserve">Technical </w:t>
      </w:r>
      <w:r w:rsidR="60216CB8" w:rsidRPr="004E0B23">
        <w:t>R</w:t>
      </w:r>
      <w:r w:rsidRPr="004E0B23">
        <w:t>eport</w:t>
      </w:r>
      <w:r>
        <w:t>, the 45 recommendations have been grouped into six themes for presentational purposes as follows:</w:t>
      </w:r>
    </w:p>
    <w:p w14:paraId="6C98D494" w14:textId="46F37569" w:rsidR="006E2A89" w:rsidRDefault="006E2A89" w:rsidP="00982754">
      <w:pPr>
        <w:pStyle w:val="STPR2BulletsLevel1"/>
        <w:rPr>
          <w:rStyle w:val="normaltextrun"/>
        </w:rPr>
      </w:pPr>
      <w:r>
        <w:rPr>
          <w:rStyle w:val="normaltextrun"/>
        </w:rPr>
        <w:t>Improving active travel infrastructure</w:t>
      </w:r>
      <w:r w:rsidR="00552D4B">
        <w:rPr>
          <w:rStyle w:val="normaltextrun"/>
        </w:rPr>
        <w:t>;</w:t>
      </w:r>
    </w:p>
    <w:p w14:paraId="2089446E" w14:textId="026BCDDE" w:rsidR="0068650B" w:rsidRDefault="0068650B" w:rsidP="00982754">
      <w:pPr>
        <w:pStyle w:val="STPR2BulletsLevel1"/>
        <w:rPr>
          <w:rStyle w:val="normaltextrun"/>
        </w:rPr>
      </w:pPr>
      <w:r>
        <w:rPr>
          <w:rStyle w:val="normaltextrun"/>
        </w:rPr>
        <w:t xml:space="preserve">Influencing </w:t>
      </w:r>
      <w:r w:rsidR="006E2A89">
        <w:rPr>
          <w:rStyle w:val="normaltextrun"/>
        </w:rPr>
        <w:t>travel choices and behaviour</w:t>
      </w:r>
      <w:r>
        <w:rPr>
          <w:rStyle w:val="normaltextrun"/>
        </w:rPr>
        <w:t>;</w:t>
      </w:r>
    </w:p>
    <w:p w14:paraId="71BEA1C2" w14:textId="128CCAEE" w:rsidR="00552D4B" w:rsidRDefault="00552D4B" w:rsidP="00982754">
      <w:pPr>
        <w:pStyle w:val="STPR2BulletsLevel1"/>
        <w:rPr>
          <w:rStyle w:val="normaltextrun"/>
        </w:rPr>
      </w:pPr>
      <w:r>
        <w:rPr>
          <w:rStyle w:val="normaltextrun"/>
        </w:rPr>
        <w:t>Enhancing access to affordable public transport;</w:t>
      </w:r>
    </w:p>
    <w:p w14:paraId="3E51BB4B" w14:textId="7B6DE539" w:rsidR="00552D4B" w:rsidRDefault="00552D4B" w:rsidP="00982754">
      <w:pPr>
        <w:pStyle w:val="STPR2BulletsLevel1"/>
        <w:rPr>
          <w:rStyle w:val="normaltextrun"/>
        </w:rPr>
      </w:pPr>
      <w:r>
        <w:rPr>
          <w:rStyle w:val="normaltextrun"/>
        </w:rPr>
        <w:t>Decarbonising transport;</w:t>
      </w:r>
    </w:p>
    <w:p w14:paraId="41FFC294" w14:textId="6095B93C" w:rsidR="00552D4B" w:rsidRDefault="00F441F1" w:rsidP="00982754">
      <w:pPr>
        <w:pStyle w:val="STPR2BulletsLevel1"/>
        <w:rPr>
          <w:rStyle w:val="normaltextrun"/>
        </w:rPr>
      </w:pPr>
      <w:r>
        <w:rPr>
          <w:rStyle w:val="normaltextrun"/>
        </w:rPr>
        <w:t>Increasing safety and resilience on the strategic transport network; and</w:t>
      </w:r>
    </w:p>
    <w:p w14:paraId="6AF01793" w14:textId="170407EF" w:rsidR="00F441F1" w:rsidRDefault="00F441F1" w:rsidP="00982754">
      <w:pPr>
        <w:pStyle w:val="STPR2BulletsLevel1"/>
      </w:pPr>
      <w:r>
        <w:rPr>
          <w:rStyle w:val="normaltextrun"/>
        </w:rPr>
        <w:t>Strengthening strategic connections.</w:t>
      </w:r>
    </w:p>
    <w:p w14:paraId="47E6B864" w14:textId="77777777" w:rsidR="0068650B" w:rsidRDefault="0068650B" w:rsidP="00352646">
      <w:pPr>
        <w:pStyle w:val="STPR2BodyText"/>
      </w:pPr>
      <w:r>
        <w:t>It should be noted that, whilst the interventions have all been allocated to an individual theme, there are many that are complementary and indeed would deliver beneficial outcomes identified in some of the other themes. Therefore, the individual theme that each intervention is assigned should not be interpreted too rigidly.</w:t>
      </w:r>
    </w:p>
    <w:p w14:paraId="5DF57174" w14:textId="110DA36F" w:rsidR="0068650B" w:rsidRDefault="0068650B" w:rsidP="007C7756">
      <w:pPr>
        <w:pStyle w:val="STPR2BodyText"/>
      </w:pPr>
      <w:r>
        <w:t xml:space="preserve">The following </w:t>
      </w:r>
      <w:r w:rsidR="0004620B">
        <w:t>S</w:t>
      </w:r>
      <w:r>
        <w:t xml:space="preserve">ections list each of the recommendations, grouped as outlined above. This is followed by an assessment of impacts for each of </w:t>
      </w:r>
      <w:r w:rsidR="00EF1BB5">
        <w:t xml:space="preserve">the </w:t>
      </w:r>
      <w:r>
        <w:t xml:space="preserve">themes. The assessment takes a best case scenario approach whilst acknowledging that many of the recommendations are in early stages of development with limited information on geographical location, design elements and operational details. Therefore, the summarised impacts below provide caveats and recommendations as to how any identified impacts for </w:t>
      </w:r>
      <w:r w:rsidR="00754B9E">
        <w:t>pro</w:t>
      </w:r>
      <w:r w:rsidR="008412BC">
        <w:t>tected characteristic</w:t>
      </w:r>
      <w:r>
        <w:t xml:space="preserve"> groups could be considered further in detailed design to maximise positive effects and minimise negative effects.</w:t>
      </w:r>
    </w:p>
    <w:p w14:paraId="66AF9110" w14:textId="715EF43F" w:rsidR="00F372C8" w:rsidRDefault="00F372C8" w:rsidP="001D191F">
      <w:pPr>
        <w:pStyle w:val="Heading2"/>
      </w:pPr>
      <w:bookmarkStart w:id="2026" w:name="_Toc121233810"/>
      <w:r>
        <w:t>Improving Active Travel Infrastructure</w:t>
      </w:r>
      <w:bookmarkEnd w:id="2026"/>
    </w:p>
    <w:p w14:paraId="785CEF32" w14:textId="77777777" w:rsidR="00F372C8" w:rsidRPr="005A0532" w:rsidRDefault="00F372C8" w:rsidP="00352646">
      <w:pPr>
        <w:pStyle w:val="STPR2BodyText"/>
      </w:pPr>
      <w:r w:rsidRPr="005A0532">
        <w:t>Recommendations include:</w:t>
      </w:r>
    </w:p>
    <w:p w14:paraId="7C8AA429" w14:textId="128D16D6" w:rsidR="008D1B5D" w:rsidRPr="005A0532" w:rsidRDefault="008D1B5D" w:rsidP="007C7756">
      <w:pPr>
        <w:pStyle w:val="STPR2BulletsLevel1"/>
      </w:pPr>
      <w:r w:rsidRPr="005A0532">
        <w:t>Connected neighbourhoods (1)</w:t>
      </w:r>
    </w:p>
    <w:p w14:paraId="270BCD7C" w14:textId="0F0B2A13" w:rsidR="008D1B5D" w:rsidRPr="005A0532" w:rsidRDefault="008D1B5D" w:rsidP="00C23F99">
      <w:pPr>
        <w:pStyle w:val="STPR2BulletsLevel1"/>
      </w:pPr>
      <w:r w:rsidRPr="005A0532">
        <w:t xml:space="preserve">Active freeways </w:t>
      </w:r>
      <w:r w:rsidR="00982EEC">
        <w:t xml:space="preserve">and cycle parking </w:t>
      </w:r>
      <w:r w:rsidR="004175C8">
        <w:t xml:space="preserve">hubs </w:t>
      </w:r>
      <w:r w:rsidRPr="005A0532">
        <w:t>(2)</w:t>
      </w:r>
    </w:p>
    <w:p w14:paraId="5D14936F" w14:textId="5F2A46D3" w:rsidR="008D1B5D" w:rsidRPr="005A0532" w:rsidRDefault="008D1B5D" w:rsidP="007F2389">
      <w:pPr>
        <w:pStyle w:val="STPR2BulletsLevel1"/>
      </w:pPr>
      <w:r w:rsidRPr="005A0532">
        <w:t>Village-town active travel connections (3)</w:t>
      </w:r>
    </w:p>
    <w:p w14:paraId="25658F6A" w14:textId="73EC068F" w:rsidR="008D1B5D" w:rsidRPr="005A0532" w:rsidRDefault="008D1B5D">
      <w:pPr>
        <w:pStyle w:val="STPR2BulletsLevel1"/>
      </w:pPr>
      <w:r w:rsidRPr="005A0532">
        <w:t>Connecting towns by active travel (4)</w:t>
      </w:r>
    </w:p>
    <w:p w14:paraId="20514FF2" w14:textId="4B510296" w:rsidR="00F372C8" w:rsidRPr="005A0532" w:rsidRDefault="00F372C8">
      <w:pPr>
        <w:pStyle w:val="STPR2BulletsLevel1"/>
      </w:pPr>
      <w:r w:rsidRPr="005A0532">
        <w:t>Long-</w:t>
      </w:r>
      <w:r w:rsidR="008D1B5D" w:rsidRPr="005A0532">
        <w:t>d</w:t>
      </w:r>
      <w:r w:rsidRPr="005A0532">
        <w:t xml:space="preserve">istance </w:t>
      </w:r>
      <w:r w:rsidR="008D1B5D" w:rsidRPr="005A0532">
        <w:t>active travel network</w:t>
      </w:r>
      <w:r w:rsidRPr="005A0532">
        <w:t xml:space="preserve"> (</w:t>
      </w:r>
      <w:r w:rsidR="008D1B5D" w:rsidRPr="005A0532">
        <w:t>5</w:t>
      </w:r>
      <w:r w:rsidRPr="005A0532">
        <w:t xml:space="preserve">) </w:t>
      </w:r>
    </w:p>
    <w:p w14:paraId="4CB259CE" w14:textId="77777777" w:rsidR="00F372C8" w:rsidRPr="00D96FC9" w:rsidRDefault="00F372C8" w:rsidP="00F372C8">
      <w:pPr>
        <w:pStyle w:val="Heading4"/>
      </w:pPr>
      <w:r>
        <w:t>Summary of p</w:t>
      </w:r>
      <w:r w:rsidRPr="00D96FC9">
        <w:t xml:space="preserve">otential </w:t>
      </w:r>
      <w:r>
        <w:t>i</w:t>
      </w:r>
      <w:r w:rsidRPr="00D96FC9">
        <w:t>mpacts on protected characteristic groups:</w:t>
      </w:r>
    </w:p>
    <w:p w14:paraId="712C177D" w14:textId="77777777" w:rsidR="00F372C8" w:rsidRDefault="00F372C8" w:rsidP="00352646">
      <w:pPr>
        <w:pStyle w:val="STPR2BulletsLevel1"/>
      </w:pPr>
      <w:r>
        <w:t xml:space="preserve">Active travel infrastructure and interventions included under this theme could potentially have a positive impact on groups with protected characteristics with regards to improving access to key services such as education, healthcare, employment, shopping and recreational activities as well as connecting towns and villages through </w:t>
      </w:r>
      <w:r>
        <w:lastRenderedPageBreak/>
        <w:t>an active travel network. Many groups with protected characteristics such as children, young people, women, ethnic minority groups and older people are less likely to have access to a car and more likely to depend on walking, cycling and wheeling or public transport to make their journeys. Therefore, the increased provision of high quality active travel infrastructure could benefit these groups through increased access to destinations and an improvement in active travel facilities.</w:t>
      </w:r>
    </w:p>
    <w:p w14:paraId="438E0694" w14:textId="11F1461E" w:rsidR="00F372C8" w:rsidRDefault="00F372C8" w:rsidP="00352646">
      <w:pPr>
        <w:pStyle w:val="STPR2BulletsLevel1"/>
      </w:pPr>
      <w:r>
        <w:t>Increased uptake of active travel could improve physical health and mental wellbeing outcomes and is also likely to lead to air quality improvements if the uptake is matched by a reduction in private vehicle use and traffic congestion. Improved health outcomes as a result of better air quality are of particular benefit to those who are more vulnerable to air pollution, including children, older people and disabled people.</w:t>
      </w:r>
      <w:r w:rsidR="007100CE">
        <w:t xml:space="preserve"> </w:t>
      </w:r>
    </w:p>
    <w:p w14:paraId="3A9F3275" w14:textId="7059908A" w:rsidR="00F372C8" w:rsidRDefault="00F372C8" w:rsidP="007C7756">
      <w:pPr>
        <w:pStyle w:val="STPR2BulletsLevel1"/>
      </w:pPr>
      <w:r>
        <w:t>The active travel infrastructure installed would be designed to accommodate adapted cycles and, as such, address mobility issues experienced by groups such as disabled people and older people. Segregated infrastructure w</w:t>
      </w:r>
      <w:r w:rsidR="005E046A">
        <w:t>ould</w:t>
      </w:r>
      <w:r>
        <w:t xml:space="preserve"> also benefit people who are more likely to lack confidence or are underrepresented amongst cyclists</w:t>
      </w:r>
      <w:r w:rsidR="00865912">
        <w:t>,</w:t>
      </w:r>
      <w:r>
        <w:t xml:space="preserve"> such as women. Improved safety measures would also reduce road and personal safety concerns for active travel users, including children who account for 44% of all pedestrian casualties (Transport Scotland, Jul</w:t>
      </w:r>
      <w:r w:rsidR="00651A4D">
        <w:t>y</w:t>
      </w:r>
      <w:r>
        <w:t xml:space="preserve"> 2020).</w:t>
      </w:r>
    </w:p>
    <w:p w14:paraId="085F926A" w14:textId="5FD1196A" w:rsidR="00F372C8" w:rsidRDefault="00F372C8" w:rsidP="00C23F99">
      <w:pPr>
        <w:pStyle w:val="STPR2BulletsLevel1"/>
      </w:pPr>
      <w:r>
        <w:t>However, the extent to which groups with protected characteristics will benefit from active freeways and long</w:t>
      </w:r>
      <w:r w:rsidR="00663538">
        <w:t>-</w:t>
      </w:r>
      <w:r>
        <w:t>distance active travel networks will depend on the extent to which all listed interventions can be adopted</w:t>
      </w:r>
      <w:r w:rsidR="005355D7">
        <w:t>,</w:t>
      </w:r>
      <w:r>
        <w:t xml:space="preserve"> and in combination with other behaviour</w:t>
      </w:r>
      <w:r w:rsidR="00663538">
        <w:t>al</w:t>
      </w:r>
      <w:r>
        <w:t xml:space="preserve"> change and active travel measures. In addition, the extent of benefit will depend on the location and routeing of active travel networks and facilities, their proximity to local services and the ability for certain groups to access the network. </w:t>
      </w:r>
    </w:p>
    <w:p w14:paraId="5580B32A" w14:textId="77777777" w:rsidR="00F372C8" w:rsidRDefault="00F372C8" w:rsidP="007F2389">
      <w:pPr>
        <w:pStyle w:val="STPR2BulletsLevel1"/>
      </w:pPr>
      <w:r>
        <w:t>The effects of reallocation on road space on other road users could also have potential negative effects on certain groups such disabled people who rely on parking spaces close to essential services.</w:t>
      </w:r>
    </w:p>
    <w:p w14:paraId="4566371C" w14:textId="3862B8AB" w:rsidR="00F372C8" w:rsidRDefault="00F372C8">
      <w:pPr>
        <w:pStyle w:val="STPR2BulletsLevel1"/>
      </w:pPr>
      <w:r>
        <w:t xml:space="preserve">Beneficiaries of </w:t>
      </w:r>
      <w:r w:rsidR="008417CD">
        <w:t xml:space="preserve">the </w:t>
      </w:r>
      <w:r>
        <w:t>active freeways</w:t>
      </w:r>
      <w:r w:rsidR="00CE41E8">
        <w:t xml:space="preserve"> and cycle parking hubs</w:t>
      </w:r>
      <w:r>
        <w:t xml:space="preserve"> recommendation are likely to include deprived communities as this intervention partially targets outlying neighbourhoods within large urban centres that may currently lack a full range of transport options. However, although walking</w:t>
      </w:r>
      <w:r w:rsidR="0056637F">
        <w:t>, wheeling</w:t>
      </w:r>
      <w:r>
        <w:t xml:space="preserve"> and cycling are low cost options</w:t>
      </w:r>
      <w:r w:rsidR="00940AA5">
        <w:t>,</w:t>
      </w:r>
      <w:r>
        <w:t xml:space="preserve"> some protected characteristics group</w:t>
      </w:r>
      <w:r w:rsidR="00871B9D">
        <w:t>s</w:t>
      </w:r>
      <w:r>
        <w:t xml:space="preserve"> who are more likely to be on low income might experience barriers to cycling associated with cost.</w:t>
      </w:r>
    </w:p>
    <w:p w14:paraId="7D5D19BD" w14:textId="0EBEB999" w:rsidR="00F372C8" w:rsidRDefault="00F372C8">
      <w:pPr>
        <w:pStyle w:val="STPR2BulletsLevel1"/>
      </w:pPr>
      <w:r>
        <w:t xml:space="preserve">Active travel interventions to connecting villages and towns would </w:t>
      </w:r>
      <w:r w:rsidRPr="000A32E7">
        <w:t>potentially provide safer and affordable travel between villages and town</w:t>
      </w:r>
      <w:r w:rsidR="009F5A6D">
        <w:t>s,</w:t>
      </w:r>
      <w:r>
        <w:t xml:space="preserve"> providing benefits for those </w:t>
      </w:r>
      <w:r w:rsidRPr="000A32E7">
        <w:t xml:space="preserve">living in isolated rural communities without access to a car. </w:t>
      </w:r>
      <w:r>
        <w:t>This includes young people who currently experience high cost of travel to access education or employment. However, the extent</w:t>
      </w:r>
      <w:r w:rsidRPr="000A32E7">
        <w:t xml:space="preserve"> will the depend on the location of routes, proximity to </w:t>
      </w:r>
      <w:r>
        <w:t>areas and groups most in need</w:t>
      </w:r>
      <w:r w:rsidRPr="000A32E7">
        <w:t xml:space="preserve"> and the ability for certain to groups to access active travel routes.</w:t>
      </w:r>
    </w:p>
    <w:p w14:paraId="4B11D209" w14:textId="4DEA625B" w:rsidR="007E2460" w:rsidRPr="00685F5A" w:rsidRDefault="007E2460" w:rsidP="001D191F">
      <w:pPr>
        <w:pStyle w:val="Heading2"/>
      </w:pPr>
      <w:bookmarkStart w:id="2027" w:name="_Toc121233811"/>
      <w:r>
        <w:t>Influencing Travel Choices</w:t>
      </w:r>
      <w:r w:rsidR="007C6086">
        <w:t xml:space="preserve"> and Behaviour</w:t>
      </w:r>
      <w:bookmarkEnd w:id="2027"/>
    </w:p>
    <w:bookmarkEnd w:id="2025"/>
    <w:p w14:paraId="2E731642" w14:textId="593D23BF" w:rsidR="00585D71" w:rsidRPr="005A0532" w:rsidRDefault="00585D71" w:rsidP="0056637F">
      <w:pPr>
        <w:pStyle w:val="STPR2BodyText"/>
      </w:pPr>
      <w:r w:rsidRPr="005A0532">
        <w:t>Recommendations include:</w:t>
      </w:r>
    </w:p>
    <w:p w14:paraId="330DB13C" w14:textId="097C8A41" w:rsidR="007C6086" w:rsidRPr="005A0532" w:rsidRDefault="007C6086" w:rsidP="00352646">
      <w:pPr>
        <w:pStyle w:val="STPR2BulletsLevel1"/>
      </w:pPr>
      <w:r w:rsidRPr="005A0532">
        <w:t>Behaviour</w:t>
      </w:r>
      <w:r w:rsidR="004D7854">
        <w:t>al</w:t>
      </w:r>
      <w:r w:rsidRPr="005A0532">
        <w:t xml:space="preserve"> change initiatives (6)</w:t>
      </w:r>
    </w:p>
    <w:p w14:paraId="1C819212" w14:textId="100947A0" w:rsidR="0024370E" w:rsidRPr="005A0532" w:rsidRDefault="0024370E" w:rsidP="007C7756">
      <w:pPr>
        <w:pStyle w:val="STPR2BulletsLevel1"/>
      </w:pPr>
      <w:r w:rsidRPr="005A0532">
        <w:t>Changing road user behaviour (7)</w:t>
      </w:r>
    </w:p>
    <w:p w14:paraId="7F2ACED7" w14:textId="7BB36F09" w:rsidR="0024370E" w:rsidRPr="005A0532" w:rsidRDefault="0024370E" w:rsidP="00C23F99">
      <w:pPr>
        <w:pStyle w:val="STPR2BulletsLevel1"/>
      </w:pPr>
      <w:r w:rsidRPr="005A0532">
        <w:t>Increasing active travel to school (8)</w:t>
      </w:r>
    </w:p>
    <w:p w14:paraId="0BAE4DCC" w14:textId="76B759DC" w:rsidR="0024370E" w:rsidRPr="005A0532" w:rsidRDefault="0024370E" w:rsidP="007F2389">
      <w:pPr>
        <w:pStyle w:val="STPR2BulletsLevel1"/>
      </w:pPr>
      <w:r w:rsidRPr="005A0532">
        <w:t>Improving access to bikes (9)</w:t>
      </w:r>
    </w:p>
    <w:p w14:paraId="24742795" w14:textId="395054A1" w:rsidR="00933996" w:rsidRPr="005A0532" w:rsidRDefault="00933996">
      <w:pPr>
        <w:pStyle w:val="STPR2BulletsLevel1"/>
      </w:pPr>
      <w:r w:rsidRPr="005A0532">
        <w:t xml:space="preserve">Expansion of 20mph </w:t>
      </w:r>
      <w:r w:rsidR="00FF0D1E" w:rsidRPr="005A0532">
        <w:t xml:space="preserve">limits and </w:t>
      </w:r>
      <w:r w:rsidRPr="005A0532">
        <w:t>zones (</w:t>
      </w:r>
      <w:r w:rsidR="0024370E" w:rsidRPr="005A0532">
        <w:t>10</w:t>
      </w:r>
      <w:r w:rsidRPr="005A0532">
        <w:t>)</w:t>
      </w:r>
    </w:p>
    <w:p w14:paraId="777C4EB0" w14:textId="00864187" w:rsidR="002A3071" w:rsidRPr="002A3071" w:rsidRDefault="00D128FE" w:rsidP="004822D8">
      <w:pPr>
        <w:pStyle w:val="Heading4"/>
      </w:pPr>
      <w:r>
        <w:lastRenderedPageBreak/>
        <w:t>Summary of p</w:t>
      </w:r>
      <w:r w:rsidR="002A3071" w:rsidRPr="00D96FC9">
        <w:t xml:space="preserve">otential </w:t>
      </w:r>
      <w:r>
        <w:t>i</w:t>
      </w:r>
      <w:r w:rsidR="002A3071" w:rsidRPr="00D96FC9">
        <w:t>mpacts on protected characteristic groups</w:t>
      </w:r>
      <w:r w:rsidR="002A3071" w:rsidRPr="002A3071">
        <w:t>:</w:t>
      </w:r>
    </w:p>
    <w:p w14:paraId="31E3A3D9" w14:textId="3B6A3F63" w:rsidR="00B5591F" w:rsidRDefault="00CF2756" w:rsidP="00982754">
      <w:pPr>
        <w:pStyle w:val="STPR2BulletsLevel1"/>
      </w:pPr>
      <w:r>
        <w:t>Influencing</w:t>
      </w:r>
      <w:r w:rsidR="00FB0EA7">
        <w:t xml:space="preserve"> travel behaviour through the </w:t>
      </w:r>
      <w:r w:rsidR="003C5517">
        <w:t xml:space="preserve">promotion </w:t>
      </w:r>
      <w:r w:rsidR="007F47E9">
        <w:t>of active and sustainable travel and providing necessary infrastructure and initiative</w:t>
      </w:r>
      <w:r w:rsidR="007B4632">
        <w:t>s</w:t>
      </w:r>
      <w:r w:rsidR="007F47E9">
        <w:t xml:space="preserve"> to enable </w:t>
      </w:r>
      <w:r w:rsidR="00B5591F">
        <w:t>an increased uptake is likely to provide a number of benefits that can be shared by groups with protected</w:t>
      </w:r>
      <w:r w:rsidR="000A6347">
        <w:t> </w:t>
      </w:r>
      <w:r w:rsidR="00B5591F">
        <w:t>characteristics</w:t>
      </w:r>
      <w:r w:rsidR="007F47E9">
        <w:t>.</w:t>
      </w:r>
    </w:p>
    <w:p w14:paraId="707A3B1F" w14:textId="103C9440" w:rsidR="00A35AEB" w:rsidRPr="00585D71" w:rsidRDefault="00A35AEB" w:rsidP="00352646">
      <w:pPr>
        <w:pStyle w:val="STPR2BulletsLevel1"/>
      </w:pPr>
      <w:r>
        <w:t>B</w:t>
      </w:r>
      <w:r w:rsidRPr="00126B7B">
        <w:t>ehaviour</w:t>
      </w:r>
      <w:r w:rsidR="00220220">
        <w:t>al</w:t>
      </w:r>
      <w:r w:rsidRPr="00126B7B">
        <w:t xml:space="preserve"> change initiatives and activities</w:t>
      </w:r>
      <w:r>
        <w:t xml:space="preserve"> would</w:t>
      </w:r>
      <w:r w:rsidRPr="00126B7B">
        <w:t xml:space="preserve"> focus on promoting inclusive transport choices</w:t>
      </w:r>
      <w:r>
        <w:t>. This includes</w:t>
      </w:r>
      <w:r w:rsidRPr="00126B7B">
        <w:t xml:space="preserve"> providing information and </w:t>
      </w:r>
      <w:r>
        <w:t>promoting the</w:t>
      </w:r>
      <w:r w:rsidRPr="00126B7B">
        <w:t xml:space="preserve"> use</w:t>
      </w:r>
      <w:r>
        <w:t xml:space="preserve"> of</w:t>
      </w:r>
      <w:r w:rsidRPr="00126B7B">
        <w:t xml:space="preserve"> active</w:t>
      </w:r>
      <w:r>
        <w:t xml:space="preserve"> travel</w:t>
      </w:r>
      <w:r w:rsidRPr="00126B7B">
        <w:t xml:space="preserve"> modes and public transport, as well as reducing some of the cost-related barriers associated with sustainable travel. </w:t>
      </w:r>
      <w:r>
        <w:t>Recent e</w:t>
      </w:r>
      <w:r w:rsidRPr="00126B7B">
        <w:t>xamples of projects delivered in Scotland by the S</w:t>
      </w:r>
      <w:r>
        <w:t xml:space="preserve">marter </w:t>
      </w:r>
      <w:r w:rsidRPr="00126B7B">
        <w:t>C</w:t>
      </w:r>
      <w:r>
        <w:t xml:space="preserve">hoices, </w:t>
      </w:r>
      <w:r w:rsidRPr="00126B7B">
        <w:t>S</w:t>
      </w:r>
      <w:r>
        <w:t xml:space="preserve">marter </w:t>
      </w:r>
      <w:r w:rsidRPr="00126B7B">
        <w:t>P</w:t>
      </w:r>
      <w:r>
        <w:t>laces</w:t>
      </w:r>
      <w:r w:rsidRPr="00126B7B">
        <w:t xml:space="preserve"> programme include free bus tickets for asylum seekers to help them access training and services, activities to help older people become confident cyclists</w:t>
      </w:r>
      <w:r w:rsidR="007775AD">
        <w:t xml:space="preserve"> (Paths for All, 2021)</w:t>
      </w:r>
      <w:r w:rsidR="009870E7">
        <w:t xml:space="preserve"> and</w:t>
      </w:r>
      <w:r w:rsidR="007775AD">
        <w:t xml:space="preserve"> free bus travel for those aged under 22 years old</w:t>
      </w:r>
      <w:r w:rsidR="009870E7">
        <w:t>.</w:t>
      </w:r>
      <w:r w:rsidR="007775AD">
        <w:t xml:space="preserve"> </w:t>
      </w:r>
      <w:r>
        <w:t>However, t</w:t>
      </w:r>
      <w:r w:rsidRPr="00126B7B">
        <w:t>he extent to which groups with protected characteristics can benefit from behaviour</w:t>
      </w:r>
      <w:r w:rsidR="00220220">
        <w:t>al</w:t>
      </w:r>
      <w:r w:rsidRPr="00126B7B">
        <w:t xml:space="preserve"> change initiatives will depend on which audiences are reached through initiatives, and through provision of ongoing support to enable groups to continue to use sustainable travel in the long</w:t>
      </w:r>
      <w:r w:rsidR="00EA178B">
        <w:t>-</w:t>
      </w:r>
      <w:r w:rsidRPr="00126B7B">
        <w:t>term.</w:t>
      </w:r>
    </w:p>
    <w:p w14:paraId="39457E22" w14:textId="21013CF9" w:rsidR="008A612B" w:rsidRDefault="001A6306" w:rsidP="007C7756">
      <w:pPr>
        <w:pStyle w:val="STPR2BulletsLevel1"/>
      </w:pPr>
      <w:r>
        <w:t xml:space="preserve">Increasing </w:t>
      </w:r>
      <w:r w:rsidR="00534121">
        <w:t>a</w:t>
      </w:r>
      <w:r>
        <w:t xml:space="preserve">ctive </w:t>
      </w:r>
      <w:r w:rsidR="00534121">
        <w:t>t</w:t>
      </w:r>
      <w:r>
        <w:t xml:space="preserve">ravel to </w:t>
      </w:r>
      <w:r w:rsidR="00534121">
        <w:t>s</w:t>
      </w:r>
      <w:r>
        <w:t xml:space="preserve">chool would </w:t>
      </w:r>
      <w:r w:rsidR="00602EC8">
        <w:t>potentially</w:t>
      </w:r>
      <w:r>
        <w:t xml:space="preserve"> provide healthier, more affordable access to education for children and their </w:t>
      </w:r>
      <w:r w:rsidR="00FB66FE">
        <w:t>families or carers</w:t>
      </w:r>
      <w:r>
        <w:t xml:space="preserve">. The infrastructure installed would </w:t>
      </w:r>
      <w:r w:rsidR="00602EC8">
        <w:t>also be</w:t>
      </w:r>
      <w:r>
        <w:t xml:space="preserve"> designed to benefit </w:t>
      </w:r>
      <w:r w:rsidR="00B42D41">
        <w:t xml:space="preserve">the wider community </w:t>
      </w:r>
      <w:r w:rsidR="0084675A">
        <w:t>and is therefore</w:t>
      </w:r>
      <w:r>
        <w:t xml:space="preserve"> likely to have an indirect positive effect on </w:t>
      </w:r>
      <w:r w:rsidR="00B42D41">
        <w:t xml:space="preserve">certain groups using </w:t>
      </w:r>
      <w:r w:rsidR="006C0D23">
        <w:t xml:space="preserve">active </w:t>
      </w:r>
      <w:r w:rsidR="00B42D41">
        <w:t>travel to school routes (such as disabled people, women and older people)</w:t>
      </w:r>
      <w:r>
        <w:t xml:space="preserve">. </w:t>
      </w:r>
      <w:r w:rsidR="008765F9">
        <w:t xml:space="preserve">However, the </w:t>
      </w:r>
      <w:r w:rsidR="00D402F7">
        <w:t xml:space="preserve">extent to which groups with protected characteristics will benefit from </w:t>
      </w:r>
      <w:r w:rsidR="008765F9">
        <w:t>increased active to travel to school measures</w:t>
      </w:r>
      <w:r w:rsidR="00D402F7">
        <w:t xml:space="preserve"> will depend on the location of active travel interventions, proximity to schools and communities with high level</w:t>
      </w:r>
      <w:r w:rsidR="0013210E">
        <w:t>s</w:t>
      </w:r>
      <w:r w:rsidR="00D402F7">
        <w:t xml:space="preserve"> of vulnerable groups with protected character</w:t>
      </w:r>
      <w:r w:rsidR="00714149">
        <w:t>istics</w:t>
      </w:r>
      <w:r w:rsidR="00D402F7">
        <w:t>, the number of interventions adopted (as this will depend on local circumstances) and the ability for certain to groups to access active travel networks and facilities.</w:t>
      </w:r>
    </w:p>
    <w:p w14:paraId="1E536FF2" w14:textId="64996B3B" w:rsidR="003E0082" w:rsidRPr="00126B7B" w:rsidRDefault="001E0132" w:rsidP="00C23F99">
      <w:pPr>
        <w:pStyle w:val="STPR2BulletsLevel1"/>
      </w:pPr>
      <w:r>
        <w:t>Improving</w:t>
      </w:r>
      <w:r w:rsidR="00271EBF">
        <w:t xml:space="preserve"> access to bikes could improve</w:t>
      </w:r>
      <w:r w:rsidR="009D3D67">
        <w:t xml:space="preserve"> opportunit</w:t>
      </w:r>
      <w:r w:rsidR="0013210E">
        <w:t>ies</w:t>
      </w:r>
      <w:r w:rsidR="009D3D67">
        <w:t xml:space="preserve"> to</w:t>
      </w:r>
      <w:r w:rsidR="00271EBF">
        <w:t xml:space="preserve"> access </w:t>
      </w:r>
      <w:r w:rsidR="0013254F">
        <w:t xml:space="preserve">key </w:t>
      </w:r>
      <w:r w:rsidR="00271EBF">
        <w:t>services for a wide range of groups. This includes access to employment, education, health facilities and other transport services which are important to many groups with protected characteristic</w:t>
      </w:r>
      <w:r w:rsidR="00F81696">
        <w:t>s</w:t>
      </w:r>
      <w:r w:rsidR="00271EBF">
        <w:t xml:space="preserve">. </w:t>
      </w:r>
      <w:r w:rsidR="00B4436F">
        <w:t>Increased</w:t>
      </w:r>
      <w:r w:rsidR="00483A77">
        <w:t xml:space="preserve"> </w:t>
      </w:r>
      <w:r w:rsidR="00B4436F">
        <w:t>equality of opportunity</w:t>
      </w:r>
      <w:r w:rsidR="00483A77">
        <w:t xml:space="preserve"> could arise </w:t>
      </w:r>
      <w:r w:rsidR="00D76F9B">
        <w:t>for those with mobility issues (including disabled people and older people) t</w:t>
      </w:r>
      <w:r w:rsidR="00271EBF">
        <w:t>hrough</w:t>
      </w:r>
      <w:r w:rsidR="00857C6C">
        <w:t xml:space="preserve"> the</w:t>
      </w:r>
      <w:r w:rsidR="00D76F9B">
        <w:t xml:space="preserve"> increased</w:t>
      </w:r>
      <w:r w:rsidR="00857C6C">
        <w:t xml:space="preserve"> </w:t>
      </w:r>
      <w:r w:rsidR="00271EBF">
        <w:t>provi</w:t>
      </w:r>
      <w:r w:rsidR="00857C6C">
        <w:t>sion of</w:t>
      </w:r>
      <w:r w:rsidR="00271EBF">
        <w:t xml:space="preserve"> e-bikes, specialist and adapted cycles for specific groups with mobility issues. </w:t>
      </w:r>
      <w:r w:rsidR="003E0082">
        <w:t xml:space="preserve">However, the extent to which groups with protected characteristics will benefit from </w:t>
      </w:r>
      <w:r w:rsidR="000A588A">
        <w:t>increased access to bikes</w:t>
      </w:r>
      <w:r w:rsidR="003E0082">
        <w:t xml:space="preserve"> will the depend on the location</w:t>
      </w:r>
      <w:r w:rsidR="00EF356B">
        <w:t xml:space="preserve"> of </w:t>
      </w:r>
      <w:r w:rsidR="006522C7">
        <w:t>initiatives</w:t>
      </w:r>
      <w:r w:rsidR="00EF356B">
        <w:t xml:space="preserve"> </w:t>
      </w:r>
      <w:r w:rsidR="006522C7">
        <w:t>includ</w:t>
      </w:r>
      <w:r w:rsidR="00311CFB">
        <w:t>ed</w:t>
      </w:r>
      <w:r w:rsidR="006522C7">
        <w:t xml:space="preserve"> under this recommendation for example,</w:t>
      </w:r>
      <w:r w:rsidR="003E0082">
        <w:t xml:space="preserve"> bike libraries and bike storage facilities (in regard to both community access and proximity of cycle networks and required services), the ease of accessing subsidies and their promotion, and the uptake of social prescribing by healthcare professionals.</w:t>
      </w:r>
      <w:r w:rsidR="00BD0311">
        <w:t xml:space="preserve"> </w:t>
      </w:r>
      <w:r w:rsidR="00BD0311" w:rsidRPr="00BD0311">
        <w:rPr>
          <w:rStyle w:val="STPR2BodyTextChar"/>
        </w:rPr>
        <w:t>A trial is currently underway to test delivery models for free bikes in urban and rural locations, across primary and secondary schools ages and trial various procurement models. The pilots seek to include local bike shops and will explore opportunities to maximise benefits for the local supply chain, including recycling bikes and encouraging a circular economy approach</w:t>
      </w:r>
      <w:r w:rsidR="00BD0311">
        <w:rPr>
          <w:color w:val="2D2D2D"/>
          <w:sz w:val="27"/>
          <w:szCs w:val="27"/>
        </w:rPr>
        <w:t>.</w:t>
      </w:r>
    </w:p>
    <w:p w14:paraId="2BE401BE" w14:textId="6EEBF678" w:rsidR="009E42C5" w:rsidRDefault="00535EB6" w:rsidP="007F2389">
      <w:pPr>
        <w:pStyle w:val="STPR2BulletsLevel1"/>
      </w:pPr>
      <w:r>
        <w:t>The expansion of 20 mph</w:t>
      </w:r>
      <w:r w:rsidR="00F233B4">
        <w:t xml:space="preserve"> zones</w:t>
      </w:r>
      <w:r>
        <w:t xml:space="preserve"> </w:t>
      </w:r>
      <w:r w:rsidR="00BD0311">
        <w:t>could potentially</w:t>
      </w:r>
      <w:r>
        <w:t xml:space="preserve"> increase</w:t>
      </w:r>
      <w:r w:rsidR="001748E0">
        <w:t xml:space="preserve"> road</w:t>
      </w:r>
      <w:r>
        <w:t xml:space="preserve"> safety through new </w:t>
      </w:r>
      <w:r w:rsidR="001A6306">
        <w:t xml:space="preserve">infrastructure, </w:t>
      </w:r>
      <w:r>
        <w:t>a</w:t>
      </w:r>
      <w:r w:rsidR="001A6306">
        <w:t xml:space="preserve"> reduction in traffic speed and congestion</w:t>
      </w:r>
      <w:r>
        <w:t xml:space="preserve"> and</w:t>
      </w:r>
      <w:r w:rsidR="001A6306">
        <w:t xml:space="preserve"> the creation of ‘School Streets’</w:t>
      </w:r>
      <w:r>
        <w:t xml:space="preserve">. </w:t>
      </w:r>
      <w:r w:rsidR="001D09DD">
        <w:t xml:space="preserve">Evidence shows that the risk of </w:t>
      </w:r>
      <w:r w:rsidR="00B43070">
        <w:t>sever</w:t>
      </w:r>
      <w:r w:rsidR="00617678">
        <w:t>e</w:t>
      </w:r>
      <w:r w:rsidR="00B43070">
        <w:t xml:space="preserve"> injury to </w:t>
      </w:r>
      <w:r w:rsidR="001D09DD">
        <w:t xml:space="preserve">a pedestrian, cyclist or other vulnerable road user </w:t>
      </w:r>
      <w:r w:rsidR="00B43070">
        <w:t>is</w:t>
      </w:r>
      <w:r w:rsidR="001D09DD">
        <w:t xml:space="preserve"> </w:t>
      </w:r>
      <w:r w:rsidR="00B43070">
        <w:t>lower at</w:t>
      </w:r>
      <w:r w:rsidR="001D09DD">
        <w:t xml:space="preserve"> 20mph </w:t>
      </w:r>
      <w:r w:rsidR="00B43070">
        <w:t>than at higher speeds</w:t>
      </w:r>
      <w:r w:rsidR="001D09DD">
        <w:t xml:space="preserve"> (WHO, 2004). </w:t>
      </w:r>
      <w:r w:rsidR="002A7EC5">
        <w:t xml:space="preserve">This </w:t>
      </w:r>
      <w:r w:rsidR="001D09DD">
        <w:t>c</w:t>
      </w:r>
      <w:r w:rsidR="001A6306">
        <w:t xml:space="preserve">ould </w:t>
      </w:r>
      <w:r w:rsidR="002A7EC5">
        <w:t>have a positive impact on those who are more likely to use active travel modes and</w:t>
      </w:r>
      <w:r w:rsidR="00146DAD">
        <w:t xml:space="preserve"> </w:t>
      </w:r>
      <w:r w:rsidR="005374A5">
        <w:lastRenderedPageBreak/>
        <w:t xml:space="preserve">especially for children </w:t>
      </w:r>
      <w:r w:rsidR="009E42C5">
        <w:t xml:space="preserve">who </w:t>
      </w:r>
      <w:r w:rsidR="005E35F9">
        <w:t>account fo</w:t>
      </w:r>
      <w:r w:rsidR="009E42C5">
        <w:t xml:space="preserve">r 44% of all pedestrian casualties (Transport Scotland, </w:t>
      </w:r>
      <w:r w:rsidR="00CA3563" w:rsidRPr="00391EF0">
        <w:t>Jul</w:t>
      </w:r>
      <w:r w:rsidR="00263E0F">
        <w:t>y</w:t>
      </w:r>
      <w:r w:rsidR="00CA3563" w:rsidRPr="00391EF0">
        <w:t xml:space="preserve"> 2020</w:t>
      </w:r>
      <w:r w:rsidR="009E42C5">
        <w:t xml:space="preserve">). In particular children from deprived areas and certain ethnic groups are more at risk. </w:t>
      </w:r>
    </w:p>
    <w:p w14:paraId="6BEE43EA" w14:textId="2173E27C" w:rsidR="004D75AE" w:rsidRDefault="00F74830" w:rsidP="007F2389">
      <w:pPr>
        <w:pStyle w:val="STPR2BulletsLevel1"/>
      </w:pPr>
      <w:r>
        <w:t>Increased</w:t>
      </w:r>
      <w:r w:rsidR="001A6306">
        <w:t xml:space="preserve"> uptake </w:t>
      </w:r>
      <w:r>
        <w:t>of</w:t>
      </w:r>
      <w:r w:rsidR="001A6306">
        <w:t xml:space="preserve"> active travel may improve health outcomes through physical fitness and is also likely to lead to air quality improvements if the uptake is matched by a reduction in private vehicle use and traffic congestion. Further traffic reduction measures outside schools and behaviour</w:t>
      </w:r>
      <w:r w:rsidR="00220220">
        <w:t>al</w:t>
      </w:r>
      <w:r w:rsidR="001A6306">
        <w:t xml:space="preserve"> change campaigns would likely lead to further localised air quality improvements. Improved health outcomes as a result of better air quality are of particular benefit to those who are more vulnerable to air pollution, including children, older people</w:t>
      </w:r>
      <w:r w:rsidR="00DE3BBC">
        <w:t>,</w:t>
      </w:r>
      <w:r w:rsidR="001A6306">
        <w:t xml:space="preserve"> disabled people</w:t>
      </w:r>
      <w:r w:rsidR="003D5A06">
        <w:t xml:space="preserve"> and pregnant women</w:t>
      </w:r>
      <w:r w:rsidR="001A6306">
        <w:t xml:space="preserve">. </w:t>
      </w:r>
      <w:r w:rsidR="004D75AE">
        <w:t xml:space="preserve">20 mph zones could </w:t>
      </w:r>
      <w:r w:rsidR="00FD7CB8">
        <w:t xml:space="preserve">also </w:t>
      </w:r>
      <w:r w:rsidR="004D75AE">
        <w:t>result in reductions in noise and vibration and potential improvements</w:t>
      </w:r>
      <w:r w:rsidR="003D5A06">
        <w:t xml:space="preserve"> </w:t>
      </w:r>
      <w:r w:rsidR="004D75AE">
        <w:t>as a result of traffic travelling at slower speeds and reductions in fuel consumption. This is likely to have positive impacts on those who are more vulnerable to the adverse effects of traffic</w:t>
      </w:r>
      <w:r w:rsidR="001013A1">
        <w:t>-</w:t>
      </w:r>
      <w:r w:rsidR="004D75AE">
        <w:t>related noise including children, older people and disabled people.</w:t>
      </w:r>
    </w:p>
    <w:p w14:paraId="6FAE431A" w14:textId="18166BA3" w:rsidR="00D237D2" w:rsidRDefault="00D237D2">
      <w:pPr>
        <w:pStyle w:val="STPR2BulletsLevel1"/>
      </w:pPr>
      <w:r>
        <w:t>An increase in active travel may improve health outcomes through physical fitness and mental wellbeing benefits</w:t>
      </w:r>
      <w:r w:rsidR="00940EE1">
        <w:t xml:space="preserve"> including combating child and adult obesity.</w:t>
      </w:r>
      <w:r w:rsidR="007100CE">
        <w:t xml:space="preserve"> </w:t>
      </w:r>
    </w:p>
    <w:p w14:paraId="3BCAA9E3" w14:textId="5DD75922" w:rsidR="00110F37" w:rsidRDefault="00A919E1" w:rsidP="001D191F">
      <w:pPr>
        <w:pStyle w:val="Heading2"/>
      </w:pPr>
      <w:bookmarkStart w:id="2028" w:name="_Toc90038038"/>
      <w:bookmarkStart w:id="2029" w:name="_Toc90410680"/>
      <w:bookmarkStart w:id="2030" w:name="_Toc121233812"/>
      <w:r>
        <w:t>Enhancing</w:t>
      </w:r>
      <w:r w:rsidR="00110F37">
        <w:t xml:space="preserve"> </w:t>
      </w:r>
      <w:r w:rsidR="00A65981">
        <w:t>Access</w:t>
      </w:r>
      <w:r w:rsidR="00110F37">
        <w:t xml:space="preserve"> to </w:t>
      </w:r>
      <w:r w:rsidR="00A65981">
        <w:t>Affordable Public Transport</w:t>
      </w:r>
      <w:bookmarkEnd w:id="2028"/>
      <w:bookmarkEnd w:id="2029"/>
      <w:bookmarkEnd w:id="2030"/>
    </w:p>
    <w:p w14:paraId="1AA0535E" w14:textId="77777777" w:rsidR="007E227D" w:rsidRPr="00C77B68" w:rsidRDefault="007E227D" w:rsidP="00352646">
      <w:pPr>
        <w:pStyle w:val="STPR2BodyText"/>
      </w:pPr>
      <w:r w:rsidRPr="00C77B68">
        <w:t>Recommendations include:</w:t>
      </w:r>
    </w:p>
    <w:p w14:paraId="4C227815" w14:textId="5D9538B5" w:rsidR="00A919E1" w:rsidRPr="00C77B68" w:rsidRDefault="00A919E1" w:rsidP="007C7756">
      <w:pPr>
        <w:pStyle w:val="STPR2BulletsLevel1"/>
        <w:rPr>
          <w:rFonts w:eastAsia="Jacobs Chronos"/>
        </w:rPr>
      </w:pPr>
      <w:r w:rsidRPr="00C77B68">
        <w:rPr>
          <w:rFonts w:eastAsia="Jacobs Chronos"/>
        </w:rPr>
        <w:t>Clyde Metro (</w:t>
      </w:r>
      <w:r w:rsidR="00762CBE" w:rsidRPr="00C77B68">
        <w:rPr>
          <w:rFonts w:eastAsia="Jacobs Chronos"/>
        </w:rPr>
        <w:t>11</w:t>
      </w:r>
      <w:r w:rsidRPr="00C77B68">
        <w:rPr>
          <w:rFonts w:eastAsia="Jacobs Chronos"/>
        </w:rPr>
        <w:t>)</w:t>
      </w:r>
    </w:p>
    <w:p w14:paraId="7D28428F" w14:textId="186C7D0D" w:rsidR="00A919E1" w:rsidRPr="00C77B68" w:rsidRDefault="00A919E1" w:rsidP="00C23F99">
      <w:pPr>
        <w:pStyle w:val="STPR2BulletsLevel1"/>
        <w:rPr>
          <w:rFonts w:eastAsia="Jacobs Chronos"/>
        </w:rPr>
      </w:pPr>
      <w:r w:rsidRPr="00C77B68">
        <w:rPr>
          <w:rFonts w:eastAsia="Jacobs Chronos"/>
        </w:rPr>
        <w:t xml:space="preserve">Edinburgh </w:t>
      </w:r>
      <w:r w:rsidR="00964CF2">
        <w:rPr>
          <w:rFonts w:eastAsia="Jacobs Chronos"/>
        </w:rPr>
        <w:t>and</w:t>
      </w:r>
      <w:r w:rsidRPr="00C77B68">
        <w:rPr>
          <w:rFonts w:eastAsia="Jacobs Chronos"/>
        </w:rPr>
        <w:t xml:space="preserve"> South East Scotland Mass Transit (1</w:t>
      </w:r>
      <w:r w:rsidR="00762CBE" w:rsidRPr="00C77B68">
        <w:rPr>
          <w:rFonts w:eastAsia="Jacobs Chronos"/>
        </w:rPr>
        <w:t>2</w:t>
      </w:r>
      <w:r w:rsidRPr="00C77B68">
        <w:rPr>
          <w:rFonts w:eastAsia="Jacobs Chronos"/>
        </w:rPr>
        <w:t>)</w:t>
      </w:r>
    </w:p>
    <w:p w14:paraId="0C8E6515" w14:textId="44FCF8E5" w:rsidR="00A919E1" w:rsidRPr="00C77B68" w:rsidRDefault="00A919E1" w:rsidP="007F2389">
      <w:pPr>
        <w:pStyle w:val="STPR2BulletsLevel1"/>
        <w:rPr>
          <w:rFonts w:eastAsia="Jacobs Chronos"/>
        </w:rPr>
      </w:pPr>
      <w:r w:rsidRPr="00C77B68">
        <w:rPr>
          <w:rFonts w:eastAsia="Jacobs Chronos"/>
        </w:rPr>
        <w:t>Aberdeen Rapid Transit (1</w:t>
      </w:r>
      <w:r w:rsidR="00762CBE" w:rsidRPr="00C77B68">
        <w:rPr>
          <w:rFonts w:eastAsia="Jacobs Chronos"/>
        </w:rPr>
        <w:t>3</w:t>
      </w:r>
      <w:r w:rsidRPr="00C77B68">
        <w:rPr>
          <w:rFonts w:eastAsia="Jacobs Chronos"/>
        </w:rPr>
        <w:t>)</w:t>
      </w:r>
    </w:p>
    <w:p w14:paraId="58A32A64" w14:textId="65706DA6" w:rsidR="00A919E1" w:rsidRPr="00C77B68" w:rsidRDefault="00A919E1">
      <w:pPr>
        <w:pStyle w:val="STPR2BulletsLevel1"/>
        <w:rPr>
          <w:rFonts w:eastAsia="Jacobs Chronos"/>
        </w:rPr>
      </w:pPr>
      <w:r w:rsidRPr="00C77B68">
        <w:rPr>
          <w:rFonts w:eastAsia="Jacobs Chronos"/>
        </w:rPr>
        <w:t>Provision of strategic bus priority measures (</w:t>
      </w:r>
      <w:r w:rsidR="00762CBE" w:rsidRPr="00C77B68">
        <w:rPr>
          <w:rFonts w:eastAsia="Jacobs Chronos"/>
        </w:rPr>
        <w:t>14</w:t>
      </w:r>
      <w:r w:rsidRPr="00C77B68">
        <w:rPr>
          <w:rFonts w:eastAsia="Jacobs Chronos"/>
        </w:rPr>
        <w:t>)</w:t>
      </w:r>
    </w:p>
    <w:p w14:paraId="681BFCED" w14:textId="1506289A" w:rsidR="00C37049" w:rsidRPr="00C77B68" w:rsidRDefault="00C37049">
      <w:pPr>
        <w:pStyle w:val="STPR2BulletsLevel1"/>
        <w:rPr>
          <w:rFonts w:eastAsia="Jacobs Chronos"/>
        </w:rPr>
      </w:pPr>
      <w:r w:rsidRPr="00C77B68">
        <w:rPr>
          <w:rFonts w:eastAsia="Jacobs Chronos"/>
        </w:rPr>
        <w:t>Highland Main</w:t>
      </w:r>
      <w:r w:rsidR="00A24398">
        <w:rPr>
          <w:rFonts w:eastAsia="Jacobs Chronos"/>
        </w:rPr>
        <w:t xml:space="preserve"> L</w:t>
      </w:r>
      <w:r w:rsidRPr="00C77B68">
        <w:rPr>
          <w:rFonts w:eastAsia="Jacobs Chronos"/>
        </w:rPr>
        <w:t>ine rail corridor enhancements (</w:t>
      </w:r>
      <w:r w:rsidR="00762CBE" w:rsidRPr="00C77B68">
        <w:rPr>
          <w:rFonts w:eastAsia="Jacobs Chronos"/>
        </w:rPr>
        <w:t>15</w:t>
      </w:r>
      <w:r w:rsidRPr="00C77B68">
        <w:rPr>
          <w:rFonts w:eastAsia="Jacobs Chronos"/>
        </w:rPr>
        <w:t>)</w:t>
      </w:r>
    </w:p>
    <w:p w14:paraId="26109CD9" w14:textId="1C341625" w:rsidR="00C37049" w:rsidRPr="00C77B68" w:rsidRDefault="00C37049">
      <w:pPr>
        <w:pStyle w:val="STPR2BulletsLevel1"/>
        <w:rPr>
          <w:rFonts w:eastAsia="Jacobs Chronos"/>
        </w:rPr>
      </w:pPr>
      <w:r w:rsidRPr="00C77B68">
        <w:rPr>
          <w:rFonts w:eastAsia="Jacobs Chronos"/>
        </w:rPr>
        <w:t>Perth-Dundee-Aberdeen rail corridor enhancements (</w:t>
      </w:r>
      <w:r w:rsidR="00762CBE" w:rsidRPr="00C77B68">
        <w:rPr>
          <w:rFonts w:eastAsia="Jacobs Chronos"/>
        </w:rPr>
        <w:t>16</w:t>
      </w:r>
      <w:r w:rsidRPr="00C77B68">
        <w:rPr>
          <w:rFonts w:eastAsia="Jacobs Chronos"/>
        </w:rPr>
        <w:t>)</w:t>
      </w:r>
    </w:p>
    <w:p w14:paraId="54DCF232" w14:textId="65F7DA7B" w:rsidR="00445B82" w:rsidRPr="00C77B68" w:rsidRDefault="00445B82">
      <w:pPr>
        <w:pStyle w:val="STPR2BulletsLevel1"/>
        <w:rPr>
          <w:rFonts w:eastAsia="Jacobs Chronos"/>
        </w:rPr>
      </w:pPr>
      <w:r w:rsidRPr="00C77B68">
        <w:rPr>
          <w:rFonts w:eastAsia="Jacobs Chronos"/>
        </w:rPr>
        <w:t>Edinburgh/Glasgow-Perth</w:t>
      </w:r>
      <w:r w:rsidR="00DB5237">
        <w:rPr>
          <w:rFonts w:eastAsia="Jacobs Chronos"/>
        </w:rPr>
        <w:t>/Dundee</w:t>
      </w:r>
      <w:r w:rsidRPr="00C77B68">
        <w:rPr>
          <w:rFonts w:eastAsia="Jacobs Chronos"/>
        </w:rPr>
        <w:t xml:space="preserve"> rail corridor enhancements (</w:t>
      </w:r>
      <w:r w:rsidR="00762CBE" w:rsidRPr="00C77B68">
        <w:rPr>
          <w:rFonts w:eastAsia="Jacobs Chronos"/>
        </w:rPr>
        <w:t>17</w:t>
      </w:r>
      <w:r w:rsidRPr="00C77B68">
        <w:rPr>
          <w:rFonts w:eastAsia="Jacobs Chronos"/>
        </w:rPr>
        <w:t>)</w:t>
      </w:r>
    </w:p>
    <w:p w14:paraId="0CD7595D" w14:textId="275185F0" w:rsidR="00445B82" w:rsidRPr="00C77B68" w:rsidRDefault="00445B82">
      <w:pPr>
        <w:pStyle w:val="STPR2BulletsLevel1"/>
        <w:rPr>
          <w:rFonts w:eastAsia="Jacobs Chronos"/>
        </w:rPr>
      </w:pPr>
      <w:r w:rsidRPr="00C77B68">
        <w:rPr>
          <w:rFonts w:eastAsia="Jacobs Chronos"/>
        </w:rPr>
        <w:t xml:space="preserve">Supporting </w:t>
      </w:r>
      <w:r w:rsidRPr="00C77B68">
        <w:t>integrated journeys</w:t>
      </w:r>
      <w:r w:rsidRPr="00C77B68">
        <w:rPr>
          <w:rFonts w:eastAsia="Jacobs Chronos"/>
        </w:rPr>
        <w:t xml:space="preserve"> at </w:t>
      </w:r>
      <w:r w:rsidRPr="00C77B68">
        <w:t>ferry terminals</w:t>
      </w:r>
      <w:r w:rsidRPr="00C77B68">
        <w:rPr>
          <w:rFonts w:eastAsia="Jacobs Chronos"/>
        </w:rPr>
        <w:t xml:space="preserve"> (</w:t>
      </w:r>
      <w:r w:rsidR="00762CBE" w:rsidRPr="00C77B68">
        <w:rPr>
          <w:rFonts w:eastAsia="Jacobs Chronos"/>
        </w:rPr>
        <w:t>18</w:t>
      </w:r>
      <w:r w:rsidRPr="00C77B68">
        <w:rPr>
          <w:rFonts w:eastAsia="Jacobs Chronos"/>
        </w:rPr>
        <w:t>)</w:t>
      </w:r>
    </w:p>
    <w:p w14:paraId="339F02BB" w14:textId="77F306A6" w:rsidR="00795414" w:rsidRPr="00C77B68" w:rsidRDefault="00795414">
      <w:pPr>
        <w:pStyle w:val="STPR2BulletsLevel1"/>
        <w:rPr>
          <w:rFonts w:eastAsia="Jacobs Chronos"/>
        </w:rPr>
      </w:pPr>
      <w:r w:rsidRPr="00C77B68">
        <w:rPr>
          <w:rFonts w:eastAsia="Jacobs Chronos"/>
        </w:rPr>
        <w:t>Infrastructure to provide access for all at rail stations (</w:t>
      </w:r>
      <w:r w:rsidR="00762CBE" w:rsidRPr="00C77B68">
        <w:rPr>
          <w:rFonts w:eastAsia="Jacobs Chronos"/>
        </w:rPr>
        <w:t>19</w:t>
      </w:r>
      <w:r w:rsidRPr="00C77B68">
        <w:rPr>
          <w:rFonts w:eastAsia="Jacobs Chronos"/>
        </w:rPr>
        <w:t>)</w:t>
      </w:r>
    </w:p>
    <w:p w14:paraId="1A0FD1E8" w14:textId="271D2647" w:rsidR="00C757BA" w:rsidRPr="00B365B1" w:rsidRDefault="00C757BA">
      <w:pPr>
        <w:pStyle w:val="STPR2BulletsLevel1"/>
        <w:rPr>
          <w:rFonts w:eastAsia="Jacobs Chronos"/>
        </w:rPr>
      </w:pPr>
      <w:r w:rsidRPr="00B365B1">
        <w:rPr>
          <w:rFonts w:eastAsia="Jacobs Chronos"/>
        </w:rPr>
        <w:t>Investment in Demand Responsive Transport (DRT) and Mobility as a Service (MaaS)</w:t>
      </w:r>
      <w:r w:rsidR="000A6347">
        <w:rPr>
          <w:rFonts w:eastAsia="Jacobs Chronos"/>
        </w:rPr>
        <w:t> </w:t>
      </w:r>
      <w:r w:rsidRPr="00B365B1">
        <w:rPr>
          <w:rFonts w:eastAsia="Jacobs Chronos"/>
        </w:rPr>
        <w:t>(20)</w:t>
      </w:r>
    </w:p>
    <w:p w14:paraId="0240375A" w14:textId="7FB2B392" w:rsidR="00795414" w:rsidRPr="00C77B68" w:rsidRDefault="00795414">
      <w:pPr>
        <w:pStyle w:val="STPR2BulletsLevel1"/>
        <w:rPr>
          <w:rFonts w:eastAsia="Jacobs Chronos"/>
        </w:rPr>
      </w:pPr>
      <w:r w:rsidRPr="00C77B68">
        <w:rPr>
          <w:rFonts w:eastAsia="Jacobs Chronos"/>
        </w:rPr>
        <w:t xml:space="preserve">Improved </w:t>
      </w:r>
      <w:r w:rsidR="00514855" w:rsidRPr="00C77B68">
        <w:rPr>
          <w:rFonts w:eastAsia="Jacobs Chronos"/>
        </w:rPr>
        <w:t xml:space="preserve">public transport </w:t>
      </w:r>
      <w:r w:rsidR="00D14F9D" w:rsidRPr="00C77B68">
        <w:rPr>
          <w:rFonts w:eastAsia="Jacobs Chronos"/>
        </w:rPr>
        <w:t xml:space="preserve">passenger interchange </w:t>
      </w:r>
      <w:r w:rsidR="00254D29" w:rsidRPr="00C77B68">
        <w:rPr>
          <w:rFonts w:eastAsia="Jacobs Chronos"/>
        </w:rPr>
        <w:t>f</w:t>
      </w:r>
      <w:r w:rsidRPr="00C77B68">
        <w:rPr>
          <w:rFonts w:eastAsia="Jacobs Chronos"/>
        </w:rPr>
        <w:t>acilities (</w:t>
      </w:r>
      <w:r w:rsidR="00762CBE" w:rsidRPr="00C77B68">
        <w:rPr>
          <w:rFonts w:eastAsia="Jacobs Chronos"/>
        </w:rPr>
        <w:t>21</w:t>
      </w:r>
      <w:r w:rsidRPr="00C77B68">
        <w:rPr>
          <w:rFonts w:eastAsia="Jacobs Chronos"/>
        </w:rPr>
        <w:t>)</w:t>
      </w:r>
    </w:p>
    <w:p w14:paraId="2792F5F5" w14:textId="7E5AA07B" w:rsidR="00795414" w:rsidRPr="00C77B68" w:rsidRDefault="00795414">
      <w:pPr>
        <w:pStyle w:val="STPR2BulletsLevel1"/>
        <w:rPr>
          <w:rFonts w:eastAsia="Jacobs Chronos"/>
        </w:rPr>
      </w:pPr>
      <w:r w:rsidRPr="00C77B68">
        <w:rPr>
          <w:rFonts w:eastAsia="Jacobs Chronos"/>
        </w:rPr>
        <w:t xml:space="preserve">Framework for </w:t>
      </w:r>
      <w:r w:rsidR="00257B90">
        <w:rPr>
          <w:rFonts w:eastAsia="Jacobs Chronos"/>
        </w:rPr>
        <w:t xml:space="preserve">the </w:t>
      </w:r>
      <w:r w:rsidR="00514855" w:rsidRPr="00C77B68">
        <w:rPr>
          <w:rFonts w:eastAsia="Jacobs Chronos"/>
        </w:rPr>
        <w:t xml:space="preserve">delivery of </w:t>
      </w:r>
      <w:r w:rsidR="00762CBE" w:rsidRPr="00C77B68">
        <w:rPr>
          <w:rFonts w:eastAsia="Jacobs Chronos"/>
        </w:rPr>
        <w:t>m</w:t>
      </w:r>
      <w:r w:rsidRPr="00C77B68">
        <w:rPr>
          <w:rFonts w:eastAsia="Jacobs Chronos"/>
        </w:rPr>
        <w:t xml:space="preserve">obility </w:t>
      </w:r>
      <w:r w:rsidR="00762CBE" w:rsidRPr="00C77B68">
        <w:rPr>
          <w:rFonts w:eastAsia="Jacobs Chronos"/>
        </w:rPr>
        <w:t>h</w:t>
      </w:r>
      <w:r w:rsidRPr="00C77B68">
        <w:rPr>
          <w:rFonts w:eastAsia="Jacobs Chronos"/>
        </w:rPr>
        <w:t xml:space="preserve">ubs </w:t>
      </w:r>
      <w:r w:rsidR="00762CBE" w:rsidRPr="00C77B68">
        <w:rPr>
          <w:rFonts w:eastAsia="Jacobs Chronos"/>
        </w:rPr>
        <w:t>(22</w:t>
      </w:r>
      <w:r w:rsidRPr="00C77B68">
        <w:rPr>
          <w:rFonts w:eastAsia="Jacobs Chronos"/>
        </w:rPr>
        <w:t>)</w:t>
      </w:r>
    </w:p>
    <w:p w14:paraId="7327DE27" w14:textId="28505D5C" w:rsidR="00795414" w:rsidRPr="00C77B68" w:rsidRDefault="00AA4410">
      <w:pPr>
        <w:pStyle w:val="STPR2BulletsLevel1"/>
        <w:rPr>
          <w:rFonts w:eastAsia="Jacobs Chronos"/>
        </w:rPr>
      </w:pPr>
      <w:r>
        <w:rPr>
          <w:rFonts w:eastAsia="Jacobs Chronos"/>
        </w:rPr>
        <w:t>Smart,</w:t>
      </w:r>
      <w:r w:rsidR="00514855" w:rsidRPr="00C77B68">
        <w:rPr>
          <w:rFonts w:eastAsia="Jacobs Chronos"/>
        </w:rPr>
        <w:t xml:space="preserve"> i</w:t>
      </w:r>
      <w:r w:rsidR="00795414" w:rsidRPr="00C77B68">
        <w:rPr>
          <w:rFonts w:eastAsia="Jacobs Chronos"/>
        </w:rPr>
        <w:t xml:space="preserve">ntegrated </w:t>
      </w:r>
      <w:r w:rsidR="00514855" w:rsidRPr="00C77B68">
        <w:rPr>
          <w:rFonts w:eastAsia="Jacobs Chronos"/>
        </w:rPr>
        <w:t>public transport</w:t>
      </w:r>
      <w:r w:rsidR="00795414" w:rsidRPr="00C77B68">
        <w:rPr>
          <w:rFonts w:eastAsia="Jacobs Chronos"/>
        </w:rPr>
        <w:t xml:space="preserve"> ticketing (</w:t>
      </w:r>
      <w:r w:rsidR="00762CBE" w:rsidRPr="00C77B68">
        <w:rPr>
          <w:rFonts w:eastAsia="Jacobs Chronos"/>
        </w:rPr>
        <w:t>23</w:t>
      </w:r>
      <w:r w:rsidR="00795414" w:rsidRPr="00C77B68">
        <w:rPr>
          <w:rFonts w:eastAsia="Jacobs Chronos"/>
        </w:rPr>
        <w:t>)</w:t>
      </w:r>
    </w:p>
    <w:p w14:paraId="442F93CB" w14:textId="5B01650E" w:rsidR="002A3071" w:rsidRDefault="004277F3" w:rsidP="00FD352E">
      <w:pPr>
        <w:pStyle w:val="Heading4"/>
      </w:pPr>
      <w:r>
        <w:t>Summary of p</w:t>
      </w:r>
      <w:r w:rsidR="002A3071" w:rsidRPr="004846AD">
        <w:t xml:space="preserve">otential </w:t>
      </w:r>
      <w:r>
        <w:t>i</w:t>
      </w:r>
      <w:r w:rsidR="002A3071" w:rsidRPr="004846AD">
        <w:t>mpacts on protected characteristic groups:</w:t>
      </w:r>
    </w:p>
    <w:p w14:paraId="79BC52FA" w14:textId="0D1E2E8C" w:rsidR="00D84193" w:rsidRDefault="008753BC" w:rsidP="00352646">
      <w:pPr>
        <w:pStyle w:val="STPR2BulletsLevel1"/>
        <w:rPr>
          <w:rFonts w:eastAsia="Jacobs Chronos"/>
        </w:rPr>
      </w:pPr>
      <w:r w:rsidRPr="007B5E06">
        <w:t xml:space="preserve">Many protected </w:t>
      </w:r>
      <w:r w:rsidR="005154F9" w:rsidRPr="007B5E06">
        <w:t>characteristic</w:t>
      </w:r>
      <w:r w:rsidRPr="007B5E06">
        <w:t xml:space="preserve"> groups such as children, younger people, women, ethnic minority groups, disabled people and older people are less likely to own a car and more likely to </w:t>
      </w:r>
      <w:r w:rsidR="005154F9" w:rsidRPr="007B5E06">
        <w:t>depend on public transport to make their journeys</w:t>
      </w:r>
      <w:r w:rsidR="007B5E06" w:rsidRPr="007B5E06">
        <w:t xml:space="preserve"> and</w:t>
      </w:r>
      <w:r w:rsidR="005154F9" w:rsidRPr="007B5E06">
        <w:t xml:space="preserve"> access </w:t>
      </w:r>
      <w:r w:rsidR="007B5E06" w:rsidRPr="007B5E06">
        <w:t>important</w:t>
      </w:r>
      <w:r w:rsidR="005154F9" w:rsidRPr="007B5E06">
        <w:t xml:space="preserve"> </w:t>
      </w:r>
      <w:r w:rsidR="007B5E06" w:rsidRPr="007B5E06">
        <w:t>services</w:t>
      </w:r>
      <w:r w:rsidR="005154F9" w:rsidRPr="007B5E06">
        <w:t xml:space="preserve"> such as </w:t>
      </w:r>
      <w:r w:rsidR="007B5E06" w:rsidRPr="007B5E06">
        <w:t>education</w:t>
      </w:r>
      <w:r w:rsidR="005154F9" w:rsidRPr="007B5E06">
        <w:t xml:space="preserve">, employment, healthcare and shopping. </w:t>
      </w:r>
      <w:r w:rsidR="00D84193" w:rsidRPr="00D84193">
        <w:rPr>
          <w:rFonts w:eastAsia="Jacobs Chronos"/>
        </w:rPr>
        <w:t>Improving public transport accessibility is particularly important for boosting access to services for women and disabled groups, who are less likely to take trips by private car, and often have to “chain” trips together to meet the demands of their everyday lives.</w:t>
      </w:r>
    </w:p>
    <w:p w14:paraId="26875AC3" w14:textId="35FA8378" w:rsidR="00E649CF" w:rsidRPr="00E649CF" w:rsidRDefault="000F1950" w:rsidP="007C7756">
      <w:pPr>
        <w:pStyle w:val="STPR2BulletsLevel1"/>
        <w:rPr>
          <w:rFonts w:eastAsia="Jacobs Chronos"/>
        </w:rPr>
      </w:pPr>
      <w:r>
        <w:rPr>
          <w:rFonts w:eastAsia="Jacobs Chronos"/>
        </w:rPr>
        <w:t>New mass transit, metro and ra</w:t>
      </w:r>
      <w:r w:rsidR="00454208">
        <w:rPr>
          <w:rFonts w:eastAsia="Jacobs Chronos"/>
        </w:rPr>
        <w:t>p</w:t>
      </w:r>
      <w:r>
        <w:rPr>
          <w:rFonts w:eastAsia="Jacobs Chronos"/>
        </w:rPr>
        <w:t xml:space="preserve">id transit are likely to have a positive impact on </w:t>
      </w:r>
      <w:r w:rsidR="00DF04C5">
        <w:rPr>
          <w:rFonts w:eastAsia="Jacobs Chronos"/>
        </w:rPr>
        <w:t>groups who rely on public transport by increasing options for travel</w:t>
      </w:r>
      <w:r w:rsidR="008D1B64">
        <w:rPr>
          <w:rFonts w:eastAsia="Jacobs Chronos"/>
        </w:rPr>
        <w:t xml:space="preserve"> to key destinations.</w:t>
      </w:r>
      <w:r w:rsidR="00E649CF" w:rsidRPr="00E649CF">
        <w:t xml:space="preserve"> </w:t>
      </w:r>
      <w:r w:rsidR="00E649CF" w:rsidRPr="00E649CF">
        <w:rPr>
          <w:rFonts w:eastAsia="Jacobs Chronos"/>
        </w:rPr>
        <w:t>Transit provides fast and accessible public trans</w:t>
      </w:r>
      <w:r w:rsidR="00233B16">
        <w:rPr>
          <w:rFonts w:eastAsia="Jacobs Chronos"/>
        </w:rPr>
        <w:t>port</w:t>
      </w:r>
      <w:r w:rsidR="00E649CF" w:rsidRPr="00E649CF">
        <w:rPr>
          <w:rFonts w:eastAsia="Jacobs Chronos"/>
        </w:rPr>
        <w:t xml:space="preserve">. New stations/stops would </w:t>
      </w:r>
      <w:r w:rsidR="00EE7885">
        <w:rPr>
          <w:rFonts w:eastAsia="Jacobs Chronos"/>
        </w:rPr>
        <w:t xml:space="preserve">be required to </w:t>
      </w:r>
      <w:r w:rsidR="00840636">
        <w:rPr>
          <w:rFonts w:eastAsia="Jacobs Chronos"/>
        </w:rPr>
        <w:t>be compliant with inclusive design standards</w:t>
      </w:r>
      <w:r w:rsidR="00E649CF" w:rsidRPr="00E649CF">
        <w:rPr>
          <w:rFonts w:eastAsia="Jacobs Chronos"/>
        </w:rPr>
        <w:t xml:space="preserve"> and there would be an opportunity with </w:t>
      </w:r>
      <w:r w:rsidR="00E649CF" w:rsidRPr="00E649CF">
        <w:rPr>
          <w:rFonts w:eastAsia="Jacobs Chronos"/>
        </w:rPr>
        <w:lastRenderedPageBreak/>
        <w:t xml:space="preserve">new infrastructure to design-in level access. </w:t>
      </w:r>
      <w:r w:rsidR="00840636">
        <w:rPr>
          <w:rFonts w:eastAsia="Jacobs Chronos"/>
        </w:rPr>
        <w:t xml:space="preserve">This would potentially </w:t>
      </w:r>
      <w:r w:rsidR="004248B8">
        <w:rPr>
          <w:rFonts w:eastAsia="Jacobs Chronos"/>
        </w:rPr>
        <w:t xml:space="preserve">provide greater access to the public transport network for those who are currently </w:t>
      </w:r>
      <w:r w:rsidR="00E72DCD">
        <w:rPr>
          <w:rFonts w:eastAsia="Jacobs Chronos"/>
        </w:rPr>
        <w:t>excluded due to accessibility barriers.</w:t>
      </w:r>
    </w:p>
    <w:p w14:paraId="61D3F859" w14:textId="49DF8E3A" w:rsidR="0068495B" w:rsidRDefault="0068495B" w:rsidP="007C7756">
      <w:pPr>
        <w:pStyle w:val="STPR2BulletsLevel1"/>
      </w:pPr>
      <w:r w:rsidRPr="008753BC">
        <w:t xml:space="preserve">There could be a slight beneficial impact of reduced barriers to bus use for those with reduced mobility, where </w:t>
      </w:r>
      <w:r>
        <w:t xml:space="preserve">strategic </w:t>
      </w:r>
      <w:r w:rsidRPr="008753BC">
        <w:t>bus priority schemes increase the likelihood of buses being able to pull in level with the kerb at stops, allowing easier access</w:t>
      </w:r>
      <w:r>
        <w:t xml:space="preserve"> for those with mobility issues such as disabled people, older people, pregnant women and people travelling with pushchairs/young </w:t>
      </w:r>
      <w:r w:rsidR="007C44DB">
        <w:t>children</w:t>
      </w:r>
      <w:r>
        <w:t>.</w:t>
      </w:r>
      <w:r w:rsidR="007100CE">
        <w:t xml:space="preserve"> </w:t>
      </w:r>
    </w:p>
    <w:p w14:paraId="39D9640C" w14:textId="669264B7" w:rsidR="00F80AE9" w:rsidRDefault="00F80AE9" w:rsidP="00C23F99">
      <w:pPr>
        <w:pStyle w:val="STPR2BulletsLevel1"/>
      </w:pPr>
      <w:r>
        <w:t>Investment in DRT and Maa</w:t>
      </w:r>
      <w:r w:rsidR="00F4182F">
        <w:t>S</w:t>
      </w:r>
      <w:r>
        <w:t xml:space="preserve"> </w:t>
      </w:r>
      <w:r w:rsidRPr="009F367E">
        <w:t xml:space="preserve">could </w:t>
      </w:r>
      <w:r>
        <w:t>have a positive</w:t>
      </w:r>
      <w:r w:rsidRPr="009F367E">
        <w:t xml:space="preserve"> impact </w:t>
      </w:r>
      <w:r>
        <w:t>on those with reduce</w:t>
      </w:r>
      <w:r w:rsidR="003115C6">
        <w:t>d</w:t>
      </w:r>
      <w:r>
        <w:t xml:space="preserve"> mobility</w:t>
      </w:r>
      <w:r w:rsidR="003115C6">
        <w:t xml:space="preserve"> including older people, disabled people, pregnant women and people with </w:t>
      </w:r>
      <w:r w:rsidR="00BE43C1">
        <w:t xml:space="preserve">young </w:t>
      </w:r>
      <w:r w:rsidR="003115C6">
        <w:t>children</w:t>
      </w:r>
      <w:r w:rsidR="00A95C1B">
        <w:t xml:space="preserve"> by</w:t>
      </w:r>
      <w:r>
        <w:t xml:space="preserve"> </w:t>
      </w:r>
      <w:r w:rsidRPr="009F367E">
        <w:t>improv</w:t>
      </w:r>
      <w:r w:rsidR="00A95C1B">
        <w:t>ing</w:t>
      </w:r>
      <w:r w:rsidRPr="009F367E">
        <w:t xml:space="preserve"> public transport connectivity</w:t>
      </w:r>
      <w:r w:rsidR="00A95C1B">
        <w:t xml:space="preserve"> and</w:t>
      </w:r>
      <w:r w:rsidRPr="009F367E">
        <w:t xml:space="preserve"> reduc</w:t>
      </w:r>
      <w:r w:rsidR="00A95C1B">
        <w:t>ing</w:t>
      </w:r>
      <w:r w:rsidRPr="009F367E">
        <w:t xml:space="preserve"> the distance need</w:t>
      </w:r>
      <w:r w:rsidR="000F1950">
        <w:t>ed</w:t>
      </w:r>
      <w:r w:rsidRPr="009F367E">
        <w:t xml:space="preserve"> to be travelled in order to use a service.</w:t>
      </w:r>
    </w:p>
    <w:p w14:paraId="01A9BA89" w14:textId="192E9D52" w:rsidR="0047175B" w:rsidRDefault="008D1B64">
      <w:pPr>
        <w:pStyle w:val="STPR2BulletsLevel1"/>
      </w:pPr>
      <w:r>
        <w:t>Improved</w:t>
      </w:r>
      <w:r w:rsidR="0047175B">
        <w:t xml:space="preserve"> public transport infrastructure a</w:t>
      </w:r>
      <w:r w:rsidR="00E36468">
        <w:t xml:space="preserve">t </w:t>
      </w:r>
      <w:r w:rsidR="0047175B">
        <w:t xml:space="preserve">stations, </w:t>
      </w:r>
      <w:r w:rsidR="00E36468">
        <w:t>regional hubs, interchanges an</w:t>
      </w:r>
      <w:r w:rsidR="0047175B">
        <w:t>d other facilities would</w:t>
      </w:r>
      <w:r w:rsidR="007827CB">
        <w:t xml:space="preserve"> </w:t>
      </w:r>
      <w:r w:rsidR="0047175B">
        <w:t>provide accessibility benefits for disabled people</w:t>
      </w:r>
      <w:r w:rsidR="005B0602">
        <w:t>,</w:t>
      </w:r>
      <w:r w:rsidR="0047175B">
        <w:t xml:space="preserve"> with new facilities being designed to inclusive design standards.</w:t>
      </w:r>
      <w:r w:rsidR="00DC44CE">
        <w:t xml:space="preserve"> </w:t>
      </w:r>
      <w:r w:rsidR="00DC44CE" w:rsidRPr="00DC44CE">
        <w:t xml:space="preserve">All travellers with protected characteristics would benefit from improved passenger facilities, but there would be a specific </w:t>
      </w:r>
      <w:r w:rsidR="00DC44CE">
        <w:t xml:space="preserve">major positive </w:t>
      </w:r>
      <w:r w:rsidR="00DC44CE" w:rsidRPr="00DC44CE">
        <w:t>impact from fewer barriers to travel for those with reduced mobility. In particular</w:t>
      </w:r>
      <w:r w:rsidR="002A3514">
        <w:t>,</w:t>
      </w:r>
      <w:r w:rsidR="00DC44CE" w:rsidRPr="00DC44CE">
        <w:t xml:space="preserve"> step-free access at stations w</w:t>
      </w:r>
      <w:r w:rsidR="005B0602">
        <w:t>ould</w:t>
      </w:r>
      <w:r w:rsidR="00DC44CE" w:rsidRPr="00DC44CE">
        <w:t xml:space="preserve"> improve transport choices for people who are currently excluded</w:t>
      </w:r>
      <w:r w:rsidR="00461016">
        <w:t>. I</w:t>
      </w:r>
      <w:r w:rsidR="00461016" w:rsidRPr="003F2323">
        <w:t>mproved interchange</w:t>
      </w:r>
      <w:r w:rsidR="00461016">
        <w:t xml:space="preserve"> facilities could</w:t>
      </w:r>
      <w:r w:rsidR="00461016" w:rsidRPr="003F2323">
        <w:t xml:space="preserve"> decrease the distance between public transport services</w:t>
      </w:r>
      <w:r w:rsidR="000E6602">
        <w:t>.</w:t>
      </w:r>
      <w:r w:rsidR="00DC44CE" w:rsidRPr="00DC44CE">
        <w:t xml:space="preserve"> </w:t>
      </w:r>
      <w:r w:rsidR="000E6602">
        <w:t>I</w:t>
      </w:r>
      <w:r w:rsidR="00DC44CE" w:rsidRPr="00DC44CE">
        <w:t xml:space="preserve">mproved facilities may also benefit those with impaired vision or hearing and those with autism. </w:t>
      </w:r>
    </w:p>
    <w:p w14:paraId="07BB8776" w14:textId="4A28D750" w:rsidR="00202027" w:rsidRPr="00614514" w:rsidRDefault="00B62FDA">
      <w:pPr>
        <w:pStyle w:val="STPR2BulletsLevel1"/>
        <w:rPr>
          <w:rFonts w:eastAsia="Jacobs Chronos"/>
        </w:rPr>
      </w:pPr>
      <w:r w:rsidRPr="00614514">
        <w:rPr>
          <w:rFonts w:eastAsia="Jacobs Chronos"/>
        </w:rPr>
        <w:t>The impact of r</w:t>
      </w:r>
      <w:r w:rsidR="00202027" w:rsidRPr="00614514">
        <w:rPr>
          <w:rFonts w:eastAsia="Jacobs Chronos"/>
        </w:rPr>
        <w:t>ail enhancement</w:t>
      </w:r>
      <w:r w:rsidRPr="00614514">
        <w:rPr>
          <w:rFonts w:eastAsia="Jacobs Chronos"/>
        </w:rPr>
        <w:t>s</w:t>
      </w:r>
      <w:r w:rsidR="00D42572" w:rsidRPr="00614514">
        <w:rPr>
          <w:rFonts w:eastAsia="Jacobs Chronos"/>
        </w:rPr>
        <w:t xml:space="preserve"> on groups with protected characteristic</w:t>
      </w:r>
      <w:r w:rsidR="00614514">
        <w:rPr>
          <w:rFonts w:eastAsia="Jacobs Chronos"/>
        </w:rPr>
        <w:t>s</w:t>
      </w:r>
      <w:r w:rsidR="00D42572" w:rsidRPr="00614514">
        <w:rPr>
          <w:rFonts w:eastAsia="Jacobs Chronos"/>
        </w:rPr>
        <w:t xml:space="preserve"> will vary depending on the location of the </w:t>
      </w:r>
      <w:r w:rsidR="000F1DA2" w:rsidRPr="00614514">
        <w:rPr>
          <w:rFonts w:eastAsia="Jacobs Chronos"/>
        </w:rPr>
        <w:t>enhancements</w:t>
      </w:r>
      <w:r w:rsidR="00D42572" w:rsidRPr="00614514">
        <w:rPr>
          <w:rFonts w:eastAsia="Jacobs Chronos"/>
        </w:rPr>
        <w:t xml:space="preserve"> and the </w:t>
      </w:r>
      <w:r w:rsidR="00EE6E3E" w:rsidRPr="00614514">
        <w:rPr>
          <w:rFonts w:eastAsia="Jacobs Chronos"/>
        </w:rPr>
        <w:t>extent to which they are complemented by other measures. For example,</w:t>
      </w:r>
      <w:r w:rsidR="008D641B" w:rsidRPr="00614514">
        <w:rPr>
          <w:rFonts w:eastAsia="Jacobs Chronos"/>
        </w:rPr>
        <w:t xml:space="preserve"> the development of local corridor enhancements could provide significant benefits for inclusive accessibility and public health along the alignment of the rural lines on the Highland </w:t>
      </w:r>
      <w:r w:rsidR="00E27A0F">
        <w:rPr>
          <w:rFonts w:eastAsia="Jacobs Chronos"/>
        </w:rPr>
        <w:t>M</w:t>
      </w:r>
      <w:r w:rsidR="008D641B" w:rsidRPr="00614514">
        <w:rPr>
          <w:rFonts w:eastAsia="Jacobs Chronos"/>
        </w:rPr>
        <w:t>ain</w:t>
      </w:r>
      <w:r w:rsidR="00E27A0F">
        <w:rPr>
          <w:rFonts w:eastAsia="Jacobs Chronos"/>
        </w:rPr>
        <w:t xml:space="preserve"> L</w:t>
      </w:r>
      <w:r w:rsidR="008D641B" w:rsidRPr="00614514">
        <w:rPr>
          <w:rFonts w:eastAsia="Jacobs Chronos"/>
        </w:rPr>
        <w:t xml:space="preserve">ine. Enhanced rail corridors can improve community accessibility through increased frequency and/or reduced journey times. This includes for </w:t>
      </w:r>
      <w:r w:rsidR="00407CA1" w:rsidRPr="00614514">
        <w:rPr>
          <w:rFonts w:eastAsia="Jacobs Chronos"/>
        </w:rPr>
        <w:t>groups with protected characteristics</w:t>
      </w:r>
      <w:r w:rsidR="008D641B" w:rsidRPr="00614514">
        <w:rPr>
          <w:rFonts w:eastAsia="Jacobs Chronos"/>
        </w:rPr>
        <w:t>, especially if new stations are located in areas with the greatest need</w:t>
      </w:r>
      <w:r w:rsidR="009B3517" w:rsidRPr="00614514">
        <w:rPr>
          <w:rFonts w:eastAsia="Jacobs Chronos"/>
        </w:rPr>
        <w:t>.</w:t>
      </w:r>
      <w:r w:rsidR="00614514">
        <w:rPr>
          <w:rFonts w:eastAsia="Jacobs Chronos"/>
        </w:rPr>
        <w:t xml:space="preserve"> Rail c</w:t>
      </w:r>
      <w:r w:rsidR="00B02679" w:rsidRPr="00614514">
        <w:rPr>
          <w:rFonts w:eastAsia="Jacobs Chronos"/>
        </w:rPr>
        <w:t xml:space="preserve">orridor enhancements can complement and be complemented by other transport interventions as part of an inclusive transport network. As a standalone group of interventions, this </w:t>
      </w:r>
      <w:r w:rsidR="00C13A48">
        <w:rPr>
          <w:rFonts w:eastAsia="Jacobs Chronos"/>
        </w:rPr>
        <w:t>recommendation</w:t>
      </w:r>
      <w:r w:rsidR="00B02679" w:rsidRPr="00614514">
        <w:rPr>
          <w:rFonts w:eastAsia="Jacobs Chronos"/>
        </w:rPr>
        <w:t xml:space="preserve"> would not have a significant impact on protected characteristic groups. </w:t>
      </w:r>
      <w:r w:rsidR="00614514">
        <w:rPr>
          <w:rFonts w:eastAsia="Jacobs Chronos"/>
        </w:rPr>
        <w:t>However, b</w:t>
      </w:r>
      <w:r w:rsidR="00B02679" w:rsidRPr="00614514">
        <w:rPr>
          <w:rFonts w:eastAsia="Jacobs Chronos"/>
        </w:rPr>
        <w:t xml:space="preserve">y encouraging modal shift from private car to rail and freight mode shift from </w:t>
      </w:r>
      <w:r w:rsidR="00BA4EB9">
        <w:rPr>
          <w:rFonts w:eastAsia="Jacobs Chronos"/>
        </w:rPr>
        <w:t>heavy goods vehicles (</w:t>
      </w:r>
      <w:r w:rsidR="00B02679" w:rsidRPr="00614514">
        <w:rPr>
          <w:rFonts w:eastAsia="Jacobs Chronos"/>
        </w:rPr>
        <w:t>HGVs</w:t>
      </w:r>
      <w:r w:rsidR="00BA4EB9">
        <w:rPr>
          <w:rFonts w:eastAsia="Jacobs Chronos"/>
        </w:rPr>
        <w:t>)</w:t>
      </w:r>
      <w:r w:rsidR="00B02679" w:rsidRPr="00614514">
        <w:rPr>
          <w:rFonts w:eastAsia="Jacobs Chronos"/>
        </w:rPr>
        <w:t xml:space="preserve"> to rail, </w:t>
      </w:r>
      <w:r w:rsidR="002C4BAD">
        <w:rPr>
          <w:rFonts w:eastAsia="Jacobs Chronos"/>
        </w:rPr>
        <w:t xml:space="preserve">interventions </w:t>
      </w:r>
      <w:r w:rsidR="00B02679" w:rsidRPr="00614514">
        <w:rPr>
          <w:rFonts w:eastAsia="Jacobs Chronos"/>
        </w:rPr>
        <w:t>could contribute to improving local air quality. Improved health outcomes as a result of better air quality are of particular benefit to those who are more vulnerable to air pollution, including children, older people and disabled people.</w:t>
      </w:r>
    </w:p>
    <w:p w14:paraId="1045B111" w14:textId="02D3670C" w:rsidR="00CB44E3" w:rsidRDefault="00CB44E3">
      <w:pPr>
        <w:pStyle w:val="STPR2BulletsLevel1"/>
        <w:rPr>
          <w:rFonts w:eastAsia="Jacobs Chronos"/>
        </w:rPr>
      </w:pPr>
      <w:r>
        <w:rPr>
          <w:rFonts w:eastAsia="Jacobs Chronos"/>
        </w:rPr>
        <w:t>I</w:t>
      </w:r>
      <w:r w:rsidRPr="00CB44E3">
        <w:rPr>
          <w:rFonts w:eastAsia="Jacobs Chronos"/>
        </w:rPr>
        <w:t xml:space="preserve">mproving ferry </w:t>
      </w:r>
      <w:r w:rsidR="002E780A">
        <w:rPr>
          <w:rFonts w:eastAsia="Jacobs Chronos"/>
        </w:rPr>
        <w:t>terminals</w:t>
      </w:r>
      <w:r w:rsidRPr="00CB44E3">
        <w:rPr>
          <w:rFonts w:eastAsia="Jacobs Chronos"/>
        </w:rPr>
        <w:t xml:space="preserve"> and harbour infrastructure is likely to have a minor positive impact on</w:t>
      </w:r>
      <w:r w:rsidR="007C44DB">
        <w:rPr>
          <w:rFonts w:eastAsia="Jacobs Chronos"/>
        </w:rPr>
        <w:t xml:space="preserve"> groups</w:t>
      </w:r>
      <w:r w:rsidRPr="00CB44E3">
        <w:rPr>
          <w:rFonts w:eastAsia="Jacobs Chronos"/>
        </w:rPr>
        <w:t xml:space="preserve"> with protected characteristics. Residents of island communities would benefit from improved connectivity and the </w:t>
      </w:r>
      <w:r w:rsidR="007E3987">
        <w:rPr>
          <w:rFonts w:eastAsia="Jacobs Chronos"/>
        </w:rPr>
        <w:t xml:space="preserve">interventions </w:t>
      </w:r>
      <w:r w:rsidR="007F2BD4">
        <w:rPr>
          <w:rFonts w:eastAsia="Jacobs Chronos"/>
        </w:rPr>
        <w:t>c</w:t>
      </w:r>
      <w:r w:rsidRPr="00CB44E3">
        <w:rPr>
          <w:rFonts w:eastAsia="Jacobs Chronos"/>
        </w:rPr>
        <w:t xml:space="preserve">ould improve access to key services such as health facilities, which would benefit older people, disabled people, women (including pregnancy and maternity) and children. Increased capacity and enhancements for freight would improve the transportation of goods to island </w:t>
      </w:r>
      <w:r w:rsidR="00A90E0B">
        <w:rPr>
          <w:rFonts w:eastAsia="Jacobs Chronos"/>
        </w:rPr>
        <w:t>communities</w:t>
      </w:r>
      <w:r w:rsidRPr="00CB44E3">
        <w:rPr>
          <w:rFonts w:eastAsia="Jacobs Chronos"/>
        </w:rPr>
        <w:t xml:space="preserve"> which is of particular benefit to those who have more barriers to travel such as affordability or mobility restrictions</w:t>
      </w:r>
      <w:r w:rsidR="00FE0123">
        <w:rPr>
          <w:rFonts w:eastAsia="Jacobs Chronos"/>
        </w:rPr>
        <w:t>, for example</w:t>
      </w:r>
      <w:r w:rsidRPr="00CB44E3">
        <w:rPr>
          <w:rFonts w:eastAsia="Jacobs Chronos"/>
        </w:rPr>
        <w:t xml:space="preserve"> older people and disabled</w:t>
      </w:r>
      <w:r w:rsidR="000A6347">
        <w:rPr>
          <w:rFonts w:eastAsia="Jacobs Chronos"/>
        </w:rPr>
        <w:t> </w:t>
      </w:r>
      <w:r w:rsidRPr="00CB44E3">
        <w:rPr>
          <w:rFonts w:eastAsia="Jacobs Chronos"/>
        </w:rPr>
        <w:t>people.</w:t>
      </w:r>
    </w:p>
    <w:p w14:paraId="0B94A96E" w14:textId="11A14FA1" w:rsidR="0065484B" w:rsidRDefault="0065484B">
      <w:pPr>
        <w:pStyle w:val="STPR2BulletsLevel1"/>
      </w:pPr>
      <w:r>
        <w:lastRenderedPageBreak/>
        <w:t xml:space="preserve">However, the extent to which groups with protected characteristics will benefit from enhanced access to public transport will depend on the location </w:t>
      </w:r>
      <w:r w:rsidR="00C616BC">
        <w:t xml:space="preserve">of routes and their proximity </w:t>
      </w:r>
      <w:r>
        <w:t>to local facilities</w:t>
      </w:r>
      <w:r w:rsidR="00C616BC">
        <w:t xml:space="preserve"> as well as the</w:t>
      </w:r>
      <w:r w:rsidR="00B6693C">
        <w:t xml:space="preserve"> affordability of public transport fares</w:t>
      </w:r>
      <w:r>
        <w:t>.</w:t>
      </w:r>
    </w:p>
    <w:p w14:paraId="42EC1307" w14:textId="7E6625F8" w:rsidR="00AB04F6" w:rsidRPr="00AB04F6" w:rsidRDefault="003D3334" w:rsidP="00982754">
      <w:pPr>
        <w:pStyle w:val="Heading2"/>
        <w:keepNext/>
        <w:keepLines/>
      </w:pPr>
      <w:bookmarkStart w:id="2031" w:name="_Toc121233813"/>
      <w:r>
        <w:t>Decarboni</w:t>
      </w:r>
      <w:r w:rsidR="00FB590B">
        <w:t>sing</w:t>
      </w:r>
      <w:r>
        <w:t xml:space="preserve"> Transport</w:t>
      </w:r>
      <w:bookmarkEnd w:id="2031"/>
    </w:p>
    <w:p w14:paraId="72BA909F" w14:textId="276D2D12" w:rsidR="009E2081" w:rsidRPr="00C77B68" w:rsidRDefault="009E2081" w:rsidP="00B5412F">
      <w:pPr>
        <w:pStyle w:val="STPR2BodyText"/>
      </w:pPr>
      <w:r w:rsidRPr="00C77B68">
        <w:t>Recommendations include:</w:t>
      </w:r>
    </w:p>
    <w:p w14:paraId="0090AF64" w14:textId="3E9AC06F" w:rsidR="00A80CFC" w:rsidRPr="00C77B68" w:rsidRDefault="00A80CFC" w:rsidP="007C7756">
      <w:pPr>
        <w:pStyle w:val="STPR2BulletsLevel1"/>
      </w:pPr>
      <w:r w:rsidRPr="00C77B68">
        <w:t xml:space="preserve">Ferry </w:t>
      </w:r>
      <w:r w:rsidR="000440F5">
        <w:t>v</w:t>
      </w:r>
      <w:r w:rsidRPr="00C77B68">
        <w:t>essel renewal and replacement and progressive decarbonisation (</w:t>
      </w:r>
      <w:r w:rsidR="00BE71D2" w:rsidRPr="00C77B68">
        <w:t>2</w:t>
      </w:r>
      <w:r w:rsidRPr="00C77B68">
        <w:t>4)</w:t>
      </w:r>
    </w:p>
    <w:p w14:paraId="0706D547" w14:textId="7C6CA8F6" w:rsidR="00A80CFC" w:rsidRPr="00C77B68" w:rsidRDefault="000E571E" w:rsidP="00C23F99">
      <w:pPr>
        <w:pStyle w:val="STPR2BulletsLevel1"/>
      </w:pPr>
      <w:r>
        <w:t>D</w:t>
      </w:r>
      <w:r w:rsidR="00A80CFC" w:rsidRPr="00C77B68">
        <w:t xml:space="preserve">ecarbonisation </w:t>
      </w:r>
      <w:r>
        <w:t>of the rail network</w:t>
      </w:r>
      <w:r w:rsidR="00A80CFC" w:rsidRPr="00C77B68">
        <w:t xml:space="preserve"> (2</w:t>
      </w:r>
      <w:r w:rsidR="00BE71D2" w:rsidRPr="00C77B68">
        <w:t>5</w:t>
      </w:r>
      <w:r w:rsidR="00A80CFC" w:rsidRPr="00C77B68">
        <w:t>)</w:t>
      </w:r>
    </w:p>
    <w:p w14:paraId="3160F63F" w14:textId="0B098CE1" w:rsidR="00040B1A" w:rsidRPr="00C77B68" w:rsidRDefault="00040B1A" w:rsidP="007F2389">
      <w:pPr>
        <w:pStyle w:val="STPR2BulletsLevel1"/>
      </w:pPr>
      <w:r w:rsidRPr="00C77B68">
        <w:t>Decarbonis</w:t>
      </w:r>
      <w:r w:rsidR="00A80CFC" w:rsidRPr="00C77B68">
        <w:t>ation of</w:t>
      </w:r>
      <w:r w:rsidRPr="00C77B68">
        <w:t xml:space="preserve"> </w:t>
      </w:r>
      <w:r w:rsidR="000E571E">
        <w:t xml:space="preserve">the </w:t>
      </w:r>
      <w:r w:rsidRPr="00C77B68">
        <w:t>bus network</w:t>
      </w:r>
      <w:r w:rsidR="00617E6B" w:rsidRPr="00C77B68">
        <w:t xml:space="preserve"> (</w:t>
      </w:r>
      <w:r w:rsidR="00BE71D2" w:rsidRPr="00C77B68">
        <w:t>26</w:t>
      </w:r>
      <w:r w:rsidR="00617E6B" w:rsidRPr="00C77B68">
        <w:t>)</w:t>
      </w:r>
    </w:p>
    <w:p w14:paraId="5133FADD" w14:textId="36C5501A" w:rsidR="00BE71D2" w:rsidRPr="00C77B68" w:rsidRDefault="00BE71D2">
      <w:pPr>
        <w:pStyle w:val="STPR2BulletsLevel1"/>
      </w:pPr>
      <w:r w:rsidRPr="00C77B68">
        <w:t>Behaviour</w:t>
      </w:r>
      <w:r w:rsidR="00E51ED3">
        <w:t>al</w:t>
      </w:r>
      <w:r w:rsidRPr="00C77B68">
        <w:t xml:space="preserve"> change and modal shift for freight (27)</w:t>
      </w:r>
    </w:p>
    <w:p w14:paraId="2392B50D" w14:textId="0799CDF4" w:rsidR="00040B1A" w:rsidRPr="00C77B68" w:rsidRDefault="00AE1C45">
      <w:pPr>
        <w:pStyle w:val="STPR2BulletsLevel1"/>
      </w:pPr>
      <w:r w:rsidRPr="00C77B68">
        <w:t xml:space="preserve">Zero emission </w:t>
      </w:r>
      <w:r w:rsidR="00FB590B" w:rsidRPr="00C77B68">
        <w:t>vehicle</w:t>
      </w:r>
      <w:r w:rsidR="00A80CFC" w:rsidRPr="00C77B68">
        <w:t>s</w:t>
      </w:r>
      <w:r w:rsidR="00FB590B" w:rsidRPr="00C77B68">
        <w:t xml:space="preserve"> and</w:t>
      </w:r>
      <w:r w:rsidRPr="00C77B68">
        <w:t xml:space="preserve"> infrastructure transition</w:t>
      </w:r>
      <w:r w:rsidR="00387E46" w:rsidRPr="00C77B68">
        <w:t xml:space="preserve"> (</w:t>
      </w:r>
      <w:r w:rsidR="00BE71D2" w:rsidRPr="00C77B68">
        <w:t>28</w:t>
      </w:r>
      <w:r w:rsidR="00387E46" w:rsidRPr="00C77B68">
        <w:t>)</w:t>
      </w:r>
    </w:p>
    <w:p w14:paraId="6319E14D" w14:textId="01563AC4" w:rsidR="00E175BE" w:rsidRPr="00CB44E3" w:rsidRDefault="004D0851" w:rsidP="004822D8">
      <w:pPr>
        <w:pStyle w:val="Heading4"/>
      </w:pPr>
      <w:r>
        <w:t>Summary of p</w:t>
      </w:r>
      <w:r w:rsidR="00E175BE" w:rsidRPr="00CB44E3">
        <w:t xml:space="preserve">otential </w:t>
      </w:r>
      <w:r>
        <w:t>i</w:t>
      </w:r>
      <w:r w:rsidR="00E175BE" w:rsidRPr="00CB44E3">
        <w:t>mpacts on protected characteristic groups:</w:t>
      </w:r>
    </w:p>
    <w:p w14:paraId="31D6B874" w14:textId="4F24BB9F" w:rsidR="00CC57CD" w:rsidRDefault="00CC57CD" w:rsidP="00352646">
      <w:pPr>
        <w:pStyle w:val="STPR2BulletsLevel1"/>
      </w:pPr>
      <w:r>
        <w:t>Decarbonisation of bus</w:t>
      </w:r>
      <w:r w:rsidR="00496EBA">
        <w:t xml:space="preserve"> /</w:t>
      </w:r>
      <w:r>
        <w:t xml:space="preserve"> rail</w:t>
      </w:r>
      <w:r w:rsidR="00496EBA">
        <w:t xml:space="preserve"> /</w:t>
      </w:r>
      <w:r>
        <w:t xml:space="preserve"> ferry travel </w:t>
      </w:r>
      <w:r w:rsidR="00EB783C">
        <w:t xml:space="preserve">and the transition to zero emission infrastructure </w:t>
      </w:r>
      <w:r w:rsidR="000237E3">
        <w:t>w</w:t>
      </w:r>
      <w:r w:rsidR="00822690">
        <w:t>ould</w:t>
      </w:r>
      <w:r>
        <w:t xml:space="preserve"> all have</w:t>
      </w:r>
      <w:r w:rsidR="000237E3">
        <w:t xml:space="preserve"> potential</w:t>
      </w:r>
      <w:r>
        <w:t xml:space="preserve"> positive impacts on groups who are more vulnerable to the adverse health impacts of transport-related emissions and air pollution. This includes children, older people, disabled people and pregnant women. However, the benefits of decarbonisation of transport services are likely to be </w:t>
      </w:r>
      <w:r w:rsidR="00E10DAC">
        <w:t>dispersed and</w:t>
      </w:r>
      <w:r>
        <w:t xml:space="preserve"> local to key transport routes</w:t>
      </w:r>
      <w:r w:rsidR="007E297B">
        <w:t>, station</w:t>
      </w:r>
      <w:r w:rsidR="00AC67ED">
        <w:t>s</w:t>
      </w:r>
      <w:r w:rsidR="008146F4">
        <w:t>,</w:t>
      </w:r>
      <w:r w:rsidR="00FA446E">
        <w:t xml:space="preserve"> </w:t>
      </w:r>
      <w:r w:rsidR="00666AC2">
        <w:t>stops</w:t>
      </w:r>
      <w:r w:rsidR="007E297B">
        <w:t xml:space="preserve"> and ferry ports</w:t>
      </w:r>
      <w:r>
        <w:t>. As such, the extent to which these benefits will be realised will depend on the in</w:t>
      </w:r>
      <w:r w:rsidR="0008322D">
        <w:t xml:space="preserve">terventions </w:t>
      </w:r>
      <w:r w:rsidR="00AC67ED">
        <w:t>for</w:t>
      </w:r>
      <w:r w:rsidR="0008322D">
        <w:t xml:space="preserve"> </w:t>
      </w:r>
      <w:r w:rsidR="00AC67ED">
        <w:t xml:space="preserve">decarbonised transport </w:t>
      </w:r>
      <w:r w:rsidR="0008322D">
        <w:t xml:space="preserve">being </w:t>
      </w:r>
      <w:r w:rsidR="00F048C1">
        <w:t>located</w:t>
      </w:r>
      <w:r>
        <w:t xml:space="preserve"> within areas of the highest levels of air pollution</w:t>
      </w:r>
      <w:r w:rsidR="00F048C1">
        <w:t xml:space="preserve"> and areas with </w:t>
      </w:r>
      <w:r w:rsidR="0040666D">
        <w:t xml:space="preserve">a </w:t>
      </w:r>
      <w:r w:rsidR="00F048C1">
        <w:t>high proportion of more vulnerable groups</w:t>
      </w:r>
      <w:r>
        <w:t>.</w:t>
      </w:r>
    </w:p>
    <w:p w14:paraId="0A17BC70" w14:textId="4A98E874" w:rsidR="004C6BF4" w:rsidRDefault="004C6BF4" w:rsidP="007C7756">
      <w:pPr>
        <w:pStyle w:val="STPR2BulletsLevel1"/>
      </w:pPr>
      <w:r>
        <w:t xml:space="preserve">Further </w:t>
      </w:r>
      <w:r w:rsidR="00706E4E">
        <w:t>benefits</w:t>
      </w:r>
      <w:r>
        <w:t xml:space="preserve"> may be </w:t>
      </w:r>
      <w:r w:rsidR="00706E4E">
        <w:t>realised</w:t>
      </w:r>
      <w:r>
        <w:t xml:space="preserve"> through the procurement of new vehi</w:t>
      </w:r>
      <w:r w:rsidR="003B5829">
        <w:t xml:space="preserve">cles and </w:t>
      </w:r>
      <w:r w:rsidR="00706E4E">
        <w:t>infrastructure</w:t>
      </w:r>
      <w:r>
        <w:t xml:space="preserve"> which would potentially be designed to improved accessibility standards tha</w:t>
      </w:r>
      <w:r w:rsidR="00A02FBF">
        <w:t>n</w:t>
      </w:r>
      <w:r>
        <w:t xml:space="preserve"> </w:t>
      </w:r>
      <w:r w:rsidR="00AE1C5E">
        <w:t>at present</w:t>
      </w:r>
      <w:r w:rsidR="00AA4BEE">
        <w:t>. This would be of benefit to those with accessibility limitations including older people, disabled people and pregnant women or traveller</w:t>
      </w:r>
      <w:r w:rsidR="00AE1C5E">
        <w:t>s</w:t>
      </w:r>
      <w:r w:rsidR="00AA4BEE">
        <w:t xml:space="preserve"> with pushchairs or young children.</w:t>
      </w:r>
    </w:p>
    <w:p w14:paraId="6BB508FC" w14:textId="399FAD6F" w:rsidR="007E297B" w:rsidRDefault="00E4259C" w:rsidP="00E4259C">
      <w:pPr>
        <w:pStyle w:val="Heading2"/>
      </w:pPr>
      <w:bookmarkStart w:id="2032" w:name="_Toc121233814"/>
      <w:r>
        <w:t xml:space="preserve">Increasing Safety and </w:t>
      </w:r>
      <w:r w:rsidR="00D23113">
        <w:t>Resilience on the Strategic Transport</w:t>
      </w:r>
      <w:r w:rsidR="000A6347">
        <w:t> </w:t>
      </w:r>
      <w:r w:rsidR="00D23113">
        <w:t>Network</w:t>
      </w:r>
      <w:bookmarkEnd w:id="2032"/>
    </w:p>
    <w:p w14:paraId="43409F18" w14:textId="77878819" w:rsidR="003F02FC" w:rsidRPr="00C77B68" w:rsidRDefault="003F02FC" w:rsidP="00352646">
      <w:pPr>
        <w:pStyle w:val="STPR2BodyText"/>
        <w:rPr>
          <w:rFonts w:eastAsia="Jacobs Chronos"/>
        </w:rPr>
      </w:pPr>
      <w:r w:rsidRPr="00C77B68">
        <w:rPr>
          <w:rFonts w:eastAsia="Jacobs Chronos"/>
        </w:rPr>
        <w:t>Recommendations include:</w:t>
      </w:r>
    </w:p>
    <w:p w14:paraId="658E3D2F" w14:textId="15961C42" w:rsidR="00107349" w:rsidRPr="00C77B68" w:rsidRDefault="00107349" w:rsidP="007C7756">
      <w:pPr>
        <w:pStyle w:val="STPR2BulletsLevel1"/>
        <w:rPr>
          <w:rFonts w:eastAsia="Jacobs Chronos"/>
        </w:rPr>
      </w:pPr>
      <w:r w:rsidRPr="00C77B68">
        <w:rPr>
          <w:rFonts w:eastAsia="Jacobs Chronos"/>
        </w:rPr>
        <w:t xml:space="preserve">Access to Argyll </w:t>
      </w:r>
      <w:r w:rsidR="00D55041" w:rsidRPr="00C77B68">
        <w:rPr>
          <w:rFonts w:eastAsia="Jacobs Chronos"/>
        </w:rPr>
        <w:t xml:space="preserve">A83 </w:t>
      </w:r>
      <w:r w:rsidRPr="00C77B68">
        <w:rPr>
          <w:rFonts w:eastAsia="Jacobs Chronos"/>
        </w:rPr>
        <w:t>(</w:t>
      </w:r>
      <w:r w:rsidR="00D55041" w:rsidRPr="00C77B68">
        <w:rPr>
          <w:rFonts w:eastAsia="Jacobs Chronos"/>
        </w:rPr>
        <w:t>29</w:t>
      </w:r>
      <w:r w:rsidRPr="00C77B68">
        <w:rPr>
          <w:rFonts w:eastAsia="Jacobs Chronos"/>
        </w:rPr>
        <w:t>)</w:t>
      </w:r>
    </w:p>
    <w:p w14:paraId="3AC6E000" w14:textId="1FE7C85F" w:rsidR="00D55041" w:rsidRPr="00C77B68" w:rsidRDefault="00D55041" w:rsidP="00C23F99">
      <w:pPr>
        <w:pStyle w:val="STPR2BulletsLevel1"/>
        <w:rPr>
          <w:rFonts w:eastAsia="Jacobs Chronos"/>
        </w:rPr>
      </w:pPr>
      <w:r w:rsidRPr="00C77B68">
        <w:rPr>
          <w:rFonts w:eastAsia="Jacobs Chronos"/>
        </w:rPr>
        <w:t xml:space="preserve">Trunk road and motorway safety improvements </w:t>
      </w:r>
      <w:r w:rsidR="001C2F3F" w:rsidRPr="001C2F3F">
        <w:rPr>
          <w:rFonts w:eastAsia="Jacobs Chronos"/>
        </w:rPr>
        <w:t xml:space="preserve">to progress towards ‘Vision Zero’ </w:t>
      </w:r>
      <w:r w:rsidRPr="00C77B68">
        <w:rPr>
          <w:rFonts w:eastAsia="Jacobs Chronos"/>
        </w:rPr>
        <w:t>(30)</w:t>
      </w:r>
    </w:p>
    <w:p w14:paraId="1271D17F" w14:textId="79B14C9E" w:rsidR="00D55041" w:rsidRPr="00C77B68" w:rsidRDefault="00D6744F" w:rsidP="007F2389">
      <w:pPr>
        <w:pStyle w:val="STPR2BulletsLevel1"/>
        <w:rPr>
          <w:rFonts w:eastAsia="Jacobs Chronos"/>
        </w:rPr>
      </w:pPr>
      <w:r w:rsidRPr="00C77B68">
        <w:rPr>
          <w:rFonts w:eastAsia="Jacobs Chronos"/>
        </w:rPr>
        <w:t>Trunk road and motorway climate change adap</w:t>
      </w:r>
      <w:r w:rsidR="001C2F3F">
        <w:rPr>
          <w:rFonts w:eastAsia="Jacobs Chronos"/>
        </w:rPr>
        <w:t>ta</w:t>
      </w:r>
      <w:r w:rsidRPr="00C77B68">
        <w:rPr>
          <w:rFonts w:eastAsia="Jacobs Chronos"/>
        </w:rPr>
        <w:t>tion and resilience (31)</w:t>
      </w:r>
    </w:p>
    <w:p w14:paraId="47EFC325" w14:textId="627E675C" w:rsidR="00D6744F" w:rsidRPr="00C77B68" w:rsidRDefault="00D6744F">
      <w:pPr>
        <w:pStyle w:val="STPR2BulletsLevel1"/>
        <w:rPr>
          <w:rFonts w:eastAsia="Jacobs Chronos"/>
        </w:rPr>
      </w:pPr>
      <w:r w:rsidRPr="00C77B68">
        <w:rPr>
          <w:rFonts w:eastAsia="Jacobs Chronos"/>
        </w:rPr>
        <w:t>Trunk road and motorway renewal for reliability, resilience and safety (32)</w:t>
      </w:r>
    </w:p>
    <w:p w14:paraId="0A827196" w14:textId="70F8F237" w:rsidR="006F64DA" w:rsidRPr="006F64DA" w:rsidRDefault="006F64DA">
      <w:pPr>
        <w:pStyle w:val="STPR2BulletsLevel1"/>
        <w:rPr>
          <w:rFonts w:eastAsia="Jacobs Chronos"/>
        </w:rPr>
      </w:pPr>
      <w:r w:rsidRPr="006F64DA">
        <w:rPr>
          <w:rFonts w:eastAsia="Jacobs Chronos"/>
        </w:rPr>
        <w:t xml:space="preserve">Future Intelligent Transport Systems (33) </w:t>
      </w:r>
    </w:p>
    <w:p w14:paraId="494C42D6" w14:textId="220048C7" w:rsidR="006F64DA" w:rsidRPr="006F64DA" w:rsidRDefault="006F64DA">
      <w:pPr>
        <w:pStyle w:val="STPR2BulletsLevel1"/>
        <w:rPr>
          <w:rFonts w:eastAsia="Jacobs Chronos"/>
        </w:rPr>
      </w:pPr>
      <w:r w:rsidRPr="006F64DA">
        <w:rPr>
          <w:rFonts w:eastAsia="Jacobs Chronos"/>
        </w:rPr>
        <w:t>Traffic Scotland System Renewal (34)</w:t>
      </w:r>
    </w:p>
    <w:p w14:paraId="638F2353" w14:textId="77777777" w:rsidR="00EC550E" w:rsidRDefault="006F64DA">
      <w:pPr>
        <w:pStyle w:val="STPR2BulletsLevel1"/>
        <w:rPr>
          <w:rFonts w:eastAsia="Jacobs Chronos"/>
        </w:rPr>
      </w:pPr>
      <w:r w:rsidRPr="006F64DA">
        <w:rPr>
          <w:rFonts w:eastAsia="Jacobs Chronos"/>
        </w:rPr>
        <w:t>Intelligent Transport System renewal and replacement (35)</w:t>
      </w:r>
    </w:p>
    <w:p w14:paraId="4472D455" w14:textId="54ABF2D1" w:rsidR="00A57BAC" w:rsidRPr="00C77B68" w:rsidRDefault="00A57BAC">
      <w:pPr>
        <w:pStyle w:val="STPR2BulletsLevel1"/>
        <w:rPr>
          <w:rFonts w:eastAsia="Jacobs Chronos"/>
        </w:rPr>
      </w:pPr>
      <w:r w:rsidRPr="00C77B68">
        <w:rPr>
          <w:rFonts w:eastAsia="Jacobs Chronos"/>
        </w:rPr>
        <w:t>Strategy for improving rest and welfare facilities for hauliers (36)</w:t>
      </w:r>
    </w:p>
    <w:p w14:paraId="12BA3F36" w14:textId="710062F9" w:rsidR="00A57BAC" w:rsidRPr="00C77B68" w:rsidRDefault="00A57BAC">
      <w:pPr>
        <w:pStyle w:val="STPR2BulletsLevel1"/>
        <w:rPr>
          <w:rFonts w:eastAsia="Jacobs Chronos"/>
        </w:rPr>
      </w:pPr>
      <w:r w:rsidRPr="00C77B68">
        <w:rPr>
          <w:rFonts w:eastAsia="Jacobs Chronos"/>
        </w:rPr>
        <w:t>Improving active travel on trunk roads through communities (37)</w:t>
      </w:r>
    </w:p>
    <w:p w14:paraId="36E1D23C" w14:textId="12EF2321" w:rsidR="00A57BAC" w:rsidRPr="00C77B68" w:rsidRDefault="00A57BAC">
      <w:pPr>
        <w:pStyle w:val="STPR2BulletsLevel1"/>
        <w:rPr>
          <w:rFonts w:eastAsia="Jacobs Chronos"/>
        </w:rPr>
      </w:pPr>
      <w:r w:rsidRPr="00C77B68">
        <w:rPr>
          <w:rFonts w:eastAsia="Jacobs Chronos"/>
        </w:rPr>
        <w:t xml:space="preserve">Speed management plan (38) </w:t>
      </w:r>
    </w:p>
    <w:p w14:paraId="3CD58ECF" w14:textId="3EB4497B" w:rsidR="00E175BE" w:rsidRDefault="004D0851" w:rsidP="004822D8">
      <w:pPr>
        <w:pStyle w:val="Heading4"/>
      </w:pPr>
      <w:r>
        <w:lastRenderedPageBreak/>
        <w:t>Summary of p</w:t>
      </w:r>
      <w:r w:rsidR="00E175BE" w:rsidRPr="007E227D">
        <w:t xml:space="preserve">otential </w:t>
      </w:r>
      <w:r>
        <w:t>i</w:t>
      </w:r>
      <w:r w:rsidR="00E175BE" w:rsidRPr="007E227D">
        <w:t>mpacts on protected characteristic groups:</w:t>
      </w:r>
    </w:p>
    <w:p w14:paraId="3C4CFD64" w14:textId="5006C407" w:rsidR="00A8314D" w:rsidRDefault="006B2E91" w:rsidP="00352646">
      <w:pPr>
        <w:pStyle w:val="STPR2BulletsLevel1"/>
      </w:pPr>
      <w:r>
        <w:t>Measures to increase safety and resilience on the strategic road network</w:t>
      </w:r>
      <w:r w:rsidR="00ED22B0">
        <w:t xml:space="preserve"> would have </w:t>
      </w:r>
      <w:r w:rsidR="00CC0200" w:rsidRPr="00A8314D">
        <w:t>negligible</w:t>
      </w:r>
      <w:r w:rsidR="00ED22B0" w:rsidRPr="00A8314D">
        <w:t xml:space="preserve"> </w:t>
      </w:r>
      <w:r w:rsidR="00ED22B0">
        <w:t>impacts on protected characteristic groups</w:t>
      </w:r>
      <w:r w:rsidR="005371C0">
        <w:t xml:space="preserve"> overall</w:t>
      </w:r>
      <w:r w:rsidR="00ED22B0">
        <w:t>.</w:t>
      </w:r>
      <w:r w:rsidR="009B4859">
        <w:t xml:space="preserve"> However</w:t>
      </w:r>
      <w:r w:rsidR="005371C0">
        <w:t>, there are potent</w:t>
      </w:r>
      <w:r w:rsidR="00A8314D">
        <w:t>ial positive benefits that may be experienced locally.</w:t>
      </w:r>
    </w:p>
    <w:p w14:paraId="58928C34" w14:textId="671A7BCF" w:rsidR="00E610FE" w:rsidRDefault="00ED22B0" w:rsidP="007C7756">
      <w:pPr>
        <w:pStyle w:val="STPR2BulletsLevel1"/>
      </w:pPr>
      <w:r>
        <w:t>Increase</w:t>
      </w:r>
      <w:r w:rsidR="00A8314D">
        <w:t>d</w:t>
      </w:r>
      <w:r>
        <w:t xml:space="preserve"> safety and reliability of the trunk road network </w:t>
      </w:r>
      <w:r w:rsidR="00744677">
        <w:t>could</w:t>
      </w:r>
      <w:r>
        <w:t xml:space="preserve"> also potentially improve reliability of public transport</w:t>
      </w:r>
      <w:r w:rsidR="00671052">
        <w:t xml:space="preserve"> using the trunk road </w:t>
      </w:r>
      <w:r w:rsidR="0099147E">
        <w:t xml:space="preserve">and motorway </w:t>
      </w:r>
      <w:r w:rsidR="00671052">
        <w:t>network</w:t>
      </w:r>
      <w:r w:rsidR="00673CF3">
        <w:t>.</w:t>
      </w:r>
      <w:r w:rsidR="00912555">
        <w:t xml:space="preserve"> Furthermore, the installation of roadside ITS infrastructure could improve public transport journey times and reliability, and access to travel information. </w:t>
      </w:r>
      <w:r>
        <w:t xml:space="preserve">This would potentially provide </w:t>
      </w:r>
      <w:r w:rsidR="00744677">
        <w:t>minor positive</w:t>
      </w:r>
      <w:r>
        <w:t xml:space="preserve"> impacts for a wide range of protected characteristic groups who are more reliant on public transport services such as older people, children, young people, women and people from certain ethnic minority groups.</w:t>
      </w:r>
      <w:r w:rsidR="00705BEF">
        <w:t xml:space="preserve"> </w:t>
      </w:r>
    </w:p>
    <w:p w14:paraId="698288DC" w14:textId="21D2E837" w:rsidR="000C3150" w:rsidRDefault="000C3150" w:rsidP="00C23F99">
      <w:pPr>
        <w:pStyle w:val="STPR2BulletsLevel1"/>
      </w:pPr>
      <w:r>
        <w:t>Where the trunk road passes through a community, it often creates severance issues, particularly for vulnerable groups who may not have the confidence or ability to cross the trunk road to access local amenities.</w:t>
      </w:r>
      <w:r w:rsidR="007100CE">
        <w:t xml:space="preserve"> </w:t>
      </w:r>
      <w:r>
        <w:t xml:space="preserve">Evidence demonstrates that addressing severance issues around timing and attitudinal barriers, such as improved lighting to enhance real and perceived safety during the evening, and around omission barriers, such as wider pavements to address mobility barriers, would provide safe and accessible environments for walking, wheeling and cycling journeys. This in turn would improve access to services such as employment, education, health facilities and other transport services which are important to groups with protected characteristics such as </w:t>
      </w:r>
      <w:r w:rsidR="00EF5B4C">
        <w:t xml:space="preserve">children, </w:t>
      </w:r>
      <w:r>
        <w:t>women, disabled people and older people. The infrastructure installed to address trunk road severance would also be designed to incorporate adapted cycles and</w:t>
      </w:r>
      <w:r w:rsidR="008D2F92">
        <w:t>,</w:t>
      </w:r>
      <w:r>
        <w:t xml:space="preserve"> as such</w:t>
      </w:r>
      <w:r w:rsidR="008D2F92">
        <w:t>,</w:t>
      </w:r>
      <w:r>
        <w:t xml:space="preserve"> address further mobility issues experienced by these groups. </w:t>
      </w:r>
    </w:p>
    <w:p w14:paraId="4FD3267E" w14:textId="50DF54D4" w:rsidR="00C1287D" w:rsidRDefault="00477D79" w:rsidP="007F2389">
      <w:pPr>
        <w:pStyle w:val="STPR2BulletsLevel1"/>
      </w:pPr>
      <w:r w:rsidRPr="00477D79">
        <w:t xml:space="preserve">The positive impacts of road safety cameras and localised speed limit reductions on trunk roads are likely to have an overall negligible </w:t>
      </w:r>
      <w:r w:rsidR="00657026">
        <w:t>impact</w:t>
      </w:r>
      <w:r w:rsidR="00657026" w:rsidRPr="00477D79">
        <w:t xml:space="preserve"> </w:t>
      </w:r>
      <w:r w:rsidRPr="00477D79">
        <w:t>across equality groups. There would potentially be an improved sense of road safety and security for those walking, cycling and wheeling. This would provide some positive effects for protected characteristic groups who are more likely to walk or cycle or are more vulnerable to fear of road danger, including children, young people, women and older people. However, the extent to which positive effects could be realised would depend on the location of the safety cameras and speed limit reductions along with complementary measures implemented to improve safety for these groups.</w:t>
      </w:r>
    </w:p>
    <w:p w14:paraId="1D727AD6" w14:textId="60BF5D3B" w:rsidR="00E15F1D" w:rsidRDefault="007500A9">
      <w:pPr>
        <w:pStyle w:val="STPR2BulletsLevel1"/>
      </w:pPr>
      <w:r>
        <w:t>The improvement of w</w:t>
      </w:r>
      <w:r w:rsidR="00B00E28">
        <w:t xml:space="preserve">elfare facilities for hauliers </w:t>
      </w:r>
      <w:r>
        <w:t xml:space="preserve">will be developed under </w:t>
      </w:r>
      <w:r w:rsidR="00B00E28" w:rsidRPr="00B00E28">
        <w:t>an evidenced action plan for freight stops to be planned, managed, and delivered in the future. Although there is no direct benefit to the wider community, the development of safer and more inclusive facilities at lorry parking and rest stops could have a positive impact for those employed in the freight industry. In particular, women and other drivers with protected characteristics who are significantly underrepresented in the road haulage industry and could have greater security concerns and needs for certain specific welfare facilities.</w:t>
      </w:r>
    </w:p>
    <w:p w14:paraId="3321E41F" w14:textId="138B3E0D" w:rsidR="007500A9" w:rsidRDefault="007500A9" w:rsidP="000A6347">
      <w:pPr>
        <w:pStyle w:val="STPR2BulletsLevel1"/>
      </w:pPr>
      <w:r>
        <w:t>Whilst recommendations under this theme are not expected to have a notable impact on mode shift</w:t>
      </w:r>
      <w:r w:rsidR="00EE22B1">
        <w:t xml:space="preserve"> overall</w:t>
      </w:r>
      <w:r>
        <w:t>, a focus on adapting the existing network is not anticipated to increase traffic volumes or associated emissions and noise levels</w:t>
      </w:r>
      <w:r w:rsidR="005A2D5C">
        <w:t>, and there is</w:t>
      </w:r>
      <w:r>
        <w:t xml:space="preserve"> no likely impact on the health outcomes for some groups including children, older people, pregnant </w:t>
      </w:r>
      <w:r w:rsidR="00811E53">
        <w:t>women</w:t>
      </w:r>
      <w:r>
        <w:t>, and disabled people who are more vulnerable</w:t>
      </w:r>
      <w:r w:rsidR="00811E53">
        <w:t xml:space="preserve"> to</w:t>
      </w:r>
      <w:r>
        <w:t xml:space="preserve"> noise and air quality effects. However, further detailed assessment work is required to understand the significance of these impacts at </w:t>
      </w:r>
      <w:r w:rsidR="00811E53">
        <w:t xml:space="preserve">individual </w:t>
      </w:r>
      <w:r>
        <w:t>scheme</w:t>
      </w:r>
      <w:r w:rsidR="00811E53">
        <w:t xml:space="preserve"> and local</w:t>
      </w:r>
      <w:r>
        <w:t xml:space="preserve"> level.</w:t>
      </w:r>
    </w:p>
    <w:p w14:paraId="37D7D1EA" w14:textId="74C69654" w:rsidR="00010487" w:rsidRDefault="00A57BAC" w:rsidP="003F02FC">
      <w:pPr>
        <w:pStyle w:val="Heading2"/>
      </w:pPr>
      <w:bookmarkStart w:id="2033" w:name="_Toc121233815"/>
      <w:r w:rsidRPr="001D191F">
        <w:lastRenderedPageBreak/>
        <w:t>Strengthening</w:t>
      </w:r>
      <w:r w:rsidR="003F02FC">
        <w:t xml:space="preserve"> </w:t>
      </w:r>
      <w:r w:rsidR="00115988">
        <w:t>S</w:t>
      </w:r>
      <w:r w:rsidR="003F02FC">
        <w:t xml:space="preserve">trategic </w:t>
      </w:r>
      <w:r w:rsidR="00115988">
        <w:t>C</w:t>
      </w:r>
      <w:r w:rsidR="003F02FC">
        <w:t>onnections</w:t>
      </w:r>
      <w:bookmarkEnd w:id="2033"/>
    </w:p>
    <w:p w14:paraId="64C1462D" w14:textId="4E3083A4" w:rsidR="003F02FC" w:rsidRPr="00C77B68" w:rsidRDefault="003F02FC" w:rsidP="00352646">
      <w:pPr>
        <w:pStyle w:val="STPR2BodyText"/>
        <w:rPr>
          <w:rFonts w:eastAsia="Jacobs Chronos"/>
        </w:rPr>
      </w:pPr>
      <w:r w:rsidRPr="00C77B68">
        <w:rPr>
          <w:rFonts w:eastAsia="Jacobs Chronos"/>
        </w:rPr>
        <w:t>Recommendations include:</w:t>
      </w:r>
    </w:p>
    <w:p w14:paraId="2B767BF7" w14:textId="5278881B" w:rsidR="00A57BAC" w:rsidRPr="00C77B68" w:rsidRDefault="00A57BAC" w:rsidP="00352646">
      <w:pPr>
        <w:pStyle w:val="STPR2BulletsLevel1"/>
        <w:rPr>
          <w:rFonts w:eastAsia="Jacobs Chronos"/>
        </w:rPr>
      </w:pPr>
      <w:r w:rsidRPr="00C77B68">
        <w:rPr>
          <w:rFonts w:eastAsia="Jacobs Chronos"/>
        </w:rPr>
        <w:t>Sustainable access to Grangemouth Investment Zone (39)</w:t>
      </w:r>
    </w:p>
    <w:p w14:paraId="65C0E9B3" w14:textId="60E9D865" w:rsidR="00A57BAC" w:rsidRPr="00C77B68" w:rsidRDefault="007B0B70" w:rsidP="007C7756">
      <w:pPr>
        <w:pStyle w:val="STPR2BulletsLevel1"/>
        <w:rPr>
          <w:rFonts w:eastAsia="Jacobs Chronos"/>
        </w:rPr>
      </w:pPr>
      <w:r w:rsidRPr="00C77B68">
        <w:rPr>
          <w:rFonts w:eastAsia="Jacobs Chronos"/>
        </w:rPr>
        <w:t xml:space="preserve">Access to Stranraer and </w:t>
      </w:r>
      <w:r w:rsidR="000E67A9">
        <w:rPr>
          <w:rFonts w:eastAsia="Jacobs Chronos"/>
        </w:rPr>
        <w:t xml:space="preserve">the </w:t>
      </w:r>
      <w:r w:rsidRPr="00C77B68">
        <w:rPr>
          <w:rFonts w:eastAsia="Jacobs Chronos"/>
        </w:rPr>
        <w:t>ports at Cairnryan (40)</w:t>
      </w:r>
    </w:p>
    <w:p w14:paraId="4948DD16" w14:textId="6DC88FA8" w:rsidR="007B0B70" w:rsidRPr="00C77B68" w:rsidRDefault="007B0B70" w:rsidP="00C23F99">
      <w:pPr>
        <w:pStyle w:val="STPR2BulletsLevel1"/>
        <w:rPr>
          <w:rFonts w:eastAsia="Jacobs Chronos"/>
        </w:rPr>
      </w:pPr>
      <w:r w:rsidRPr="00C77B68">
        <w:rPr>
          <w:rFonts w:eastAsia="Jacobs Chronos"/>
        </w:rPr>
        <w:t xml:space="preserve">Potential </w:t>
      </w:r>
      <w:r w:rsidR="000E67A9" w:rsidRPr="000E67A9">
        <w:rPr>
          <w:rFonts w:eastAsia="Jacobs Chronos"/>
        </w:rPr>
        <w:t xml:space="preserve">Sounds of Harris, Sound of Barra fixed link and fixed link between Mull and Scottish mainland </w:t>
      </w:r>
      <w:r w:rsidRPr="00C77B68">
        <w:rPr>
          <w:rFonts w:eastAsia="Jacobs Chronos"/>
        </w:rPr>
        <w:t>(41)</w:t>
      </w:r>
    </w:p>
    <w:p w14:paraId="1F221043" w14:textId="25930ADA" w:rsidR="007B0B70" w:rsidRPr="00C77B68" w:rsidRDefault="007B0B70" w:rsidP="007F2389">
      <w:pPr>
        <w:pStyle w:val="STPR2BulletsLevel1"/>
        <w:rPr>
          <w:rFonts w:eastAsia="Jacobs Chronos"/>
        </w:rPr>
      </w:pPr>
      <w:r w:rsidRPr="00C77B68">
        <w:rPr>
          <w:rFonts w:eastAsia="Jacobs Chronos"/>
        </w:rPr>
        <w:t>Investment in port infrastructure</w:t>
      </w:r>
      <w:r w:rsidR="007A2AE5">
        <w:rPr>
          <w:rFonts w:eastAsia="Jacobs Chronos"/>
        </w:rPr>
        <w:t xml:space="preserve"> </w:t>
      </w:r>
      <w:r w:rsidR="007A2AE5" w:rsidRPr="007A2AE5">
        <w:rPr>
          <w:rFonts w:eastAsia="Jacobs Chronos"/>
        </w:rPr>
        <w:t>to support vessel renewal and replacement, and progressive decarbonisation</w:t>
      </w:r>
      <w:r w:rsidRPr="00C77B68">
        <w:rPr>
          <w:rFonts w:eastAsia="Jacobs Chronos"/>
        </w:rPr>
        <w:t xml:space="preserve"> (42)</w:t>
      </w:r>
    </w:p>
    <w:p w14:paraId="742BEC92" w14:textId="69F5961A" w:rsidR="007B0B70" w:rsidRPr="00C77B68" w:rsidRDefault="00AA3B32">
      <w:pPr>
        <w:pStyle w:val="STPR2BulletsLevel1"/>
        <w:rPr>
          <w:rFonts w:eastAsia="Jacobs Chronos"/>
        </w:rPr>
      </w:pPr>
      <w:r w:rsidRPr="00C77B68">
        <w:rPr>
          <w:rFonts w:eastAsia="Jacobs Chronos"/>
        </w:rPr>
        <w:t>Major station masterplans (43)</w:t>
      </w:r>
    </w:p>
    <w:p w14:paraId="0D8C60BB" w14:textId="1310AF77" w:rsidR="00AA3B32" w:rsidRPr="00C77B68" w:rsidRDefault="00AA3B32">
      <w:pPr>
        <w:pStyle w:val="STPR2BulletsLevel1"/>
        <w:rPr>
          <w:rFonts w:eastAsia="Jacobs Chronos"/>
        </w:rPr>
      </w:pPr>
      <w:r w:rsidRPr="00C77B68">
        <w:rPr>
          <w:rFonts w:eastAsia="Jacobs Chronos"/>
        </w:rPr>
        <w:t>Rail freight terminals and facilities (44)</w:t>
      </w:r>
    </w:p>
    <w:p w14:paraId="69712102" w14:textId="423C08DB" w:rsidR="005A004B" w:rsidRPr="00C77B68" w:rsidRDefault="00AA3B32">
      <w:pPr>
        <w:pStyle w:val="STPR2BulletsLevel1"/>
        <w:rPr>
          <w:rFonts w:eastAsia="Jacobs Chronos"/>
        </w:rPr>
      </w:pPr>
      <w:r w:rsidRPr="00C77B68">
        <w:rPr>
          <w:rFonts w:eastAsia="Jacobs Chronos"/>
        </w:rPr>
        <w:t>High speed and cross</w:t>
      </w:r>
      <w:r w:rsidR="00D51535">
        <w:rPr>
          <w:rFonts w:eastAsia="Jacobs Chronos"/>
        </w:rPr>
        <w:t>-</w:t>
      </w:r>
      <w:r w:rsidRPr="00C77B68">
        <w:rPr>
          <w:rFonts w:eastAsia="Jacobs Chronos"/>
        </w:rPr>
        <w:t>border rail enhancements (45)</w:t>
      </w:r>
    </w:p>
    <w:p w14:paraId="2BD60E85" w14:textId="5FD83F27" w:rsidR="00E175BE" w:rsidRPr="007775AD" w:rsidRDefault="004D0851">
      <w:pPr>
        <w:pStyle w:val="STPR2BodyText"/>
      </w:pPr>
      <w:r>
        <w:t>Summary of p</w:t>
      </w:r>
      <w:r w:rsidR="00E175BE" w:rsidRPr="00E46A72">
        <w:t xml:space="preserve">otential </w:t>
      </w:r>
      <w:r>
        <w:t>i</w:t>
      </w:r>
      <w:r w:rsidR="00E175BE" w:rsidRPr="007775AD">
        <w:t>mpacts on protected characteristic groups:</w:t>
      </w:r>
    </w:p>
    <w:p w14:paraId="7502EF4D" w14:textId="23D48E42" w:rsidR="00103D39" w:rsidRDefault="00875B2A">
      <w:pPr>
        <w:pStyle w:val="STPR2BulletsLevel1"/>
      </w:pPr>
      <w:r>
        <w:t>High speed and cross-border rail enhancements</w:t>
      </w:r>
      <w:r w:rsidR="005B25FE">
        <w:t xml:space="preserve"> could increase travel choice, improve connectivity and </w:t>
      </w:r>
      <w:r w:rsidR="009C68D0">
        <w:t xml:space="preserve">provide </w:t>
      </w:r>
      <w:r w:rsidR="005B25FE">
        <w:t xml:space="preserve">potential for improved safety on the transport network particularly those who are more reliant on public transport including older people, children, young people, women and people from certain ethnic minority groups. </w:t>
      </w:r>
      <w:r w:rsidR="00E840B1">
        <w:t xml:space="preserve">However, the extent to which groups with protected characteristics will </w:t>
      </w:r>
      <w:r w:rsidR="00103D39">
        <w:t xml:space="preserve">directly </w:t>
      </w:r>
      <w:r w:rsidR="00E840B1">
        <w:t xml:space="preserve">benefit from </w:t>
      </w:r>
      <w:r w:rsidR="009C68D0">
        <w:t xml:space="preserve">this recommendation </w:t>
      </w:r>
      <w:r w:rsidR="00E840B1">
        <w:t>w</w:t>
      </w:r>
      <w:r w:rsidR="004F2361">
        <w:t>ill</w:t>
      </w:r>
      <w:r w:rsidR="00E840B1">
        <w:t xml:space="preserve"> depend on the location of stations, the affordability of fares and ability for certain groups to access the </w:t>
      </w:r>
      <w:r w:rsidR="00C63B12">
        <w:t xml:space="preserve">rail </w:t>
      </w:r>
      <w:r w:rsidR="00E840B1">
        <w:t>network</w:t>
      </w:r>
      <w:r w:rsidR="00C63B12">
        <w:t xml:space="preserve"> associated with this</w:t>
      </w:r>
      <w:r w:rsidR="000A6347">
        <w:t> </w:t>
      </w:r>
      <w:r w:rsidR="00C63B12">
        <w:t>recommendation</w:t>
      </w:r>
      <w:r w:rsidR="00E840B1">
        <w:t xml:space="preserve">. </w:t>
      </w:r>
    </w:p>
    <w:p w14:paraId="044A3E8E" w14:textId="630557C6" w:rsidR="00E840B1" w:rsidRDefault="00DA1E39" w:rsidP="00982754">
      <w:pPr>
        <w:pStyle w:val="STPR2BulletsLevel1"/>
      </w:pPr>
      <w:r>
        <w:t>High speed and cross-border rail enhancement</w:t>
      </w:r>
      <w:r w:rsidR="00C5252D">
        <w:t>s</w:t>
      </w:r>
      <w:r>
        <w:t xml:space="preserve"> would</w:t>
      </w:r>
      <w:r w:rsidR="00103D39">
        <w:t xml:space="preserve"> also provide </w:t>
      </w:r>
      <w:r w:rsidR="005A73CE">
        <w:t>indirect benefits</w:t>
      </w:r>
      <w:r w:rsidR="00174AC8">
        <w:t>,</w:t>
      </w:r>
      <w:r w:rsidR="005A73CE">
        <w:t xml:space="preserve"> for example,</w:t>
      </w:r>
      <w:r w:rsidR="00E840B1">
        <w:t xml:space="preserve"> </w:t>
      </w:r>
      <w:r w:rsidR="00897E62">
        <w:t>through</w:t>
      </w:r>
      <w:r w:rsidR="00C5252D">
        <w:t xml:space="preserve"> reduc</w:t>
      </w:r>
      <w:r w:rsidR="00897E62">
        <w:t>ing</w:t>
      </w:r>
      <w:r w:rsidR="00C5252D">
        <w:t xml:space="preserve"> long-distance</w:t>
      </w:r>
      <w:r w:rsidR="00897E62">
        <w:t xml:space="preserve"> </w:t>
      </w:r>
      <w:r w:rsidR="00C5252D">
        <w:t>passenger service journey times and increas</w:t>
      </w:r>
      <w:r w:rsidR="003314BE">
        <w:t>ing</w:t>
      </w:r>
      <w:r w:rsidR="00C5252D">
        <w:t xml:space="preserve"> capacity and reliability for regional</w:t>
      </w:r>
      <w:r w:rsidR="00897E62">
        <w:t xml:space="preserve"> </w:t>
      </w:r>
      <w:r w:rsidR="00C5252D">
        <w:t>passenger and freight services.</w:t>
      </w:r>
      <w:r w:rsidR="00897E62">
        <w:t xml:space="preserve"> </w:t>
      </w:r>
    </w:p>
    <w:p w14:paraId="54C8F835" w14:textId="658FD72A" w:rsidR="005B25FE" w:rsidRDefault="005B25FE" w:rsidP="00352646">
      <w:pPr>
        <w:pStyle w:val="STPR2BulletsLevel1"/>
      </w:pPr>
      <w:r>
        <w:t xml:space="preserve">By encouraging modal shift from private car to rail, </w:t>
      </w:r>
      <w:r w:rsidR="00263CA9">
        <w:t xml:space="preserve">the High </w:t>
      </w:r>
      <w:r w:rsidR="00B57AF0">
        <w:t>s</w:t>
      </w:r>
      <w:r w:rsidR="00263CA9">
        <w:t xml:space="preserve">peed and cross-border rail enhancement recommendation </w:t>
      </w:r>
      <w:r>
        <w:t>could contribute to improving air quality. Improved health outcomes as a result of better air quality are of particular benefit to those who are more vulnerable to air pollution, including children, older people</w:t>
      </w:r>
      <w:r w:rsidR="002D321C">
        <w:t>,</w:t>
      </w:r>
      <w:r>
        <w:t xml:space="preserve"> disabled people</w:t>
      </w:r>
      <w:r w:rsidR="002D321C">
        <w:t xml:space="preserve"> and pregnant women</w:t>
      </w:r>
      <w:r>
        <w:t>.</w:t>
      </w:r>
    </w:p>
    <w:p w14:paraId="1BA200D4" w14:textId="6E62157E" w:rsidR="001A5597" w:rsidRPr="00B67318" w:rsidRDefault="001A5597" w:rsidP="00C23F99">
      <w:pPr>
        <w:pStyle w:val="STPR2BulletsLevel1"/>
      </w:pPr>
      <w:r w:rsidRPr="007775AD">
        <w:rPr>
          <w:rFonts w:eastAsia="Jacobs Chronos"/>
        </w:rPr>
        <w:t>Enhancing major stations through major station masterplans would provide a range of benefits that could potentially result in positive impacts</w:t>
      </w:r>
      <w:r w:rsidR="00244586" w:rsidRPr="00EB6564">
        <w:rPr>
          <w:rFonts w:eastAsia="Jacobs Chronos"/>
        </w:rPr>
        <w:t xml:space="preserve"> for</w:t>
      </w:r>
      <w:r w:rsidRPr="00C91706">
        <w:rPr>
          <w:rFonts w:eastAsia="Jacobs Chronos"/>
        </w:rPr>
        <w:t xml:space="preserve"> </w:t>
      </w:r>
      <w:r w:rsidRPr="00C524C3">
        <w:t>travellers with protected characteristics</w:t>
      </w:r>
      <w:r w:rsidRPr="00B67318">
        <w:t xml:space="preserve"> including </w:t>
      </w:r>
      <w:r w:rsidR="00416CC6" w:rsidRPr="00B67318">
        <w:t>increased accessibility and interchange to active travel and other public transport</w:t>
      </w:r>
      <w:r w:rsidR="008F235D" w:rsidRPr="00B67318">
        <w:t xml:space="preserve"> modes</w:t>
      </w:r>
      <w:r w:rsidRPr="00B67318">
        <w:t>. Additionally, increased capacity for freight and passenger service</w:t>
      </w:r>
      <w:r w:rsidR="00CC47A8">
        <w:t>s</w:t>
      </w:r>
      <w:r w:rsidRPr="00B67318">
        <w:t xml:space="preserve"> at stations will help to improve journey times and provide better service</w:t>
      </w:r>
      <w:r w:rsidR="007100CE">
        <w:t xml:space="preserve"> </w:t>
      </w:r>
      <w:r w:rsidRPr="00B67318">
        <w:t xml:space="preserve">performance. </w:t>
      </w:r>
    </w:p>
    <w:p w14:paraId="7A849F8A" w14:textId="4256AF1E" w:rsidR="00AC319F" w:rsidRPr="00AC319F" w:rsidRDefault="00107B23" w:rsidP="007F2389">
      <w:pPr>
        <w:pStyle w:val="STPR2BulletsLevel1"/>
        <w:rPr>
          <w:rFonts w:eastAsia="Jacobs Chronos"/>
        </w:rPr>
      </w:pPr>
      <w:r w:rsidRPr="00B67318">
        <w:rPr>
          <w:rFonts w:eastAsia="Jacobs Chronos"/>
        </w:rPr>
        <w:t>Improved access to</w:t>
      </w:r>
      <w:r w:rsidR="004020C0">
        <w:rPr>
          <w:rFonts w:eastAsia="Jacobs Chronos"/>
        </w:rPr>
        <w:t xml:space="preserve"> </w:t>
      </w:r>
      <w:r w:rsidR="00705F1B">
        <w:rPr>
          <w:rFonts w:eastAsia="Jacobs Chronos"/>
        </w:rPr>
        <w:t>Stranraer and the p</w:t>
      </w:r>
      <w:r w:rsidR="004020C0">
        <w:rPr>
          <w:rFonts w:eastAsia="Jacobs Chronos"/>
        </w:rPr>
        <w:t xml:space="preserve">orts at Cairnryan </w:t>
      </w:r>
      <w:r w:rsidR="00F0248A" w:rsidRPr="00B67318">
        <w:rPr>
          <w:rFonts w:eastAsia="Jacobs Chronos"/>
        </w:rPr>
        <w:t xml:space="preserve">would consist of junction improvements, realignment / widening, overtaking opportunities and dualling </w:t>
      </w:r>
      <w:r w:rsidR="004020C0">
        <w:rPr>
          <w:rFonts w:eastAsia="Jacobs Chronos"/>
        </w:rPr>
        <w:t>on the A75 and A77</w:t>
      </w:r>
      <w:r w:rsidR="0015402E" w:rsidRPr="00B67318">
        <w:rPr>
          <w:rFonts w:eastAsia="Jacobs Chronos"/>
        </w:rPr>
        <w:t>.</w:t>
      </w:r>
      <w:r w:rsidR="00F0248A" w:rsidRPr="00B67318">
        <w:rPr>
          <w:rFonts w:eastAsia="Jacobs Chronos"/>
        </w:rPr>
        <w:t xml:space="preserve"> </w:t>
      </w:r>
      <w:r w:rsidR="00AC319F" w:rsidRPr="00B67318">
        <w:rPr>
          <w:rFonts w:eastAsia="Jacobs Chronos"/>
        </w:rPr>
        <w:t>The positive impacts of junction improvements on the trunk road</w:t>
      </w:r>
      <w:r w:rsidRPr="00B67318">
        <w:rPr>
          <w:rFonts w:eastAsia="Jacobs Chronos"/>
        </w:rPr>
        <w:t xml:space="preserve"> associate</w:t>
      </w:r>
      <w:r w:rsidR="00AC319F" w:rsidRPr="00B67318">
        <w:rPr>
          <w:rFonts w:eastAsia="Jacobs Chronos"/>
        </w:rPr>
        <w:t xml:space="preserve"> are likely to have an overall negligible effect across equality groups. There could potentially be an improved sense of road safety and security for those walking, wheeling and cycling. This </w:t>
      </w:r>
      <w:r w:rsidR="0015402E" w:rsidRPr="00B67318">
        <w:rPr>
          <w:rFonts w:eastAsia="Jacobs Chronos"/>
        </w:rPr>
        <w:t>could</w:t>
      </w:r>
      <w:r w:rsidR="00AC319F" w:rsidRPr="00B67318">
        <w:rPr>
          <w:rFonts w:eastAsia="Jacobs Chronos"/>
        </w:rPr>
        <w:t xml:space="preserve"> provide some positive effects for protected characteristic groups who are more likely to walk or cycle or </w:t>
      </w:r>
      <w:r w:rsidR="00516789">
        <w:rPr>
          <w:rFonts w:eastAsia="Jacobs Chronos"/>
        </w:rPr>
        <w:t xml:space="preserve">who </w:t>
      </w:r>
      <w:r w:rsidR="00AC319F" w:rsidRPr="00B67318">
        <w:rPr>
          <w:rFonts w:eastAsia="Jacobs Chronos"/>
        </w:rPr>
        <w:t>are more vulnerable to fear of road danger, including children, young people, women and older people</w:t>
      </w:r>
      <w:r w:rsidR="007570F6">
        <w:rPr>
          <w:rFonts w:eastAsia="Jacobs Chronos"/>
        </w:rPr>
        <w:t>, however</w:t>
      </w:r>
      <w:r w:rsidR="0015402E" w:rsidRPr="00B67318">
        <w:rPr>
          <w:rFonts w:eastAsia="Jacobs Chronos"/>
        </w:rPr>
        <w:t xml:space="preserve"> </w:t>
      </w:r>
      <w:r w:rsidR="0076124E">
        <w:rPr>
          <w:rFonts w:eastAsia="Jacobs Chronos"/>
        </w:rPr>
        <w:t xml:space="preserve">this </w:t>
      </w:r>
      <w:r w:rsidR="0015402E" w:rsidRPr="00B67318">
        <w:rPr>
          <w:rFonts w:eastAsia="Jacobs Chronos"/>
        </w:rPr>
        <w:t xml:space="preserve">would </w:t>
      </w:r>
      <w:r w:rsidR="0076124E">
        <w:rPr>
          <w:rFonts w:eastAsia="Jacobs Chronos"/>
        </w:rPr>
        <w:t>require</w:t>
      </w:r>
      <w:r w:rsidR="0015402E" w:rsidRPr="00B67318">
        <w:rPr>
          <w:rFonts w:eastAsia="Jacobs Chronos"/>
        </w:rPr>
        <w:t xml:space="preserve"> to be determined through more detailed assessment at a local level</w:t>
      </w:r>
      <w:r w:rsidR="00AC319F" w:rsidRPr="00B67318">
        <w:rPr>
          <w:rFonts w:eastAsia="Jacobs Chronos"/>
        </w:rPr>
        <w:t xml:space="preserve">. </w:t>
      </w:r>
    </w:p>
    <w:p w14:paraId="4AB79A28" w14:textId="4F1E6642" w:rsidR="005F378D" w:rsidRPr="00B67318" w:rsidRDefault="00AC319F">
      <w:pPr>
        <w:pStyle w:val="STPR2BulletsLevel1"/>
        <w:rPr>
          <w:rFonts w:eastAsia="Jacobs Chronos"/>
        </w:rPr>
      </w:pPr>
      <w:r w:rsidRPr="00B67318">
        <w:rPr>
          <w:rFonts w:eastAsia="Jacobs Chronos"/>
        </w:rPr>
        <w:lastRenderedPageBreak/>
        <w:t xml:space="preserve">Realignment / widening, overtaking opportunities and dualling </w:t>
      </w:r>
      <w:r w:rsidR="00AD7DC3">
        <w:rPr>
          <w:rFonts w:eastAsia="Jacobs Chronos"/>
        </w:rPr>
        <w:t xml:space="preserve">on the A75 and A77 </w:t>
      </w:r>
      <w:r w:rsidRPr="00B67318">
        <w:rPr>
          <w:rFonts w:eastAsia="Jacobs Chronos"/>
        </w:rPr>
        <w:t xml:space="preserve">could improve access to employment, educational, health, and open space and leisure facilities for those in protected characteristic groups, particularly where </w:t>
      </w:r>
      <w:r w:rsidR="00FF2B5B">
        <w:rPr>
          <w:rFonts w:eastAsia="Jacobs Chronos"/>
        </w:rPr>
        <w:t>sections of</w:t>
      </w:r>
      <w:r w:rsidRPr="00B67318">
        <w:rPr>
          <w:rFonts w:eastAsia="Jacobs Chronos"/>
        </w:rPr>
        <w:t xml:space="preserve"> </w:t>
      </w:r>
      <w:r w:rsidR="00FF2B5B">
        <w:rPr>
          <w:rFonts w:eastAsia="Jacobs Chronos"/>
        </w:rPr>
        <w:t>these</w:t>
      </w:r>
      <w:r w:rsidRPr="00B67318">
        <w:rPr>
          <w:rFonts w:eastAsia="Jacobs Chronos"/>
        </w:rPr>
        <w:t xml:space="preserve"> </w:t>
      </w:r>
      <w:r w:rsidR="006C7885" w:rsidRPr="00B67318">
        <w:rPr>
          <w:rFonts w:eastAsia="Jacobs Chronos"/>
        </w:rPr>
        <w:t>r</w:t>
      </w:r>
      <w:r w:rsidR="006C7885">
        <w:rPr>
          <w:rFonts w:eastAsia="Jacobs Chronos"/>
        </w:rPr>
        <w:t>outes</w:t>
      </w:r>
      <w:r w:rsidR="006C7885" w:rsidRPr="00B67318">
        <w:rPr>
          <w:rFonts w:eastAsia="Jacobs Chronos"/>
        </w:rPr>
        <w:t xml:space="preserve"> </w:t>
      </w:r>
      <w:r w:rsidRPr="00B67318">
        <w:rPr>
          <w:rFonts w:eastAsia="Jacobs Chronos"/>
        </w:rPr>
        <w:t>are located in rural areas</w:t>
      </w:r>
      <w:r w:rsidR="00CC4EE4">
        <w:rPr>
          <w:rFonts w:eastAsia="Jacobs Chronos"/>
        </w:rPr>
        <w:t>.</w:t>
      </w:r>
      <w:r w:rsidRPr="00B67318">
        <w:rPr>
          <w:rFonts w:eastAsia="Jacobs Chronos"/>
        </w:rPr>
        <w:t xml:space="preserve"> However, this is likely to result in a negligible impact for groups with protected characteristics overall. </w:t>
      </w:r>
      <w:r w:rsidR="003D2276" w:rsidRPr="00B67318">
        <w:rPr>
          <w:rFonts w:eastAsia="Jacobs Chronos"/>
        </w:rPr>
        <w:t>Furthermore, t</w:t>
      </w:r>
      <w:r w:rsidRPr="00B67318">
        <w:rPr>
          <w:rFonts w:eastAsia="Jacobs Chronos"/>
        </w:rPr>
        <w:t xml:space="preserve">hese </w:t>
      </w:r>
      <w:r w:rsidR="0090433B">
        <w:rPr>
          <w:rFonts w:eastAsia="Jacobs Chronos"/>
        </w:rPr>
        <w:t>interventio</w:t>
      </w:r>
      <w:r w:rsidRPr="00B67318">
        <w:rPr>
          <w:rFonts w:eastAsia="Jacobs Chronos"/>
        </w:rPr>
        <w:t xml:space="preserve">ns could also potentially result in indirect adverse health outcomes for some protected groups as a result of worsened air quality due to an increase in motorised vehicles, for example children, older people, pregnant people, and disabled people are more vulnerable to the adverse health effects of traffic pollution. </w:t>
      </w:r>
      <w:r w:rsidR="00B96B34" w:rsidRPr="00B67318">
        <w:rPr>
          <w:rFonts w:eastAsia="Jacobs Chronos"/>
        </w:rPr>
        <w:t>D</w:t>
      </w:r>
      <w:r w:rsidR="003D2276" w:rsidRPr="00B67318">
        <w:rPr>
          <w:rFonts w:eastAsia="Jacobs Chronos"/>
        </w:rPr>
        <w:t>etailed assessment work at the local level would be required to identify any specific impacts on groups with protected characteristics</w:t>
      </w:r>
      <w:r w:rsidRPr="00B67318">
        <w:rPr>
          <w:rFonts w:eastAsia="Jacobs Chronos"/>
        </w:rPr>
        <w:t>.</w:t>
      </w:r>
    </w:p>
    <w:p w14:paraId="5A0DAD2D" w14:textId="7BD9EBE8" w:rsidR="00511B72" w:rsidRPr="00B67318" w:rsidRDefault="00FF3B0D">
      <w:pPr>
        <w:pStyle w:val="STPR2BulletsLevel1"/>
        <w:rPr>
          <w:rFonts w:eastAsia="Jacobs Chronos"/>
        </w:rPr>
      </w:pPr>
      <w:r w:rsidRPr="00B67318">
        <w:rPr>
          <w:rFonts w:eastAsia="Jacobs Chronos"/>
        </w:rPr>
        <w:t xml:space="preserve">Increased sustainable access to Grangemouth </w:t>
      </w:r>
      <w:r w:rsidR="00511B72" w:rsidRPr="00B67318">
        <w:rPr>
          <w:rFonts w:eastAsia="Jacobs Chronos"/>
        </w:rPr>
        <w:t>Investment</w:t>
      </w:r>
      <w:r w:rsidRPr="00B67318">
        <w:rPr>
          <w:rFonts w:eastAsia="Jacobs Chronos"/>
        </w:rPr>
        <w:t xml:space="preserve"> Zone</w:t>
      </w:r>
      <w:r w:rsidR="00511B72" w:rsidRPr="00B67318">
        <w:rPr>
          <w:rFonts w:eastAsia="Jacobs Chronos"/>
        </w:rPr>
        <w:t xml:space="preserve"> would consist of </w:t>
      </w:r>
      <w:r w:rsidR="00C84011">
        <w:rPr>
          <w:rFonts w:eastAsia="Jacobs Chronos"/>
        </w:rPr>
        <w:t>i</w:t>
      </w:r>
      <w:r w:rsidR="00511B72" w:rsidRPr="00B67318">
        <w:rPr>
          <w:rFonts w:eastAsia="Jacobs Chronos"/>
        </w:rPr>
        <w:t>mproved active travel and bus connections to Grangemouth from neighbouring towns and stations, along with enhanced freight interventions.</w:t>
      </w:r>
      <w:r w:rsidR="00015199" w:rsidRPr="00B67318">
        <w:rPr>
          <w:rFonts w:eastAsia="Jacobs Chronos"/>
        </w:rPr>
        <w:t xml:space="preserve"> This has the potential to increase </w:t>
      </w:r>
      <w:r w:rsidR="00296E68" w:rsidRPr="00B67318">
        <w:rPr>
          <w:rFonts w:eastAsia="Jacobs Chronos"/>
        </w:rPr>
        <w:t xml:space="preserve">access </w:t>
      </w:r>
      <w:r w:rsidR="00015199" w:rsidRPr="00B67318">
        <w:rPr>
          <w:rFonts w:eastAsia="Jacobs Chronos"/>
        </w:rPr>
        <w:t>to employment opportunities</w:t>
      </w:r>
      <w:r w:rsidR="00085533">
        <w:rPr>
          <w:rFonts w:eastAsia="Jacobs Chronos"/>
        </w:rPr>
        <w:t>,</w:t>
      </w:r>
      <w:r w:rsidR="00015199" w:rsidRPr="00B67318">
        <w:rPr>
          <w:rFonts w:eastAsia="Jacobs Chronos"/>
        </w:rPr>
        <w:t xml:space="preserve"> </w:t>
      </w:r>
      <w:r w:rsidR="00296E68" w:rsidRPr="00B67318">
        <w:t xml:space="preserve">particularly </w:t>
      </w:r>
      <w:r w:rsidR="00085533">
        <w:t>for</w:t>
      </w:r>
      <w:r w:rsidR="00296E68" w:rsidRPr="00B67318">
        <w:t xml:space="preserve"> those who are more reliant on public transport including young people, women and people from certain ethnic minority groups. These groups are also more likely to be over-</w:t>
      </w:r>
      <w:r w:rsidR="00E72334" w:rsidRPr="00B67318">
        <w:t>represented</w:t>
      </w:r>
      <w:r w:rsidR="00296E68" w:rsidRPr="00B67318">
        <w:t xml:space="preserve"> in unemployment figures or </w:t>
      </w:r>
      <w:r w:rsidR="00E72334" w:rsidRPr="00B67318">
        <w:t xml:space="preserve">under-represented in employment in certain industries. Therefore, </w:t>
      </w:r>
      <w:r w:rsidR="00773DBD" w:rsidRPr="00B67318">
        <w:t xml:space="preserve">this </w:t>
      </w:r>
      <w:r w:rsidR="00BC66B9" w:rsidRPr="00B67318">
        <w:t>intervention could potentially have a positive impact on these groups by removing transport barriers to existing and new employment in the Grangemouth area.</w:t>
      </w:r>
    </w:p>
    <w:p w14:paraId="2EF23D0F" w14:textId="71237D64" w:rsidR="008802C8" w:rsidRPr="00B67318" w:rsidRDefault="00D940B9">
      <w:pPr>
        <w:pStyle w:val="STPR2BulletsLevel1"/>
        <w:rPr>
          <w:rFonts w:eastAsia="Jacobs Chronos"/>
        </w:rPr>
      </w:pPr>
      <w:r w:rsidRPr="00B67318">
        <w:rPr>
          <w:rFonts w:eastAsia="Jacobs Chronos"/>
        </w:rPr>
        <w:t>The implementation of fixed links between islands and the mainland will increase connectivity and access to services as well as potentially supporting job growth on the islands. These are benefits that can be shared by groups with protected characteristics. However, the extent to which accessibility and connectivity benefits would be shared amongst those with protected characteristics would depend on the provision, availability and affordability of public transport services using the fixed links. Furthermore, the extent to which job growth on the islands would support those from protected characteristics groups would depend on the sustainability and inclusivity of the employment opportunities created.</w:t>
      </w:r>
      <w:r w:rsidR="007100CE">
        <w:rPr>
          <w:rFonts w:eastAsia="Jacobs Chronos"/>
        </w:rPr>
        <w:t xml:space="preserve"> </w:t>
      </w:r>
      <w:r w:rsidRPr="00B67318">
        <w:rPr>
          <w:rFonts w:eastAsia="Jacobs Chronos"/>
        </w:rPr>
        <w:t xml:space="preserve">Overall, there would be a minor positive impact in terms of </w:t>
      </w:r>
      <w:r w:rsidR="0002120D" w:rsidRPr="00B67318">
        <w:rPr>
          <w:rFonts w:eastAsia="Jacobs Chronos"/>
        </w:rPr>
        <w:t>increas</w:t>
      </w:r>
      <w:r w:rsidR="00684B8C" w:rsidRPr="00B67318">
        <w:rPr>
          <w:rFonts w:eastAsia="Jacobs Chronos"/>
        </w:rPr>
        <w:t>ed</w:t>
      </w:r>
      <w:r w:rsidR="0002120D" w:rsidRPr="00B67318">
        <w:rPr>
          <w:rFonts w:eastAsia="Jacobs Chronos"/>
        </w:rPr>
        <w:t xml:space="preserve"> connectivity.</w:t>
      </w:r>
    </w:p>
    <w:p w14:paraId="11489ACE" w14:textId="5F4D7022" w:rsidR="000A6347" w:rsidRDefault="0002120D">
      <w:pPr>
        <w:pStyle w:val="STPR2BulletsLevel1"/>
      </w:pPr>
      <w:r w:rsidRPr="00B67318">
        <w:rPr>
          <w:rFonts w:eastAsia="Jacobs Chronos"/>
        </w:rPr>
        <w:t xml:space="preserve">However, the installation of fixed links could </w:t>
      </w:r>
      <w:r w:rsidR="00162B9D" w:rsidRPr="00B67318">
        <w:t>lead to an increase in motorised traffic,</w:t>
      </w:r>
      <w:r w:rsidR="00684B8C" w:rsidRPr="00B67318">
        <w:t xml:space="preserve"> in turn </w:t>
      </w:r>
      <w:r w:rsidR="00162B9D" w:rsidRPr="00B67318">
        <w:t>leading to higher localised</w:t>
      </w:r>
      <w:r w:rsidR="00684B8C" w:rsidRPr="00B67318">
        <w:t xml:space="preserve"> traffic-related</w:t>
      </w:r>
      <w:r w:rsidR="00162B9D" w:rsidRPr="00B67318">
        <w:t xml:space="preserve"> emissions</w:t>
      </w:r>
      <w:r w:rsidR="00684B8C" w:rsidRPr="00B67318">
        <w:t xml:space="preserve"> in some areas. This could potentially </w:t>
      </w:r>
      <w:r w:rsidR="00E41D81" w:rsidRPr="00B67318">
        <w:t xml:space="preserve">have </w:t>
      </w:r>
      <w:r w:rsidR="00684B8C" w:rsidRPr="00B67318">
        <w:t>a negative impact on those who are more vulnerable to the adverse health effects of transport-related emissions including</w:t>
      </w:r>
      <w:r w:rsidR="00162B9D" w:rsidRPr="00B67318">
        <w:t xml:space="preserve"> children</w:t>
      </w:r>
      <w:r w:rsidR="00684B8C" w:rsidRPr="00B67318">
        <w:t>, older people, disabled people and pregnant women</w:t>
      </w:r>
      <w:r w:rsidR="00162B9D" w:rsidRPr="00B67318">
        <w:t>.</w:t>
      </w:r>
      <w:r w:rsidR="000A6347">
        <w:br w:type="page"/>
      </w:r>
    </w:p>
    <w:p w14:paraId="5EBEDA22" w14:textId="7ECCCA00" w:rsidR="000C6958" w:rsidRDefault="00A77901" w:rsidP="00EF172D">
      <w:pPr>
        <w:pStyle w:val="Heading1"/>
      </w:pPr>
      <w:bookmarkStart w:id="2034" w:name="_Toc121233816"/>
      <w:r>
        <w:lastRenderedPageBreak/>
        <w:t>Next Steps</w:t>
      </w:r>
      <w:bookmarkEnd w:id="2034"/>
    </w:p>
    <w:p w14:paraId="46959848" w14:textId="7D6E5B6C" w:rsidR="007722CA" w:rsidRDefault="007722CA" w:rsidP="007722CA">
      <w:pPr>
        <w:pStyle w:val="Heading2"/>
      </w:pPr>
      <w:bookmarkStart w:id="2035" w:name="_Toc121233817"/>
      <w:r>
        <w:t>Recommendations</w:t>
      </w:r>
      <w:r w:rsidR="00861BB2">
        <w:t xml:space="preserve"> for enhancing equality of opportunity</w:t>
      </w:r>
      <w:bookmarkEnd w:id="2035"/>
    </w:p>
    <w:p w14:paraId="608B67ED" w14:textId="77777777" w:rsidR="00E70A97" w:rsidRDefault="0088689D" w:rsidP="00352646">
      <w:pPr>
        <w:pStyle w:val="STPR2BodyText"/>
      </w:pPr>
      <w:r>
        <w:t>This report sets out the approach undertaken to the assessment of equality impacts and demonstrates Transport Scotland’s due regard to the Equality Act 2010 and Public Sector Equality Duty throughout the STPR2 process. It identifie</w:t>
      </w:r>
      <w:r w:rsidR="00E70A97">
        <w:t>s</w:t>
      </w:r>
      <w:r>
        <w:t xml:space="preserve"> the po</w:t>
      </w:r>
      <w:r w:rsidR="00E70A97">
        <w:t>t</w:t>
      </w:r>
      <w:r>
        <w:t xml:space="preserve">ential equality impacts </w:t>
      </w:r>
      <w:r w:rsidR="00E70A97">
        <w:t>associated with</w:t>
      </w:r>
      <w:r>
        <w:t xml:space="preserve"> the STPR2 recommendations. </w:t>
      </w:r>
    </w:p>
    <w:p w14:paraId="3DD3075F" w14:textId="363B99FE" w:rsidR="0088689D" w:rsidRDefault="00E70A97" w:rsidP="00C23F99">
      <w:pPr>
        <w:pStyle w:val="STPR2BodyText"/>
      </w:pPr>
      <w:r>
        <w:t xml:space="preserve">The feedback received in relation to the </w:t>
      </w:r>
      <w:r w:rsidRPr="00B14B3F">
        <w:t>Draft E</w:t>
      </w:r>
      <w:r>
        <w:t>qIA</w:t>
      </w:r>
      <w:r w:rsidRPr="00B14B3F">
        <w:t xml:space="preserve"> Report </w:t>
      </w:r>
      <w:r w:rsidRPr="00D23BF2">
        <w:t>(Jacobs A</w:t>
      </w:r>
      <w:r w:rsidR="000C0BC8">
        <w:t>ECOM</w:t>
      </w:r>
      <w:r w:rsidRPr="00D23BF2">
        <w:t xml:space="preserve"> 2022</w:t>
      </w:r>
      <w:r w:rsidR="00A05D30">
        <w:t>b</w:t>
      </w:r>
      <w:r>
        <w:t>)</w:t>
      </w:r>
      <w:r w:rsidRPr="00D23BF2">
        <w:t xml:space="preserve"> </w:t>
      </w:r>
      <w:r w:rsidRPr="00B14B3F">
        <w:t>and the STPR2 Draft Technical Report (Jacobs A</w:t>
      </w:r>
      <w:r w:rsidR="000C0BC8">
        <w:t>ECOM</w:t>
      </w:r>
      <w:r w:rsidRPr="00B14B3F">
        <w:t xml:space="preserve"> 2022</w:t>
      </w:r>
      <w:r w:rsidR="00A05D30">
        <w:t>a</w:t>
      </w:r>
      <w:r w:rsidRPr="00B14B3F">
        <w:t xml:space="preserve">) </w:t>
      </w:r>
      <w:r>
        <w:t xml:space="preserve">consultation has been reviewed and used to inform </w:t>
      </w:r>
      <w:r w:rsidR="007F2389" w:rsidRPr="007F2389">
        <w:t xml:space="preserve">the Final STPR Summary </w:t>
      </w:r>
      <w:r w:rsidR="00D4597F">
        <w:t>Report</w:t>
      </w:r>
      <w:r w:rsidR="007F2389" w:rsidRPr="007F2389">
        <w:t xml:space="preserve"> and Technical </w:t>
      </w:r>
      <w:r w:rsidR="00D4597F">
        <w:t>R</w:t>
      </w:r>
      <w:r w:rsidR="007F2389" w:rsidRPr="007F2389">
        <w:t>eport</w:t>
      </w:r>
      <w:r w:rsidR="007F2389">
        <w:t>.</w:t>
      </w:r>
    </w:p>
    <w:p w14:paraId="41FD25A6" w14:textId="73576C85" w:rsidR="006724B0" w:rsidRDefault="006724B0" w:rsidP="007F2389">
      <w:pPr>
        <w:pStyle w:val="STPR2BodyText"/>
      </w:pPr>
      <w:r>
        <w:t xml:space="preserve">Detailed EqIAs </w:t>
      </w:r>
      <w:r w:rsidR="00BA321C" w:rsidRPr="003707E2">
        <w:t>should be undertaken at detailed design stages of individual recommendations where appropriate</w:t>
      </w:r>
      <w:r w:rsidR="0082174C">
        <w:t xml:space="preserve">. This should </w:t>
      </w:r>
      <w:r w:rsidR="00F4231A">
        <w:t>incorporate</w:t>
      </w:r>
      <w:r w:rsidR="0082174C">
        <w:t xml:space="preserve"> </w:t>
      </w:r>
      <w:r w:rsidR="00FF0010">
        <w:t xml:space="preserve">baseline </w:t>
      </w:r>
      <w:r w:rsidR="0082174C">
        <w:t xml:space="preserve">information on </w:t>
      </w:r>
      <w:r w:rsidR="00FF0010">
        <w:t xml:space="preserve">the </w:t>
      </w:r>
      <w:r w:rsidR="0082174C">
        <w:t xml:space="preserve">demographics of </w:t>
      </w:r>
      <w:r w:rsidR="00FF0010">
        <w:t xml:space="preserve">local </w:t>
      </w:r>
      <w:r w:rsidR="0082174C">
        <w:t xml:space="preserve">residents, </w:t>
      </w:r>
      <w:r w:rsidR="00FF0010">
        <w:t xml:space="preserve">existing and potential users of the </w:t>
      </w:r>
      <w:r w:rsidR="00BA321C">
        <w:t xml:space="preserve">recommendation </w:t>
      </w:r>
      <w:r w:rsidR="0082174C">
        <w:t xml:space="preserve">and other </w:t>
      </w:r>
      <w:r w:rsidR="004F1009">
        <w:t xml:space="preserve">relevant groups where appropriate. The EqIA process should start </w:t>
      </w:r>
      <w:r w:rsidR="00C516F1">
        <w:t xml:space="preserve">at early stages </w:t>
      </w:r>
      <w:r w:rsidR="00AE09F9">
        <w:t xml:space="preserve">of </w:t>
      </w:r>
      <w:r w:rsidR="00BA321C">
        <w:t xml:space="preserve">recommendation </w:t>
      </w:r>
      <w:r w:rsidR="00AE09F9">
        <w:t xml:space="preserve">development </w:t>
      </w:r>
      <w:r w:rsidR="00C516F1">
        <w:t>to ensure proposed inte</w:t>
      </w:r>
      <w:r w:rsidR="00661589">
        <w:t>rventions maximise positive equality outcomes</w:t>
      </w:r>
      <w:r w:rsidR="00044670">
        <w:t xml:space="preserve"> and</w:t>
      </w:r>
      <w:r w:rsidR="002F4E0C">
        <w:t>,</w:t>
      </w:r>
      <w:r w:rsidR="00044670">
        <w:t xml:space="preserve"> where possible</w:t>
      </w:r>
      <w:r w:rsidR="002F4E0C">
        <w:t>,</w:t>
      </w:r>
      <w:r w:rsidR="00044670">
        <w:t xml:space="preserve"> include appropriate engagement with protected characteristic groups to understand specific requirements</w:t>
      </w:r>
      <w:r w:rsidR="00661589">
        <w:t>.</w:t>
      </w:r>
    </w:p>
    <w:p w14:paraId="132B5FC9" w14:textId="7BEB2306" w:rsidR="009F59DC" w:rsidRDefault="00707913" w:rsidP="007F2389">
      <w:pPr>
        <w:pStyle w:val="STPR2BodyText"/>
      </w:pPr>
      <w:r>
        <w:t xml:space="preserve">Evidence shows that affordability is a key barrier </w:t>
      </w:r>
      <w:r w:rsidR="004F7803">
        <w:t>f</w:t>
      </w:r>
      <w:r>
        <w:t>or many groups to access transport. Intervent</w:t>
      </w:r>
      <w:r w:rsidR="006F495A">
        <w:t>ions should be developed with affordability considerations</w:t>
      </w:r>
      <w:r w:rsidR="00B46CAC">
        <w:t xml:space="preserve"> for those from protected characteristic groups. This includes payment methods </w:t>
      </w:r>
      <w:r w:rsidR="007C490E">
        <w:t>and associated costs of travel (for example, costs of maintaining bikes)</w:t>
      </w:r>
      <w:r w:rsidR="009F59DC">
        <w:t>.</w:t>
      </w:r>
    </w:p>
    <w:p w14:paraId="2B26274F" w14:textId="06AB8F00" w:rsidR="00A801A4" w:rsidRPr="00180381" w:rsidRDefault="009F59DC">
      <w:pPr>
        <w:pStyle w:val="STPR2BodyText"/>
        <w:rPr>
          <w:i/>
        </w:rPr>
      </w:pPr>
      <w:r>
        <w:t xml:space="preserve">Active travel infrastructure can </w:t>
      </w:r>
      <w:r w:rsidR="000F133B">
        <w:t>help</w:t>
      </w:r>
      <w:r>
        <w:t xml:space="preserve"> to increase confidence</w:t>
      </w:r>
      <w:r w:rsidR="00680ACF">
        <w:t>,</w:t>
      </w:r>
      <w:r>
        <w:t xml:space="preserve"> and therefore </w:t>
      </w:r>
      <w:r w:rsidR="0050057C">
        <w:t>use of active travel</w:t>
      </w:r>
      <w:r w:rsidR="00680ACF">
        <w:t>,</w:t>
      </w:r>
      <w:r w:rsidR="0050057C">
        <w:t xml:space="preserve"> to access a wide range of facilities. Many disabled people rely on cycling as </w:t>
      </w:r>
      <w:r w:rsidR="003067D5">
        <w:t>a</w:t>
      </w:r>
      <w:r w:rsidR="0050057C">
        <w:t xml:space="preserve"> mode of transport but require the appropriate</w:t>
      </w:r>
      <w:r w:rsidR="000F133B">
        <w:t xml:space="preserve"> </w:t>
      </w:r>
      <w:r w:rsidR="00F4231A">
        <w:t>infrastructure</w:t>
      </w:r>
      <w:r w:rsidR="000F133B">
        <w:t xml:space="preserve"> to use adapted bikes</w:t>
      </w:r>
      <w:r w:rsidR="003067D5">
        <w:t>, for example</w:t>
      </w:r>
      <w:r w:rsidR="000F133B">
        <w:t xml:space="preserve">. Active travel interventions </w:t>
      </w:r>
      <w:r w:rsidR="00F4231A">
        <w:t>should</w:t>
      </w:r>
      <w:r w:rsidR="000F133B">
        <w:t xml:space="preserve"> therefore use inclusive design standards for cycling</w:t>
      </w:r>
      <w:r w:rsidR="0040096C">
        <w:t>.</w:t>
      </w:r>
      <w:r w:rsidR="00B5025E">
        <w:t xml:space="preserve"> </w:t>
      </w:r>
      <w:r w:rsidR="00A801A4">
        <w:t>Further</w:t>
      </w:r>
      <w:r w:rsidR="006324EB">
        <w:t>more</w:t>
      </w:r>
      <w:r w:rsidR="00A801A4">
        <w:t>, inclusive design should consider</w:t>
      </w:r>
      <w:r w:rsidR="006324EB">
        <w:t xml:space="preserve"> </w:t>
      </w:r>
      <w:r w:rsidR="00A801A4">
        <w:t xml:space="preserve">the needs of </w:t>
      </w:r>
      <w:r w:rsidR="00C34938">
        <w:t>protected characteristic groups</w:t>
      </w:r>
      <w:r w:rsidR="006324EB">
        <w:t xml:space="preserve">, ensuring step-free access and adequate </w:t>
      </w:r>
      <w:r w:rsidR="00980266">
        <w:t>seating and other facilities to support accessible journeys.</w:t>
      </w:r>
    </w:p>
    <w:p w14:paraId="7EEAB6FB" w14:textId="4F48CB4F" w:rsidR="00661589" w:rsidRDefault="000F133B">
      <w:pPr>
        <w:pStyle w:val="STPR2BodyText"/>
      </w:pPr>
      <w:r>
        <w:t xml:space="preserve">Many of the </w:t>
      </w:r>
      <w:r w:rsidR="003067D5">
        <w:t xml:space="preserve">recommendations </w:t>
      </w:r>
      <w:r>
        <w:t>have been based aro</w:t>
      </w:r>
      <w:r w:rsidR="00C044D1">
        <w:t xml:space="preserve">und </w:t>
      </w:r>
      <w:r w:rsidR="00413945">
        <w:t xml:space="preserve">an </w:t>
      </w:r>
      <w:r w:rsidR="00C044D1">
        <w:t xml:space="preserve">evidence base, this work should be expanded to </w:t>
      </w:r>
      <w:r w:rsidR="00F4231A">
        <w:t>ensure</w:t>
      </w:r>
      <w:r w:rsidR="00C044D1">
        <w:t xml:space="preserve"> that the needs of th</w:t>
      </w:r>
      <w:r w:rsidR="008B5D7A">
        <w:t>ose users</w:t>
      </w:r>
      <w:r w:rsidR="00C044D1">
        <w:t xml:space="preserve"> who will most benefit are understood. Where </w:t>
      </w:r>
      <w:r w:rsidR="00F4231A">
        <w:t>possible</w:t>
      </w:r>
      <w:r w:rsidR="00C044D1">
        <w:t xml:space="preserve"> this should include primary research</w:t>
      </w:r>
      <w:r w:rsidR="00DE37FA">
        <w:t xml:space="preserve"> or consultation with protected </w:t>
      </w:r>
      <w:r w:rsidR="00F4231A">
        <w:t>characteristic</w:t>
      </w:r>
      <w:r w:rsidR="00DE37FA">
        <w:t xml:space="preserve"> groups to understand how to </w:t>
      </w:r>
      <w:r w:rsidR="00F4231A">
        <w:t>best</w:t>
      </w:r>
      <w:r w:rsidR="00DE37FA">
        <w:t xml:space="preserve"> implement specific</w:t>
      </w:r>
      <w:r w:rsidR="000A6347">
        <w:t> </w:t>
      </w:r>
      <w:r w:rsidR="00DE37FA">
        <w:t>interventions.</w:t>
      </w:r>
    </w:p>
    <w:p w14:paraId="3B9D398E" w14:textId="4F4C219F" w:rsidR="0088689D" w:rsidRDefault="0088689D">
      <w:pPr>
        <w:pStyle w:val="STPR2BodyText"/>
      </w:pPr>
      <w:r>
        <w:t xml:space="preserve">The STPR2 recommendations do not constitute the full transport investment programme of </w:t>
      </w:r>
      <w:r w:rsidR="00D82FFC">
        <w:t xml:space="preserve">the </w:t>
      </w:r>
      <w:r>
        <w:t>Scottish Government. They should be considered alongside the overall Government spending commitments on transport, within Scottish Government budgets or funded by Government, for example Growth Deals. Some of the other Scottish Government transport spending commitments are out of scope for STPR2. For example:</w:t>
      </w:r>
    </w:p>
    <w:p w14:paraId="19B5D0F5" w14:textId="77777777" w:rsidR="0088689D" w:rsidRDefault="0088689D" w:rsidP="00721406">
      <w:pPr>
        <w:pStyle w:val="STPR2BulletsLevel1"/>
      </w:pPr>
      <w:r>
        <w:t xml:space="preserve">measures to improve resilience of the rail network (for example operations, maintenance and renewal); </w:t>
      </w:r>
    </w:p>
    <w:p w14:paraId="6F1E0EB5" w14:textId="77777777" w:rsidR="0088689D" w:rsidRDefault="0088689D" w:rsidP="00721406">
      <w:pPr>
        <w:pStyle w:val="STPR2BulletsLevel1"/>
      </w:pPr>
      <w:r>
        <w:t>revenue-based spending on public transport including bus, ferries and air services (for example subsides for operations and fares).</w:t>
      </w:r>
    </w:p>
    <w:p w14:paraId="6331B6E8" w14:textId="71757784" w:rsidR="0088689D" w:rsidRDefault="0088689D" w:rsidP="006A0185">
      <w:pPr>
        <w:pStyle w:val="STPR2BodyText"/>
      </w:pPr>
      <w:r>
        <w:lastRenderedPageBreak/>
        <w:t>It should also be noted that transport interventions not recommended by STPR2 may still be appropriate to be taken forward at regional and local levels, however any request for funding from the Scottish Government will require demonstration of the benefits and impacts of the transport proposal through the usual business case and transport appraisal process required by Transport Scotland. This includes the requirement to undertake an</w:t>
      </w:r>
      <w:r w:rsidR="007100CE">
        <w:t> </w:t>
      </w:r>
      <w:r>
        <w:t>EqIA.</w:t>
      </w:r>
    </w:p>
    <w:p w14:paraId="1D3A7BCC" w14:textId="61A94B98" w:rsidR="007952DE" w:rsidRPr="006724B0" w:rsidRDefault="007952DE" w:rsidP="007952DE">
      <w:pPr>
        <w:pStyle w:val="Heading2"/>
      </w:pPr>
      <w:bookmarkStart w:id="2036" w:name="_Toc121233818"/>
      <w:r>
        <w:t>Monitoring</w:t>
      </w:r>
      <w:bookmarkEnd w:id="2036"/>
    </w:p>
    <w:p w14:paraId="5446972E" w14:textId="02E81DD9" w:rsidR="00A75F38" w:rsidRPr="000A6347" w:rsidRDefault="00A75F38" w:rsidP="000A6347">
      <w:pPr>
        <w:pStyle w:val="STPR2BodyText"/>
      </w:pPr>
      <w:r w:rsidRPr="000A6347">
        <w:t xml:space="preserve">The </w:t>
      </w:r>
      <w:hyperlink r:id="rId28" w:history="1">
        <w:r w:rsidRPr="000A6347">
          <w:rPr>
            <w:rStyle w:val="Hyperlink"/>
            <w:sz w:val="24"/>
          </w:rPr>
          <w:t>Scottish Household Survey</w:t>
        </w:r>
      </w:hyperlink>
      <w:r w:rsidRPr="000A6347">
        <w:t xml:space="preserve"> is a continuous survey based on a sample of the general population in private residences in Scotland and is </w:t>
      </w:r>
      <w:r w:rsidR="00F56CD9" w:rsidRPr="000A6347">
        <w:t>managed</w:t>
      </w:r>
      <w:r w:rsidRPr="000A6347">
        <w:t xml:space="preserve"> through a consortium led by Ipsos MORI. The survey questionnaire collects data on the use and views of different transport modes through a travel diary as well as information on characteristic</w:t>
      </w:r>
      <w:r w:rsidR="005C66CD" w:rsidRPr="000A6347">
        <w:t>s</w:t>
      </w:r>
      <w:r w:rsidRPr="000A6347">
        <w:t xml:space="preserve"> of household members including age, gender identity, ethnic groups, religion, and disability</w:t>
      </w:r>
      <w:r w:rsidR="00FA6A01" w:rsidRPr="000A6347">
        <w:t xml:space="preserve"> and health</w:t>
      </w:r>
      <w:r w:rsidRPr="000A6347">
        <w:t>. The information is used to feed into the annual report on Transport and Travel in Scotland including differences in transport use across different groups with protected characteristics.</w:t>
      </w:r>
    </w:p>
    <w:p w14:paraId="3322AAC9" w14:textId="562CF1F1" w:rsidR="00A75F38" w:rsidRPr="000A6347" w:rsidRDefault="00A75F38" w:rsidP="000A6347">
      <w:pPr>
        <w:pStyle w:val="STPR2BodyText"/>
      </w:pPr>
      <w:r w:rsidRPr="000A6347">
        <w:t>Sustrans</w:t>
      </w:r>
      <w:r w:rsidR="00D55F05" w:rsidRPr="000A6347">
        <w:t>’</w:t>
      </w:r>
      <w:r w:rsidRPr="000A6347">
        <w:t xml:space="preserve"> </w:t>
      </w:r>
      <w:hyperlink r:id="rId29" w:anchor=":~:text=The%20Hands%20Up%20Scotland%20Survey%20looks%20at%20how,will%20take%20place%20between%2013%20and%2017%20September." w:history="1">
        <w:r w:rsidRPr="000A6347">
          <w:rPr>
            <w:rStyle w:val="Hyperlink"/>
            <w:sz w:val="24"/>
          </w:rPr>
          <w:t>Hands Up Scotland Survey</w:t>
        </w:r>
      </w:hyperlink>
      <w:r w:rsidRPr="000A6347">
        <w:t xml:space="preserve"> collects data on how children across Scotland travel to school and nursery. Established in 2008, the survey has provided an insight into journeys to school for more than a decade and is the largest national dataset on school</w:t>
      </w:r>
      <w:r w:rsidR="000A6347">
        <w:t> </w:t>
      </w:r>
      <w:r w:rsidRPr="000A6347">
        <w:t>travel.</w:t>
      </w:r>
    </w:p>
    <w:p w14:paraId="7353AB48" w14:textId="13C87347" w:rsidR="000A6347" w:rsidRDefault="00A75F38" w:rsidP="000A6347">
      <w:pPr>
        <w:pStyle w:val="STPR2BodyText"/>
      </w:pPr>
      <w:r w:rsidRPr="000A6347">
        <w:t>The above surveys can be used to monitor impacts and views on the groups covered by the social and equality impact assessments in relation to STPR2</w:t>
      </w:r>
      <w:r w:rsidR="00341B4C" w:rsidRPr="000A6347">
        <w:t>.</w:t>
      </w:r>
      <w:r w:rsidR="000A6347">
        <w:br w:type="page"/>
      </w:r>
    </w:p>
    <w:p w14:paraId="3EDF55C4" w14:textId="72999BBC" w:rsidR="003738BF" w:rsidRPr="003738BF" w:rsidRDefault="003738BF" w:rsidP="000A6347">
      <w:pPr>
        <w:pStyle w:val="Heading1"/>
        <w:numPr>
          <w:ilvl w:val="0"/>
          <w:numId w:val="0"/>
        </w:numPr>
        <w:ind w:left="720" w:hanging="720"/>
      </w:pPr>
      <w:bookmarkStart w:id="2037" w:name="_Toc121233819"/>
      <w:r w:rsidRPr="00ED1D04">
        <w:lastRenderedPageBreak/>
        <w:t>Reference</w:t>
      </w:r>
      <w:r w:rsidRPr="003738BF">
        <w:t>s</w:t>
      </w:r>
      <w:bookmarkEnd w:id="2037"/>
    </w:p>
    <w:p w14:paraId="7C8C256D" w14:textId="2D27D423" w:rsidR="006E41CA" w:rsidRPr="000A6347" w:rsidRDefault="006E41CA" w:rsidP="006A0185">
      <w:pPr>
        <w:pStyle w:val="STPR2BulletsLevel1"/>
        <w:rPr>
          <w:szCs w:val="24"/>
        </w:rPr>
      </w:pPr>
      <w:r w:rsidRPr="000A6347">
        <w:rPr>
          <w:szCs w:val="24"/>
        </w:rPr>
        <w:t>Chatterjee K., et al. (2018) Is the urbanisation of young adults reducing their driving? Transportation Research Part A: Policy and Practice Volume 118, December 2018, Pages 444-456</w:t>
      </w:r>
    </w:p>
    <w:p w14:paraId="6611E091" w14:textId="661F0CA2" w:rsidR="00A021CE" w:rsidRPr="000A6347" w:rsidRDefault="008C01C1" w:rsidP="006A0185">
      <w:pPr>
        <w:pStyle w:val="STPR2BulletsLevel1"/>
        <w:rPr>
          <w:rStyle w:val="Hyperlink"/>
          <w:sz w:val="24"/>
          <w:szCs w:val="24"/>
        </w:rPr>
      </w:pPr>
      <w:r w:rsidRPr="000A6347">
        <w:rPr>
          <w:szCs w:val="24"/>
        </w:rPr>
        <w:t>Equality and Human Rights Commission (updated May 2021) Technical Guidance on the Public Sector Equality Duty: Scotland</w:t>
      </w:r>
      <w:r w:rsidR="007100CE">
        <w:rPr>
          <w:szCs w:val="24"/>
        </w:rPr>
        <w:t xml:space="preserve"> </w:t>
      </w:r>
      <w:hyperlink r:id="rId30" w:history="1">
        <w:r w:rsidR="00B52E7F" w:rsidRPr="000A6347">
          <w:rPr>
            <w:rStyle w:val="Hyperlink"/>
            <w:sz w:val="24"/>
            <w:szCs w:val="24"/>
          </w:rPr>
          <w:t>https://www.equalityhumanrights.com/en/publication-download/technical-guidance-public-sector-equality-duty-scotland</w:t>
        </w:r>
      </w:hyperlink>
    </w:p>
    <w:p w14:paraId="46497EAC" w14:textId="0FE1544A" w:rsidR="00B83A4D" w:rsidRPr="000A6347" w:rsidRDefault="00B83A4D" w:rsidP="004F7803">
      <w:pPr>
        <w:pStyle w:val="STPR2BulletsLevel1"/>
        <w:rPr>
          <w:rStyle w:val="Hyperlink"/>
          <w:sz w:val="24"/>
          <w:szCs w:val="24"/>
        </w:rPr>
      </w:pPr>
      <w:r w:rsidRPr="000A6347">
        <w:rPr>
          <w:rStyle w:val="Hyperlink"/>
          <w:sz w:val="24"/>
          <w:szCs w:val="24"/>
        </w:rPr>
        <w:t>Halonen. J, Hansell. A, Gulliver. J, Morley .D, Blangiardo. M, Fecht D, Toledano. M, Beevers. S, Anderson. H, Kelly. F Tonne. C (</w:t>
      </w:r>
      <w:r w:rsidR="00B31854" w:rsidRPr="000A6347">
        <w:rPr>
          <w:rStyle w:val="Hyperlink"/>
          <w:sz w:val="24"/>
          <w:szCs w:val="24"/>
        </w:rPr>
        <w:t xml:space="preserve"> Oct </w:t>
      </w:r>
      <w:r w:rsidRPr="000A6347">
        <w:rPr>
          <w:rStyle w:val="Hyperlink"/>
          <w:sz w:val="24"/>
          <w:szCs w:val="24"/>
        </w:rPr>
        <w:t xml:space="preserve">2015) Road traffic noise is associated with increased cardiovascular morbidity and mortality and all-cause mortality in London, European Heart Journal, Volume 36, Issue 39, 14 October 2015, Pages 2653–2661, </w:t>
      </w:r>
      <w:hyperlink r:id="rId31" w:history="1">
        <w:r w:rsidR="006C5E23" w:rsidRPr="000A6347">
          <w:rPr>
            <w:rStyle w:val="Hyperlink"/>
            <w:sz w:val="24"/>
            <w:szCs w:val="24"/>
          </w:rPr>
          <w:t>https://doi.org/10.1093/eurheartj/ehv216</w:t>
        </w:r>
      </w:hyperlink>
      <w:r w:rsidR="006C5E23" w:rsidRPr="000A6347">
        <w:rPr>
          <w:rStyle w:val="Hyperlink"/>
          <w:sz w:val="24"/>
          <w:szCs w:val="24"/>
        </w:rPr>
        <w:t xml:space="preserve"> </w:t>
      </w:r>
    </w:p>
    <w:p w14:paraId="239B705E" w14:textId="376CC9B1" w:rsidR="00AF1AF1" w:rsidRPr="000A6347" w:rsidRDefault="00AF1AF1" w:rsidP="00E757A0">
      <w:pPr>
        <w:pStyle w:val="STPR2BulletsLevel1"/>
        <w:rPr>
          <w:szCs w:val="24"/>
        </w:rPr>
      </w:pPr>
      <w:r w:rsidRPr="000A6347">
        <w:rPr>
          <w:szCs w:val="24"/>
        </w:rPr>
        <w:t>Hjortebjerg, D., Anderson, A.M., Christensen, J.S., Ketzel, M., Raaschou-Nielsen, O., Sunyer, J., Julvez, J., Forns, J. and Sorensen, M. (2015) ‘Exposure to Road Traffic Noise and Behavioral Problems in 7-Year-Old Children: A Cohort Study’ Environmental Health Perspectives, 124(2): 228-34.</w:t>
      </w:r>
      <w:r w:rsidR="006C5E23" w:rsidRPr="000A6347">
        <w:rPr>
          <w:szCs w:val="24"/>
        </w:rPr>
        <w:t xml:space="preserve"> </w:t>
      </w:r>
    </w:p>
    <w:p w14:paraId="16001445" w14:textId="0A8ECDBB" w:rsidR="007F44E7" w:rsidRPr="000A6347" w:rsidRDefault="007F44E7" w:rsidP="00E757A0">
      <w:pPr>
        <w:pStyle w:val="STPR2BulletsLevel1"/>
        <w:rPr>
          <w:szCs w:val="24"/>
        </w:rPr>
      </w:pPr>
      <w:r w:rsidRPr="000A6347">
        <w:rPr>
          <w:szCs w:val="24"/>
        </w:rPr>
        <w:t xml:space="preserve">Jacobs </w:t>
      </w:r>
      <w:r w:rsidR="00AD304C" w:rsidRPr="000A6347">
        <w:rPr>
          <w:szCs w:val="24"/>
        </w:rPr>
        <w:t>AECOM</w:t>
      </w:r>
      <w:r w:rsidRPr="000A6347">
        <w:rPr>
          <w:szCs w:val="24"/>
        </w:rPr>
        <w:t xml:space="preserve"> (2022a) STPR2: Draft Technical Report. Available at: </w:t>
      </w:r>
      <w:hyperlink r:id="rId32" w:history="1">
        <w:r w:rsidRPr="000A6347">
          <w:rPr>
            <w:rStyle w:val="Hyperlink"/>
            <w:sz w:val="24"/>
            <w:szCs w:val="24"/>
          </w:rPr>
          <w:t>https://www.transport.gov.scot/media/50946/draft-technical-report-january-2022-stpr2.pdf</w:t>
        </w:r>
      </w:hyperlink>
      <w:r w:rsidRPr="000A6347">
        <w:rPr>
          <w:szCs w:val="24"/>
        </w:rPr>
        <w:t>, accessed 30 September 2022.</w:t>
      </w:r>
      <w:r w:rsidR="007100CE">
        <w:rPr>
          <w:szCs w:val="24"/>
        </w:rPr>
        <w:t xml:space="preserve"> </w:t>
      </w:r>
    </w:p>
    <w:p w14:paraId="1BC8C997" w14:textId="31C6D5EF" w:rsidR="000F0EB2" w:rsidRPr="000A6347" w:rsidRDefault="000F0EB2" w:rsidP="00F6025A">
      <w:pPr>
        <w:pStyle w:val="STPR2BulletsLevel1"/>
        <w:rPr>
          <w:szCs w:val="24"/>
        </w:rPr>
      </w:pPr>
      <w:r w:rsidRPr="000A6347">
        <w:rPr>
          <w:szCs w:val="24"/>
        </w:rPr>
        <w:t xml:space="preserve">Jacobs </w:t>
      </w:r>
      <w:r w:rsidR="0040328B" w:rsidRPr="000A6347">
        <w:rPr>
          <w:szCs w:val="24"/>
        </w:rPr>
        <w:t>AECOM</w:t>
      </w:r>
      <w:r w:rsidR="00AD304C" w:rsidRPr="000A6347">
        <w:rPr>
          <w:szCs w:val="24"/>
        </w:rPr>
        <w:t xml:space="preserve"> </w:t>
      </w:r>
      <w:r w:rsidRPr="000A6347">
        <w:rPr>
          <w:szCs w:val="24"/>
        </w:rPr>
        <w:t>(2022</w:t>
      </w:r>
      <w:r w:rsidR="007F44E7" w:rsidRPr="000A6347">
        <w:rPr>
          <w:szCs w:val="24"/>
        </w:rPr>
        <w:t>b</w:t>
      </w:r>
      <w:r w:rsidRPr="000A6347">
        <w:rPr>
          <w:szCs w:val="24"/>
        </w:rPr>
        <w:t>) STPR2</w:t>
      </w:r>
      <w:r w:rsidR="007B5C57" w:rsidRPr="000A6347">
        <w:rPr>
          <w:szCs w:val="24"/>
        </w:rPr>
        <w:t xml:space="preserve"> Draft</w:t>
      </w:r>
      <w:r w:rsidRPr="000A6347">
        <w:rPr>
          <w:szCs w:val="24"/>
        </w:rPr>
        <w:t xml:space="preserve"> Equalities Impact Assessment (EqIA) Report. Available at: </w:t>
      </w:r>
      <w:hyperlink r:id="rId33" w:history="1">
        <w:r w:rsidRPr="000A6347">
          <w:rPr>
            <w:rStyle w:val="Hyperlink"/>
            <w:sz w:val="24"/>
            <w:szCs w:val="24"/>
          </w:rPr>
          <w:t>https://www.transport.gov.scot/media/50908/equality-impact-assessment-draft-report-january-2022-stpr2.pdf</w:t>
        </w:r>
      </w:hyperlink>
      <w:r w:rsidRPr="000A6347">
        <w:rPr>
          <w:szCs w:val="24"/>
        </w:rPr>
        <w:t>, accessed 30 September 2022.</w:t>
      </w:r>
      <w:r w:rsidR="007100CE">
        <w:rPr>
          <w:szCs w:val="24"/>
        </w:rPr>
        <w:t xml:space="preserve"> </w:t>
      </w:r>
    </w:p>
    <w:p w14:paraId="404B122B" w14:textId="765B3817" w:rsidR="00526C59" w:rsidRPr="000A6347" w:rsidRDefault="00526C59">
      <w:pPr>
        <w:pStyle w:val="STPR2BulletsLevel1"/>
        <w:rPr>
          <w:szCs w:val="24"/>
        </w:rPr>
      </w:pPr>
      <w:r w:rsidRPr="000A6347">
        <w:rPr>
          <w:szCs w:val="24"/>
        </w:rPr>
        <w:t>Leiser. C, Hanson. H, Sawyer, K, Steenblik, J, Al-Dulaimi, R, Madsen, T, Gibbins, K, Hotaling, J, Oluseye Ibrahim, Y, VanDerslice, J &amp; Fuller, M (2019) Acute effects of air pollutants on spontaneous pregnancy loss: a case-crossover study, Fertility and Sterility, Volume 111, Issue 2, 2019, Pages 341-347.</w:t>
      </w:r>
    </w:p>
    <w:p w14:paraId="2483AF70" w14:textId="2C797093" w:rsidR="00D70AF7" w:rsidRPr="000A6347" w:rsidRDefault="00D70AF7">
      <w:pPr>
        <w:pStyle w:val="STPR2BulletsLevel1"/>
        <w:rPr>
          <w:szCs w:val="24"/>
        </w:rPr>
      </w:pPr>
      <w:r w:rsidRPr="000A6347">
        <w:rPr>
          <w:szCs w:val="24"/>
        </w:rPr>
        <w:t xml:space="preserve">National Records of Scotland (2021) Mid-Year Population Estimates Scotland </w:t>
      </w:r>
      <w:hyperlink r:id="rId34" w:history="1">
        <w:r w:rsidRPr="000A6347">
          <w:rPr>
            <w:rStyle w:val="Hyperlink"/>
            <w:sz w:val="24"/>
            <w:szCs w:val="24"/>
          </w:rPr>
          <w:t>https://www.nrscotland.gov.uk/statistics-and-data/statistics/statistics-by-theme/population/population-estimates/mid-year-population-estimates/mid-2020</w:t>
        </w:r>
      </w:hyperlink>
      <w:r w:rsidRPr="000A6347">
        <w:rPr>
          <w:szCs w:val="24"/>
        </w:rPr>
        <w:t xml:space="preserve"> </w:t>
      </w:r>
    </w:p>
    <w:p w14:paraId="05FE36DC" w14:textId="77777777" w:rsidR="00000C0B" w:rsidRPr="000A6347" w:rsidRDefault="00000C0B">
      <w:pPr>
        <w:pStyle w:val="STPR2BulletsLevel1"/>
        <w:rPr>
          <w:rStyle w:val="Hyperlink"/>
          <w:sz w:val="24"/>
          <w:szCs w:val="24"/>
        </w:rPr>
      </w:pPr>
      <w:r w:rsidRPr="000A6347">
        <w:rPr>
          <w:szCs w:val="24"/>
        </w:rPr>
        <w:t xml:space="preserve">Paths for All (2021) - Smarter Choices, Smarter Places Success Stories, Paths for All </w:t>
      </w:r>
      <w:hyperlink r:id="rId35" w:history="1">
        <w:r w:rsidRPr="000A6347">
          <w:rPr>
            <w:rStyle w:val="Hyperlink"/>
            <w:rFonts w:cstheme="minorHAnsi"/>
            <w:sz w:val="24"/>
            <w:szCs w:val="24"/>
          </w:rPr>
          <w:t>https://www.pathsforall.org.uk/active-travel/at-success-stories</w:t>
        </w:r>
      </w:hyperlink>
    </w:p>
    <w:p w14:paraId="28C89B36" w14:textId="77777777" w:rsidR="00324D99" w:rsidRPr="000A6347" w:rsidRDefault="00324D99" w:rsidP="00324D99">
      <w:pPr>
        <w:pStyle w:val="STPR2BulletsLevel1"/>
        <w:rPr>
          <w:rStyle w:val="Hyperlink"/>
          <w:sz w:val="24"/>
          <w:szCs w:val="24"/>
        </w:rPr>
      </w:pPr>
      <w:r w:rsidRPr="000A6347">
        <w:rPr>
          <w:szCs w:val="24"/>
        </w:rPr>
        <w:t xml:space="preserve">Scottish Government (November 2022) Scotland 2045: Our Fourth National Planning Framework Revised Draft </w:t>
      </w:r>
      <w:hyperlink r:id="rId36" w:history="1">
        <w:r w:rsidRPr="000A6347">
          <w:rPr>
            <w:rStyle w:val="Hyperlink"/>
            <w:sz w:val="24"/>
            <w:szCs w:val="24"/>
          </w:rPr>
          <w:t>https://www.transformingplanning.scot/national-planning-framework</w:t>
        </w:r>
      </w:hyperlink>
      <w:r w:rsidRPr="000A6347">
        <w:rPr>
          <w:rStyle w:val="Hyperlink"/>
          <w:sz w:val="24"/>
          <w:szCs w:val="24"/>
        </w:rPr>
        <w:t xml:space="preserve"> </w:t>
      </w:r>
    </w:p>
    <w:p w14:paraId="71FEE4BD" w14:textId="372701FA" w:rsidR="00500E6E" w:rsidRPr="000A6347" w:rsidRDefault="00500E6E" w:rsidP="00991418">
      <w:pPr>
        <w:pStyle w:val="STPR2BulletsLevel1"/>
        <w:rPr>
          <w:szCs w:val="24"/>
        </w:rPr>
      </w:pPr>
      <w:r w:rsidRPr="000A6347">
        <w:rPr>
          <w:szCs w:val="24"/>
        </w:rPr>
        <w:t xml:space="preserve">Scottish Government (Sep 2021) A Fairer, Greener Scotland: Programme for Government 2021-22 </w:t>
      </w:r>
      <w:hyperlink r:id="rId37" w:history="1">
        <w:r w:rsidRPr="000A6347">
          <w:rPr>
            <w:rStyle w:val="Hyperlink"/>
            <w:sz w:val="24"/>
            <w:szCs w:val="24"/>
          </w:rPr>
          <w:t>https://www.gov.scot/publications/fairer-greener-scotland-programme-government-2021-22/documents/</w:t>
        </w:r>
      </w:hyperlink>
      <w:r w:rsidRPr="000A6347">
        <w:rPr>
          <w:szCs w:val="24"/>
        </w:rPr>
        <w:t xml:space="preserve"> </w:t>
      </w:r>
    </w:p>
    <w:p w14:paraId="56BBC874" w14:textId="7BAFA403" w:rsidR="00000C0B" w:rsidRPr="000A6347" w:rsidRDefault="00000C0B">
      <w:pPr>
        <w:pStyle w:val="STPR2BulletsLevel1"/>
        <w:rPr>
          <w:szCs w:val="24"/>
        </w:rPr>
      </w:pPr>
      <w:r w:rsidRPr="000A6347">
        <w:rPr>
          <w:szCs w:val="24"/>
        </w:rPr>
        <w:t xml:space="preserve">Scottish Government (Jul 2021) Cleaner Air for Scotland 2 Towards a Better Place for Everyone </w:t>
      </w:r>
      <w:hyperlink r:id="rId38" w:history="1">
        <w:r w:rsidRPr="000A6347">
          <w:rPr>
            <w:rStyle w:val="Hyperlink"/>
            <w:sz w:val="24"/>
            <w:szCs w:val="24"/>
          </w:rPr>
          <w:t>https://www.gov.scot/publications/cleaner-air-scotland-2-towards-better-place-everyone/documents/</w:t>
        </w:r>
      </w:hyperlink>
      <w:r w:rsidRPr="000A6347">
        <w:rPr>
          <w:szCs w:val="24"/>
        </w:rPr>
        <w:t xml:space="preserve"> </w:t>
      </w:r>
    </w:p>
    <w:p w14:paraId="47C60F88" w14:textId="01F5AF9F" w:rsidR="00FA7D15" w:rsidRPr="000A6347" w:rsidRDefault="00FA7D15">
      <w:pPr>
        <w:pStyle w:val="STPR2BulletsLevel1"/>
        <w:rPr>
          <w:rStyle w:val="Hyperlink"/>
          <w:sz w:val="24"/>
          <w:szCs w:val="24"/>
        </w:rPr>
      </w:pPr>
      <w:r w:rsidRPr="000A6347">
        <w:rPr>
          <w:szCs w:val="24"/>
        </w:rPr>
        <w:t>Scottish Government</w:t>
      </w:r>
      <w:r w:rsidR="006D32A2" w:rsidRPr="000A6347">
        <w:rPr>
          <w:szCs w:val="24"/>
        </w:rPr>
        <w:t xml:space="preserve"> (</w:t>
      </w:r>
      <w:r w:rsidR="00577286" w:rsidRPr="000A6347">
        <w:rPr>
          <w:szCs w:val="24"/>
        </w:rPr>
        <w:t>Dec 2020</w:t>
      </w:r>
      <w:r w:rsidR="006D32A2" w:rsidRPr="000A6347">
        <w:rPr>
          <w:szCs w:val="24"/>
        </w:rPr>
        <w:t>)</w:t>
      </w:r>
      <w:r w:rsidR="00577286" w:rsidRPr="000A6347">
        <w:rPr>
          <w:szCs w:val="24"/>
        </w:rPr>
        <w:t xml:space="preserve"> Update to the Climate Change Plan 2018-2035</w:t>
      </w:r>
      <w:r w:rsidR="00772F0B" w:rsidRPr="000A6347">
        <w:rPr>
          <w:szCs w:val="24"/>
        </w:rPr>
        <w:t xml:space="preserve"> </w:t>
      </w:r>
      <w:hyperlink r:id="rId39" w:history="1">
        <w:r w:rsidR="00772F0B" w:rsidRPr="000A6347">
          <w:rPr>
            <w:rStyle w:val="Hyperlink"/>
            <w:sz w:val="24"/>
            <w:szCs w:val="24"/>
          </w:rPr>
          <w:t>https://www.gov.scot/publications/securing-green-recovery-path-net-zero-update-climate-change-plan-20182032/documents/</w:t>
        </w:r>
      </w:hyperlink>
    </w:p>
    <w:p w14:paraId="495F2B2C" w14:textId="78E6AD46" w:rsidR="00C109D6" w:rsidRPr="000A6347" w:rsidRDefault="00C109D6">
      <w:pPr>
        <w:pStyle w:val="STPR2BulletsLevel1"/>
        <w:rPr>
          <w:rStyle w:val="Hyperlink"/>
          <w:sz w:val="24"/>
          <w:szCs w:val="24"/>
        </w:rPr>
      </w:pPr>
      <w:r w:rsidRPr="000A6347">
        <w:rPr>
          <w:szCs w:val="24"/>
        </w:rPr>
        <w:t xml:space="preserve">Scottish Government (Sep 2020) Protecting Scotland, Renewing Scotland: The Government's Programme for Scotland 2020-2021. </w:t>
      </w:r>
      <w:hyperlink r:id="rId40" w:history="1">
        <w:r w:rsidRPr="000A6347">
          <w:rPr>
            <w:rStyle w:val="Hyperlink"/>
            <w:sz w:val="24"/>
            <w:szCs w:val="24"/>
          </w:rPr>
          <w:t>https://www.gov.scot/publications/protecting-scotland-renewing-scotland-governments-programme-scotland-2020-2021/documents/</w:t>
        </w:r>
      </w:hyperlink>
      <w:r w:rsidRPr="000A6347">
        <w:rPr>
          <w:szCs w:val="24"/>
        </w:rPr>
        <w:t xml:space="preserve"> </w:t>
      </w:r>
    </w:p>
    <w:p w14:paraId="341465B7" w14:textId="154E3FFD" w:rsidR="00000C0B" w:rsidRPr="000A6347" w:rsidRDefault="007E62EF">
      <w:pPr>
        <w:pStyle w:val="STPR2BulletsLevel1"/>
        <w:rPr>
          <w:szCs w:val="24"/>
        </w:rPr>
      </w:pPr>
      <w:r w:rsidRPr="000A6347">
        <w:rPr>
          <w:szCs w:val="24"/>
        </w:rPr>
        <w:t xml:space="preserve">Scottish Government (2019) Scottish Surveys Core Questions 2019: Technical Report </w:t>
      </w:r>
      <w:r w:rsidR="00C109D6" w:rsidRPr="000A6347">
        <w:rPr>
          <w:rStyle w:val="Hyperlink"/>
          <w:sz w:val="24"/>
          <w:szCs w:val="24"/>
        </w:rPr>
        <w:t>https://www.gov.scot/publications/scottish-surveys-core-questions-2019/documents/</w:t>
      </w:r>
    </w:p>
    <w:p w14:paraId="561D3A3A" w14:textId="6C33A62B" w:rsidR="00FB15A4" w:rsidRPr="000A6347" w:rsidRDefault="00FB15A4">
      <w:pPr>
        <w:pStyle w:val="STPR2BulletsLevel1"/>
        <w:rPr>
          <w:szCs w:val="24"/>
        </w:rPr>
      </w:pPr>
      <w:r w:rsidRPr="000A6347">
        <w:rPr>
          <w:szCs w:val="24"/>
        </w:rPr>
        <w:t>Scottish Government (</w:t>
      </w:r>
      <w:r w:rsidR="001D2EB2" w:rsidRPr="000A6347">
        <w:rPr>
          <w:szCs w:val="24"/>
        </w:rPr>
        <w:t xml:space="preserve">Mar </w:t>
      </w:r>
      <w:r w:rsidRPr="000A6347">
        <w:rPr>
          <w:szCs w:val="24"/>
        </w:rPr>
        <w:t>2018) Every Child, Every Chance: The Tackling Child Poverty Delivery Plan 2018 – 2022</w:t>
      </w:r>
      <w:r w:rsidR="00DE7F7C" w:rsidRPr="000A6347">
        <w:rPr>
          <w:szCs w:val="24"/>
        </w:rPr>
        <w:t xml:space="preserve"> </w:t>
      </w:r>
      <w:hyperlink r:id="rId41" w:history="1">
        <w:r w:rsidR="00DE7F7C" w:rsidRPr="000A6347">
          <w:rPr>
            <w:rStyle w:val="Hyperlink"/>
            <w:sz w:val="24"/>
            <w:szCs w:val="24"/>
          </w:rPr>
          <w:t>https://www.gov.scot/publications/child-chance-tackling-child-poverty-delivery-plan-2018-22/</w:t>
        </w:r>
      </w:hyperlink>
    </w:p>
    <w:p w14:paraId="32F86436" w14:textId="6235EA7F" w:rsidR="00ED24CA" w:rsidRPr="000A6347" w:rsidRDefault="00ED24CA">
      <w:pPr>
        <w:pStyle w:val="STPR2BulletsLevel1"/>
        <w:rPr>
          <w:szCs w:val="24"/>
        </w:rPr>
      </w:pPr>
      <w:r w:rsidRPr="000A6347">
        <w:rPr>
          <w:szCs w:val="24"/>
        </w:rPr>
        <w:t xml:space="preserve">Scottish Government Justice Analytical Services (2017) Religiously aggravated Offending in Scotland 2016-2017 </w:t>
      </w:r>
      <w:hyperlink r:id="rId42" w:history="1">
        <w:r w:rsidR="007B33DA" w:rsidRPr="000A6347">
          <w:rPr>
            <w:rStyle w:val="Hyperlink"/>
            <w:sz w:val="24"/>
            <w:szCs w:val="24"/>
          </w:rPr>
          <w:t>https://www.gov.scot/publications/religiously-aggravated-offending-scotland-2016-2017/documents/</w:t>
        </w:r>
      </w:hyperlink>
      <w:r w:rsidR="007B33DA" w:rsidRPr="000A6347">
        <w:rPr>
          <w:szCs w:val="24"/>
        </w:rPr>
        <w:t xml:space="preserve"> </w:t>
      </w:r>
    </w:p>
    <w:p w14:paraId="18890971" w14:textId="1DF9D333" w:rsidR="00006ECA" w:rsidRPr="000A6347" w:rsidRDefault="00006ECA">
      <w:pPr>
        <w:pStyle w:val="STPR2BulletsLevel1"/>
        <w:rPr>
          <w:rStyle w:val="Hyperlink"/>
          <w:sz w:val="24"/>
          <w:szCs w:val="24"/>
        </w:rPr>
      </w:pPr>
      <w:r w:rsidRPr="000A6347">
        <w:rPr>
          <w:szCs w:val="24"/>
        </w:rPr>
        <w:t>Scottish Trans Alliance (2008). Transgender Experiences in Scotland Research Summary</w:t>
      </w:r>
      <w:r w:rsidR="009F3B5A" w:rsidRPr="000A6347">
        <w:rPr>
          <w:szCs w:val="24"/>
        </w:rPr>
        <w:t xml:space="preserve"> </w:t>
      </w:r>
      <w:hyperlink r:id="rId43" w:history="1">
        <w:r w:rsidR="009F3B5A" w:rsidRPr="000A6347">
          <w:rPr>
            <w:rStyle w:val="Hyperlink"/>
            <w:sz w:val="24"/>
            <w:szCs w:val="24"/>
          </w:rPr>
          <w:t>https://itgl.lu/wp-content/uploads/2015/04/SB-2008-3.pdf</w:t>
        </w:r>
      </w:hyperlink>
    </w:p>
    <w:p w14:paraId="1428163C" w14:textId="72BE07EF" w:rsidR="00C109D6" w:rsidRPr="000A6347" w:rsidRDefault="00C109D6">
      <w:pPr>
        <w:pStyle w:val="STPR2BulletsLevel1"/>
        <w:rPr>
          <w:szCs w:val="24"/>
        </w:rPr>
      </w:pPr>
      <w:r w:rsidRPr="000A6347">
        <w:rPr>
          <w:szCs w:val="24"/>
        </w:rPr>
        <w:t xml:space="preserve">Stonewall Scotland (2017) LGBT in Scotland Hate Crime and Discrimination </w:t>
      </w:r>
      <w:hyperlink r:id="rId44" w:history="1">
        <w:r w:rsidR="00E43CA1" w:rsidRPr="000A6347">
          <w:rPr>
            <w:rStyle w:val="Hyperlink"/>
            <w:sz w:val="24"/>
            <w:szCs w:val="24"/>
          </w:rPr>
          <w:t>https://www.stonewallscotland.org.uk/lgbt-scotland-hate-crime-and-discrimination</w:t>
        </w:r>
      </w:hyperlink>
      <w:r w:rsidR="00E43CA1" w:rsidRPr="000A6347">
        <w:rPr>
          <w:szCs w:val="24"/>
        </w:rPr>
        <w:t xml:space="preserve"> </w:t>
      </w:r>
    </w:p>
    <w:p w14:paraId="1D8F02DA" w14:textId="6600C2D2" w:rsidR="001A2E48" w:rsidRPr="000A6347" w:rsidRDefault="001A2E48">
      <w:pPr>
        <w:pStyle w:val="STPR2BulletsLevel1"/>
        <w:rPr>
          <w:rStyle w:val="Hyperlink"/>
          <w:sz w:val="24"/>
          <w:szCs w:val="24"/>
        </w:rPr>
      </w:pPr>
      <w:r w:rsidRPr="000A6347">
        <w:rPr>
          <w:szCs w:val="24"/>
        </w:rPr>
        <w:t xml:space="preserve">Sustrans (2018) Women: reducing the gender gap </w:t>
      </w:r>
      <w:hyperlink r:id="rId45" w:history="1">
        <w:r w:rsidR="00D839CB" w:rsidRPr="000A6347">
          <w:rPr>
            <w:rStyle w:val="Hyperlink"/>
            <w:sz w:val="24"/>
            <w:szCs w:val="24"/>
          </w:rPr>
          <w:t>https://www.sustrans.org.uk/media/2930/2930.pdf</w:t>
        </w:r>
      </w:hyperlink>
    </w:p>
    <w:p w14:paraId="1FF861C1" w14:textId="77777777" w:rsidR="00CE0CBA" w:rsidRPr="000A6347" w:rsidRDefault="00CE0CBA">
      <w:pPr>
        <w:pStyle w:val="STPR2BulletsLevel1"/>
        <w:rPr>
          <w:szCs w:val="24"/>
        </w:rPr>
      </w:pPr>
      <w:r w:rsidRPr="000A6347">
        <w:rPr>
          <w:szCs w:val="24"/>
        </w:rPr>
        <w:t xml:space="preserve">Transport Scotland (2021) Disability and Transport - Findings from the Scottish Household Survey - July 2021 </w:t>
      </w:r>
      <w:hyperlink r:id="rId46" w:history="1">
        <w:r w:rsidRPr="000A6347">
          <w:rPr>
            <w:rStyle w:val="Hyperlink"/>
            <w:sz w:val="24"/>
            <w:szCs w:val="24"/>
          </w:rPr>
          <w:t>https://www.transport.gov.scot/publication/disability-and-transport-findings-from-the-scottish-household-survey-july-2021</w:t>
        </w:r>
      </w:hyperlink>
    </w:p>
    <w:p w14:paraId="2DC6F1A7" w14:textId="77777777" w:rsidR="00CE0CBA" w:rsidRPr="000A6347" w:rsidRDefault="00CE0CBA">
      <w:pPr>
        <w:pStyle w:val="STPR2BulletsLevel1"/>
        <w:rPr>
          <w:szCs w:val="24"/>
        </w:rPr>
      </w:pPr>
      <w:r w:rsidRPr="000A6347">
        <w:rPr>
          <w:szCs w:val="24"/>
        </w:rPr>
        <w:t xml:space="preserve">Transport Scotland (Sep 2020)Transport and Travel in Scotland 2019: Results from the Scottish Household Survey </w:t>
      </w:r>
      <w:hyperlink r:id="rId47" w:history="1">
        <w:r w:rsidRPr="000A6347">
          <w:rPr>
            <w:rStyle w:val="Hyperlink"/>
            <w:sz w:val="24"/>
            <w:szCs w:val="24"/>
          </w:rPr>
          <w:t>https://www.transport.gov.scot/publication/transport-and-travel-in-scotland-2019-results-from-the-scottish-household-survey</w:t>
        </w:r>
      </w:hyperlink>
    </w:p>
    <w:p w14:paraId="463EEE4C" w14:textId="5601B4BB" w:rsidR="00CE0CBA" w:rsidRPr="000A6347" w:rsidRDefault="00CE0CBA">
      <w:pPr>
        <w:pStyle w:val="STPR2BulletsLevel1"/>
        <w:rPr>
          <w:rStyle w:val="Hyperlink"/>
          <w:sz w:val="24"/>
          <w:szCs w:val="24"/>
        </w:rPr>
      </w:pPr>
      <w:r w:rsidRPr="000A6347">
        <w:rPr>
          <w:szCs w:val="24"/>
        </w:rPr>
        <w:t xml:space="preserve">Transport Scotland (Jul 2020) Key Reported Road Casualties Scotland 2019 </w:t>
      </w:r>
      <w:hyperlink r:id="rId48" w:history="1">
        <w:r w:rsidRPr="000A6347">
          <w:rPr>
            <w:rStyle w:val="Hyperlink"/>
            <w:sz w:val="24"/>
            <w:szCs w:val="24"/>
          </w:rPr>
          <w:t>https://www.transport.gov.scot/publication/key-reported-road-casualties-scotland-2019/</w:t>
        </w:r>
      </w:hyperlink>
    </w:p>
    <w:p w14:paraId="09BAB02C" w14:textId="426CFC59" w:rsidR="00C524C3" w:rsidRPr="000A6347" w:rsidRDefault="00C524C3">
      <w:pPr>
        <w:pStyle w:val="STPR2BulletsLevel1"/>
        <w:rPr>
          <w:szCs w:val="24"/>
        </w:rPr>
      </w:pPr>
      <w:r w:rsidRPr="000A6347">
        <w:rPr>
          <w:szCs w:val="24"/>
        </w:rPr>
        <w:t>Transport Scotland (</w:t>
      </w:r>
      <w:r w:rsidR="00137BA8" w:rsidRPr="000A6347">
        <w:rPr>
          <w:szCs w:val="24"/>
        </w:rPr>
        <w:t xml:space="preserve">Feb </w:t>
      </w:r>
      <w:r w:rsidRPr="000A6347">
        <w:rPr>
          <w:szCs w:val="24"/>
        </w:rPr>
        <w:t xml:space="preserve">2020) National Transport Strategy (NTS2), </w:t>
      </w:r>
      <w:hyperlink r:id="rId49" w:history="1">
        <w:r w:rsidR="00C9797F" w:rsidRPr="000A6347">
          <w:rPr>
            <w:rStyle w:val="Hyperlink"/>
            <w:sz w:val="24"/>
            <w:szCs w:val="24"/>
          </w:rPr>
          <w:t>https://www.transport.gov.scot/publication/national-transport-strategy-2/</w:t>
        </w:r>
      </w:hyperlink>
      <w:r w:rsidR="00C9797F" w:rsidRPr="000A6347">
        <w:rPr>
          <w:szCs w:val="24"/>
        </w:rPr>
        <w:t xml:space="preserve"> </w:t>
      </w:r>
    </w:p>
    <w:p w14:paraId="00DA3E73" w14:textId="28061745" w:rsidR="00022456" w:rsidRPr="000A6347" w:rsidRDefault="00CE3E4C">
      <w:pPr>
        <w:pStyle w:val="STPR2BulletsLevel1"/>
        <w:rPr>
          <w:rStyle w:val="Hyperlink"/>
          <w:sz w:val="24"/>
          <w:szCs w:val="24"/>
        </w:rPr>
      </w:pPr>
      <w:r w:rsidRPr="000A6347">
        <w:rPr>
          <w:szCs w:val="24"/>
        </w:rPr>
        <w:t>Wheels for Wellbeing (2</w:t>
      </w:r>
      <w:r w:rsidR="00955035" w:rsidRPr="000A6347">
        <w:rPr>
          <w:szCs w:val="24"/>
        </w:rPr>
        <w:t>0</w:t>
      </w:r>
      <w:r w:rsidR="00C36DAC" w:rsidRPr="000A6347">
        <w:rPr>
          <w:szCs w:val="24"/>
        </w:rPr>
        <w:t>20</w:t>
      </w:r>
      <w:r w:rsidR="00955035" w:rsidRPr="000A6347">
        <w:rPr>
          <w:szCs w:val="24"/>
        </w:rPr>
        <w:t xml:space="preserve">) Wheels for Wellbeing’s Annual Survey of Disabled Cyclists (2019/20) </w:t>
      </w:r>
      <w:hyperlink r:id="rId50" w:history="1">
        <w:r w:rsidR="002D19F7" w:rsidRPr="000A6347">
          <w:rPr>
            <w:rStyle w:val="Hyperlink"/>
            <w:sz w:val="24"/>
            <w:szCs w:val="24"/>
          </w:rPr>
          <w:t>https://wheelsforwellbeing.org.uk/campaigning/publications-and-research/</w:t>
        </w:r>
      </w:hyperlink>
      <w:r w:rsidR="002D19F7" w:rsidRPr="000A6347">
        <w:rPr>
          <w:szCs w:val="24"/>
        </w:rPr>
        <w:t xml:space="preserve"> </w:t>
      </w:r>
    </w:p>
    <w:p w14:paraId="282EB8DB" w14:textId="3735426D" w:rsidR="00955035" w:rsidRPr="000A6347" w:rsidRDefault="001D09DD" w:rsidP="00721406">
      <w:pPr>
        <w:pStyle w:val="STPR2BulletsLevel1"/>
        <w:rPr>
          <w:szCs w:val="24"/>
        </w:rPr>
      </w:pPr>
      <w:r w:rsidRPr="000A6347">
        <w:rPr>
          <w:rStyle w:val="Hyperlink"/>
          <w:color w:val="auto"/>
          <w:sz w:val="24"/>
          <w:szCs w:val="24"/>
        </w:rPr>
        <w:t>WHO (2004) Road Safety – Speed</w:t>
      </w:r>
      <w:r w:rsidR="001323E2" w:rsidRPr="000A6347">
        <w:rPr>
          <w:rStyle w:val="Hyperlink"/>
          <w:color w:val="auto"/>
          <w:sz w:val="24"/>
          <w:szCs w:val="24"/>
        </w:rPr>
        <w:t xml:space="preserve"> </w:t>
      </w:r>
      <w:hyperlink r:id="rId51" w:history="1">
        <w:r w:rsidR="003E54FA" w:rsidRPr="000A6347">
          <w:rPr>
            <w:rStyle w:val="Hyperlink"/>
            <w:sz w:val="24"/>
            <w:szCs w:val="24"/>
          </w:rPr>
          <w:t>https://www.who.int/violence_injury_prevention/publications/road_traffic/world_report/speed_en.pdf</w:t>
        </w:r>
      </w:hyperlink>
      <w:r w:rsidR="003E54FA" w:rsidRPr="000A6347">
        <w:rPr>
          <w:rStyle w:val="Hyperlink"/>
          <w:sz w:val="24"/>
          <w:szCs w:val="24"/>
        </w:rPr>
        <w:t xml:space="preserve"> </w:t>
      </w:r>
    </w:p>
    <w:p w14:paraId="0F416B1C" w14:textId="77777777" w:rsidR="00857E42" w:rsidRPr="000A6347" w:rsidRDefault="00857E42" w:rsidP="00615C3F">
      <w:pPr>
        <w:pStyle w:val="STPR2BulletsLevel1"/>
        <w:numPr>
          <w:ilvl w:val="0"/>
          <w:numId w:val="0"/>
        </w:numPr>
        <w:ind w:left="360"/>
        <w:rPr>
          <w:szCs w:val="24"/>
        </w:rPr>
      </w:pPr>
    </w:p>
    <w:p w14:paraId="04C30D90" w14:textId="3EFBAB1B" w:rsidR="00577286" w:rsidRPr="001240BC" w:rsidRDefault="00577286" w:rsidP="001240BC">
      <w:pPr>
        <w:pStyle w:val="STPR2BodyText"/>
        <w:sectPr w:rsidR="00577286" w:rsidRPr="001240BC" w:rsidSect="00731A9E">
          <w:footerReference w:type="default" r:id="rId52"/>
          <w:pgSz w:w="11906" w:h="16838" w:code="9"/>
          <w:pgMar w:top="1699" w:right="1138" w:bottom="1138" w:left="1138" w:header="454" w:footer="567" w:gutter="0"/>
          <w:cols w:space="720"/>
          <w:noEndnote/>
          <w:docGrid w:linePitch="299"/>
        </w:sectPr>
      </w:pPr>
    </w:p>
    <w:p w14:paraId="44114E21" w14:textId="4EDC6DB5" w:rsidR="007A2B59" w:rsidRDefault="007A2B59" w:rsidP="00874931">
      <w:pPr>
        <w:pStyle w:val="Appendix"/>
      </w:pPr>
      <w:bookmarkStart w:id="2038" w:name="_Toc90038047"/>
      <w:bookmarkStart w:id="2039" w:name="_Toc120101217"/>
      <w:bookmarkStart w:id="2040" w:name="_Ref121234548"/>
      <w:bookmarkStart w:id="2041" w:name="_Ref121234551"/>
      <w:r w:rsidRPr="00FE4EA2">
        <w:lastRenderedPageBreak/>
        <w:t>Glossary</w:t>
      </w:r>
      <w:bookmarkEnd w:id="2038"/>
      <w:bookmarkEnd w:id="2039"/>
      <w:bookmarkEnd w:id="2040"/>
      <w:bookmarkEnd w:id="2041"/>
    </w:p>
    <w:p w14:paraId="3983648E" w14:textId="04C9B391" w:rsidR="000A6347" w:rsidRDefault="001240BC" w:rsidP="001240BC">
      <w:pPr>
        <w:pStyle w:val="AppendixHeading2"/>
        <w:rPr>
          <w:lang w:eastAsia="en-US"/>
        </w:rPr>
      </w:pPr>
      <w:r>
        <w:rPr>
          <w:lang w:eastAsia="en-US"/>
        </w:rPr>
        <w:t>Glossary</w:t>
      </w:r>
    </w:p>
    <w:p w14:paraId="00B566AB" w14:textId="193C0423" w:rsidR="000A6347" w:rsidRPr="007100CE" w:rsidRDefault="007100CE" w:rsidP="000A6347">
      <w:pPr>
        <w:pStyle w:val="STPR2BodyText"/>
        <w:rPr>
          <w:b/>
          <w:bCs/>
          <w:lang w:eastAsia="en-US"/>
        </w:rPr>
      </w:pPr>
      <w:r w:rsidRPr="007100CE">
        <w:rPr>
          <w:b/>
          <w:bCs/>
          <w:lang w:eastAsia="en-US"/>
        </w:rPr>
        <w:t>ACTIVE TRAVEL HUBS</w:t>
      </w:r>
    </w:p>
    <w:p w14:paraId="4A3061BF" w14:textId="77777777" w:rsidR="000A6347" w:rsidRDefault="000A6347" w:rsidP="000A6347">
      <w:pPr>
        <w:pStyle w:val="STPR2BodyText"/>
        <w:rPr>
          <w:lang w:eastAsia="en-US"/>
        </w:rPr>
      </w:pPr>
      <w:r>
        <w:rPr>
          <w:lang w:eastAsia="en-US"/>
        </w:rPr>
        <w:t>Specific locations which support/provide a base for active travel initiatives in a local community.</w:t>
      </w:r>
    </w:p>
    <w:p w14:paraId="3D22BBFF" w14:textId="0B44A6F0" w:rsidR="000A6347" w:rsidRPr="007100CE" w:rsidRDefault="007100CE" w:rsidP="000A6347">
      <w:pPr>
        <w:pStyle w:val="STPR2BodyText"/>
        <w:rPr>
          <w:b/>
          <w:bCs/>
          <w:lang w:eastAsia="en-US"/>
        </w:rPr>
      </w:pPr>
      <w:r w:rsidRPr="007100CE">
        <w:rPr>
          <w:b/>
          <w:bCs/>
          <w:lang w:eastAsia="en-US"/>
        </w:rPr>
        <w:t>ASSESSMENT</w:t>
      </w:r>
    </w:p>
    <w:p w14:paraId="7893023F" w14:textId="77777777" w:rsidR="000A6347" w:rsidRDefault="000A6347" w:rsidP="000A6347">
      <w:pPr>
        <w:pStyle w:val="STPR2BodyText"/>
        <w:rPr>
          <w:lang w:eastAsia="en-US"/>
        </w:rPr>
      </w:pPr>
      <w:r>
        <w:rPr>
          <w:lang w:eastAsia="en-US"/>
        </w:rPr>
        <w:t>An umbrella term for description, analysis, and evaluation.</w:t>
      </w:r>
    </w:p>
    <w:p w14:paraId="3ACA1835" w14:textId="3AEA8573" w:rsidR="000A6347" w:rsidRPr="007100CE" w:rsidRDefault="007100CE" w:rsidP="000A6347">
      <w:pPr>
        <w:pStyle w:val="STPR2BodyText"/>
        <w:rPr>
          <w:b/>
          <w:bCs/>
          <w:lang w:eastAsia="en-US"/>
        </w:rPr>
      </w:pPr>
      <w:r w:rsidRPr="007100CE">
        <w:rPr>
          <w:b/>
          <w:bCs/>
          <w:lang w:eastAsia="en-US"/>
        </w:rPr>
        <w:t>AUTHORITY AREA</w:t>
      </w:r>
    </w:p>
    <w:p w14:paraId="760F83B0" w14:textId="77777777" w:rsidR="000A6347" w:rsidRDefault="000A6347" w:rsidP="000A6347">
      <w:pPr>
        <w:pStyle w:val="STPR2BodyText"/>
        <w:rPr>
          <w:lang w:eastAsia="en-US"/>
        </w:rPr>
      </w:pPr>
      <w:r>
        <w:rPr>
          <w:lang w:eastAsia="en-US"/>
        </w:rPr>
        <w:t>The area administered by a local authority for example, District Council, City Council or Unitary Authority.</w:t>
      </w:r>
    </w:p>
    <w:p w14:paraId="4C3C005B" w14:textId="123108C6" w:rsidR="000A6347" w:rsidRPr="007100CE" w:rsidRDefault="007100CE" w:rsidP="000A6347">
      <w:pPr>
        <w:pStyle w:val="STPR2BodyText"/>
        <w:rPr>
          <w:b/>
          <w:bCs/>
          <w:lang w:eastAsia="en-US"/>
        </w:rPr>
      </w:pPr>
      <w:r w:rsidRPr="007100CE">
        <w:rPr>
          <w:b/>
          <w:bCs/>
          <w:lang w:eastAsia="en-US"/>
        </w:rPr>
        <w:t>BASELINE</w:t>
      </w:r>
    </w:p>
    <w:p w14:paraId="34E681FE" w14:textId="77777777" w:rsidR="000A6347" w:rsidRDefault="000A6347" w:rsidP="000A6347">
      <w:pPr>
        <w:pStyle w:val="STPR2BodyText"/>
        <w:rPr>
          <w:lang w:eastAsia="en-US"/>
        </w:rPr>
      </w:pPr>
      <w:r>
        <w:rPr>
          <w:lang w:eastAsia="en-US"/>
        </w:rPr>
        <w:t>The existing conditions which form the basis or start point of the environmental assessment.</w:t>
      </w:r>
    </w:p>
    <w:p w14:paraId="0A15CC70" w14:textId="4DCA9E8E" w:rsidR="000A6347" w:rsidRPr="007100CE" w:rsidRDefault="007100CE" w:rsidP="000A6347">
      <w:pPr>
        <w:pStyle w:val="STPR2BodyText"/>
        <w:rPr>
          <w:b/>
          <w:bCs/>
          <w:lang w:eastAsia="en-US"/>
        </w:rPr>
      </w:pPr>
      <w:r w:rsidRPr="007100CE">
        <w:rPr>
          <w:b/>
          <w:bCs/>
          <w:lang w:eastAsia="en-US"/>
        </w:rPr>
        <w:t>COMMUNITY SEVERANCE</w:t>
      </w:r>
    </w:p>
    <w:p w14:paraId="01508C07" w14:textId="77777777" w:rsidR="000A6347" w:rsidRDefault="000A6347" w:rsidP="000A6347">
      <w:pPr>
        <w:pStyle w:val="STPR2BodyText"/>
        <w:rPr>
          <w:lang w:eastAsia="en-US"/>
        </w:rPr>
      </w:pPr>
      <w:r>
        <w:rPr>
          <w:lang w:eastAsia="en-US"/>
        </w:rPr>
        <w:t>Community severance is defined here as the separation of residents from facilities and services they use within their community caused by new or improved roads or by changes in traffic flows.</w:t>
      </w:r>
    </w:p>
    <w:p w14:paraId="0A18A9E2" w14:textId="49E34377" w:rsidR="000A6347" w:rsidRPr="007100CE" w:rsidRDefault="007100CE" w:rsidP="000A6347">
      <w:pPr>
        <w:pStyle w:val="STPR2BodyText"/>
        <w:rPr>
          <w:b/>
          <w:bCs/>
          <w:lang w:eastAsia="en-US"/>
        </w:rPr>
      </w:pPr>
      <w:r w:rsidRPr="007100CE">
        <w:rPr>
          <w:b/>
          <w:bCs/>
          <w:lang w:eastAsia="en-US"/>
        </w:rPr>
        <w:t>CONSULTATION AUTHORITIES</w:t>
      </w:r>
    </w:p>
    <w:p w14:paraId="6F3A0590" w14:textId="77777777" w:rsidR="000A6347" w:rsidRDefault="000A6347" w:rsidP="000A6347">
      <w:pPr>
        <w:pStyle w:val="STPR2BodyText"/>
        <w:rPr>
          <w:lang w:eastAsia="en-US"/>
        </w:rPr>
      </w:pPr>
      <w:r>
        <w:rPr>
          <w:lang w:eastAsia="en-US"/>
        </w:rPr>
        <w:t>Refers to the three statutory Consultation Authorities in Scotland: Historic Environment Scotland, NatureScot and the Scottish Environment Protection Agency.</w:t>
      </w:r>
    </w:p>
    <w:p w14:paraId="1FF44F13" w14:textId="1700262A" w:rsidR="000A6347" w:rsidRPr="007100CE" w:rsidRDefault="007100CE" w:rsidP="000A6347">
      <w:pPr>
        <w:pStyle w:val="STPR2BodyText"/>
        <w:rPr>
          <w:b/>
          <w:bCs/>
          <w:lang w:eastAsia="en-US"/>
        </w:rPr>
      </w:pPr>
      <w:r w:rsidRPr="007100CE">
        <w:rPr>
          <w:b/>
          <w:bCs/>
          <w:lang w:eastAsia="en-US"/>
        </w:rPr>
        <w:t>DEMAND RESPONSIVE TRANSPORT</w:t>
      </w:r>
    </w:p>
    <w:p w14:paraId="7A8A6164" w14:textId="77777777" w:rsidR="000A6347" w:rsidRDefault="000A6347" w:rsidP="000A6347">
      <w:pPr>
        <w:pStyle w:val="STPR2BodyText"/>
        <w:rPr>
          <w:lang w:eastAsia="en-US"/>
        </w:rPr>
      </w:pPr>
      <w:r>
        <w:rPr>
          <w:lang w:eastAsia="en-US"/>
        </w:rPr>
        <w:t>A public transport service which does not operate to a timetable, but reacts to passenger demand.</w:t>
      </w:r>
    </w:p>
    <w:p w14:paraId="29C74333" w14:textId="27458C75" w:rsidR="000A6347" w:rsidRPr="007100CE" w:rsidRDefault="007100CE" w:rsidP="000A6347">
      <w:pPr>
        <w:pStyle w:val="STPR2BodyText"/>
        <w:rPr>
          <w:b/>
          <w:bCs/>
          <w:lang w:eastAsia="en-US"/>
        </w:rPr>
      </w:pPr>
      <w:r w:rsidRPr="007100CE">
        <w:rPr>
          <w:b/>
          <w:bCs/>
          <w:lang w:eastAsia="en-US"/>
        </w:rPr>
        <w:t>MOBILITY AS A SERVICE</w:t>
      </w:r>
    </w:p>
    <w:p w14:paraId="5C69B765" w14:textId="77777777" w:rsidR="000A6347" w:rsidRDefault="000A6347" w:rsidP="000A6347">
      <w:pPr>
        <w:pStyle w:val="STPR2BodyText"/>
        <w:rPr>
          <w:lang w:eastAsia="en-US"/>
        </w:rPr>
      </w:pPr>
      <w:r>
        <w:rPr>
          <w:lang w:eastAsia="en-US"/>
        </w:rPr>
        <w:t>MaaS is a type of service that through a joint digital channel enables users to plan, book, and pay for multiple types of mobility services (for example bus and train journeys). The concept describes a shift away from privately-owned transport modes and towards mobility provided as a service. This is enabled by combining transportation services from public and private transportation providers through a unified gateway that creates and manages the trip, Users can pay per trip or a monthly fee for a limited distance. The key concept behind MaaS is to tailor the transport service to traveller needs.</w:t>
      </w:r>
    </w:p>
    <w:p w14:paraId="5EAD7C8D" w14:textId="3AA86704" w:rsidR="000A6347" w:rsidRPr="007100CE" w:rsidRDefault="007100CE" w:rsidP="000A6347">
      <w:pPr>
        <w:pStyle w:val="STPR2BodyText"/>
        <w:rPr>
          <w:b/>
          <w:bCs/>
          <w:lang w:eastAsia="en-US"/>
        </w:rPr>
      </w:pPr>
      <w:r w:rsidRPr="007100CE">
        <w:rPr>
          <w:b/>
          <w:bCs/>
          <w:lang w:eastAsia="en-US"/>
        </w:rPr>
        <w:t>MITIGATION</w:t>
      </w:r>
    </w:p>
    <w:p w14:paraId="4090056A" w14:textId="77777777" w:rsidR="000A6347" w:rsidRDefault="000A6347" w:rsidP="000A6347">
      <w:pPr>
        <w:pStyle w:val="STPR2BodyText"/>
        <w:rPr>
          <w:lang w:eastAsia="en-US"/>
        </w:rPr>
      </w:pPr>
      <w:r>
        <w:rPr>
          <w:lang w:eastAsia="en-US"/>
        </w:rPr>
        <w:t>Measure to avoid, reduce or offset potential adverse impacts.</w:t>
      </w:r>
    </w:p>
    <w:p w14:paraId="702C8554" w14:textId="06635F8C" w:rsidR="000A6347" w:rsidRPr="007100CE" w:rsidRDefault="007100CE" w:rsidP="000A6347">
      <w:pPr>
        <w:pStyle w:val="STPR2BodyText"/>
        <w:rPr>
          <w:b/>
          <w:bCs/>
          <w:lang w:eastAsia="en-US"/>
        </w:rPr>
      </w:pPr>
      <w:r w:rsidRPr="007100CE">
        <w:rPr>
          <w:b/>
          <w:bCs/>
          <w:lang w:eastAsia="en-US"/>
        </w:rPr>
        <w:lastRenderedPageBreak/>
        <w:t>NATIONAL TRANSPORT STRATEGY 2</w:t>
      </w:r>
    </w:p>
    <w:p w14:paraId="7703CED7" w14:textId="77777777" w:rsidR="000A6347" w:rsidRDefault="000A6347" w:rsidP="000A6347">
      <w:pPr>
        <w:pStyle w:val="STPR2BodyText"/>
        <w:rPr>
          <w:lang w:eastAsia="en-US"/>
        </w:rPr>
      </w:pPr>
      <w:r>
        <w:rPr>
          <w:lang w:eastAsia="en-US"/>
        </w:rPr>
        <w:t>Sets out a strategic framework for the whole transport system in Scotland, from which future investment decisions are made.</w:t>
      </w:r>
    </w:p>
    <w:p w14:paraId="6822FA86" w14:textId="053ECD7C" w:rsidR="000A6347" w:rsidRPr="007100CE" w:rsidRDefault="007100CE" w:rsidP="000A6347">
      <w:pPr>
        <w:pStyle w:val="STPR2BodyText"/>
        <w:rPr>
          <w:b/>
          <w:bCs/>
          <w:lang w:eastAsia="en-US"/>
        </w:rPr>
      </w:pPr>
      <w:r w:rsidRPr="007100CE">
        <w:rPr>
          <w:b/>
          <w:bCs/>
          <w:lang w:eastAsia="en-US"/>
        </w:rPr>
        <w:t>NON-MOTORISED USERS</w:t>
      </w:r>
    </w:p>
    <w:p w14:paraId="20F1E097" w14:textId="77777777" w:rsidR="000A6347" w:rsidRDefault="000A6347" w:rsidP="000A6347">
      <w:pPr>
        <w:pStyle w:val="STPR2BodyText"/>
        <w:rPr>
          <w:lang w:eastAsia="en-US"/>
        </w:rPr>
      </w:pPr>
      <w:r>
        <w:rPr>
          <w:lang w:eastAsia="en-US"/>
        </w:rPr>
        <w:t>Pedestrians, cyclists and equestrians.</w:t>
      </w:r>
    </w:p>
    <w:p w14:paraId="7A41C8A2" w14:textId="69059D29" w:rsidR="000A6347" w:rsidRPr="007100CE" w:rsidRDefault="007100CE" w:rsidP="000A6347">
      <w:pPr>
        <w:pStyle w:val="STPR2BodyText"/>
        <w:rPr>
          <w:b/>
          <w:bCs/>
          <w:lang w:eastAsia="en-US"/>
        </w:rPr>
      </w:pPr>
      <w:r w:rsidRPr="007100CE">
        <w:rPr>
          <w:b/>
          <w:bCs/>
          <w:lang w:eastAsia="en-US"/>
        </w:rPr>
        <w:t>PLACE</w:t>
      </w:r>
    </w:p>
    <w:p w14:paraId="48BAEF81" w14:textId="77777777" w:rsidR="000A6347" w:rsidRDefault="000A6347" w:rsidP="000A6347">
      <w:pPr>
        <w:pStyle w:val="STPR2BodyText"/>
        <w:rPr>
          <w:lang w:eastAsia="en-US"/>
        </w:rPr>
      </w:pPr>
      <w:r>
        <w:rPr>
          <w:lang w:eastAsia="en-US"/>
        </w:rPr>
        <w:t>The Place Principle recognises that: Place is where people, location and resources combine to create a sense of identity and purpose and is at the heart of addressing the needs and realising the full potential of communities. Places are shaped by the way resources, services and assets are directed and used by the people who live in and invest in them. A more joined-up, collaborative, and participative approach to services, land and buildings, across all sectors within a place, enables better outcomes for everyone and increased opportunities for people and communities to shape their own lives.</w:t>
      </w:r>
    </w:p>
    <w:p w14:paraId="4682FD0F" w14:textId="4AC6D58C" w:rsidR="000A6347" w:rsidRPr="007100CE" w:rsidRDefault="007100CE" w:rsidP="000A6347">
      <w:pPr>
        <w:pStyle w:val="STPR2BodyText"/>
        <w:rPr>
          <w:b/>
          <w:bCs/>
          <w:lang w:eastAsia="en-US"/>
        </w:rPr>
      </w:pPr>
      <w:r w:rsidRPr="007100CE">
        <w:rPr>
          <w:b/>
          <w:bCs/>
          <w:lang w:eastAsia="en-US"/>
        </w:rPr>
        <w:t>PUBLIC TRANSPORT INTERCHANGE</w:t>
      </w:r>
    </w:p>
    <w:p w14:paraId="2A32F015" w14:textId="77777777" w:rsidR="000A6347" w:rsidRDefault="000A6347" w:rsidP="000A6347">
      <w:pPr>
        <w:pStyle w:val="STPR2BodyText"/>
        <w:rPr>
          <w:lang w:eastAsia="en-US"/>
        </w:rPr>
      </w:pPr>
      <w:r>
        <w:rPr>
          <w:lang w:eastAsia="en-US"/>
        </w:rPr>
        <w:t>Places which allow for the interchange between one or more different (public/sustainable) mode of transport.</w:t>
      </w:r>
    </w:p>
    <w:p w14:paraId="7F3121FA" w14:textId="44EC085E" w:rsidR="000A6347" w:rsidRPr="007100CE" w:rsidRDefault="007100CE" w:rsidP="000A6347">
      <w:pPr>
        <w:pStyle w:val="STPR2BodyText"/>
        <w:rPr>
          <w:b/>
          <w:bCs/>
          <w:lang w:eastAsia="en-US"/>
        </w:rPr>
      </w:pPr>
      <w:r w:rsidRPr="007100CE">
        <w:rPr>
          <w:b/>
          <w:bCs/>
          <w:lang w:eastAsia="en-US"/>
        </w:rPr>
        <w:t>SCOPING REPORT</w:t>
      </w:r>
    </w:p>
    <w:p w14:paraId="1AF1778C" w14:textId="77777777" w:rsidR="000A6347" w:rsidRDefault="000A6347" w:rsidP="000A6347">
      <w:pPr>
        <w:pStyle w:val="STPR2BodyText"/>
        <w:rPr>
          <w:lang w:eastAsia="en-US"/>
        </w:rPr>
      </w:pPr>
      <w:r>
        <w:rPr>
          <w:lang w:eastAsia="en-US"/>
        </w:rPr>
        <w:t>Scoping Reports provide sufficient information about the potential environmental effects to allow the Consultation Authorities to provide an informed view regarding the environmental topics to be included in the SEA. Scoping Reports also provide a proposed methodology to be used for assessing potential environmental effects.</w:t>
      </w:r>
    </w:p>
    <w:p w14:paraId="3C83F5EC" w14:textId="2C2098D7" w:rsidR="000A6347" w:rsidRPr="007100CE" w:rsidRDefault="007100CE" w:rsidP="000A6347">
      <w:pPr>
        <w:pStyle w:val="STPR2BodyText"/>
        <w:rPr>
          <w:b/>
          <w:bCs/>
          <w:lang w:eastAsia="en-US"/>
        </w:rPr>
      </w:pPr>
      <w:r w:rsidRPr="007100CE">
        <w:rPr>
          <w:b/>
          <w:bCs/>
          <w:lang w:eastAsia="en-US"/>
        </w:rPr>
        <w:t>SCOTTISH TRANSPORT APPRAISAL GUIDANCE (STAG)</w:t>
      </w:r>
    </w:p>
    <w:p w14:paraId="2D7E4430" w14:textId="77777777" w:rsidR="000A6347" w:rsidRDefault="000A6347" w:rsidP="000A6347">
      <w:pPr>
        <w:pStyle w:val="STPR2BodyText"/>
        <w:rPr>
          <w:lang w:eastAsia="en-US"/>
        </w:rPr>
      </w:pPr>
      <w:r>
        <w:rPr>
          <w:lang w:eastAsia="en-US"/>
        </w:rPr>
        <w:t xml:space="preserve">Transport Scotland’s formal option appraisal toolkit and methodology to guide the development and assessment of transport options in Scotland. STAG provides an evidence-based and objective-led framework for: identifying transport problems and/or opportunities in a study area; setting objectives to address the transport problems/opportunities and identifying and appraising options in a consistent manner with the potential to meet the objectives. STAG is integral to the investment decision making process at the Strategic Business Case stage. The four stages of STAG are: Initial Appraisal Case for Change (formerly Pre-Appraisal), Preliminary Options Appraisal (formerly Part 1), Detailed Options Appraisal (formerly Part 2) and Post-Appraisal (Monitoring and Evaluation). </w:t>
      </w:r>
    </w:p>
    <w:p w14:paraId="600ABD07" w14:textId="4725FC97" w:rsidR="000A6347" w:rsidRPr="007100CE" w:rsidRDefault="007100CE" w:rsidP="000A6347">
      <w:pPr>
        <w:pStyle w:val="STPR2BodyText"/>
        <w:rPr>
          <w:b/>
          <w:bCs/>
          <w:lang w:eastAsia="en-US"/>
        </w:rPr>
      </w:pPr>
      <w:r w:rsidRPr="007100CE">
        <w:rPr>
          <w:b/>
          <w:bCs/>
          <w:lang w:eastAsia="en-US"/>
        </w:rPr>
        <w:t>SEVERANCE</w:t>
      </w:r>
    </w:p>
    <w:p w14:paraId="17029C59" w14:textId="77777777" w:rsidR="000A6347" w:rsidRDefault="000A6347" w:rsidP="000A6347">
      <w:pPr>
        <w:pStyle w:val="STPR2BodyText"/>
        <w:rPr>
          <w:lang w:eastAsia="en-US"/>
        </w:rPr>
      </w:pPr>
      <w:r>
        <w:rPr>
          <w:lang w:eastAsia="en-US"/>
        </w:rPr>
        <w:t>The separation of communities from facilities and services used within their community. Alternatively, in relation to agricultural land, the division of land into separate areas, potentially affecting access or availability for agricultural use.</w:t>
      </w:r>
    </w:p>
    <w:p w14:paraId="5A34BDE6" w14:textId="06E534E0" w:rsidR="000A6347" w:rsidRPr="007100CE" w:rsidRDefault="007100CE" w:rsidP="007100CE">
      <w:pPr>
        <w:pStyle w:val="STPR2BodyText"/>
        <w:keepNext/>
        <w:keepLines/>
        <w:rPr>
          <w:b/>
          <w:bCs/>
          <w:lang w:eastAsia="en-US"/>
        </w:rPr>
      </w:pPr>
      <w:r w:rsidRPr="007100CE">
        <w:rPr>
          <w:b/>
          <w:bCs/>
          <w:lang w:eastAsia="en-US"/>
        </w:rPr>
        <w:lastRenderedPageBreak/>
        <w:t>STAKEHOLDER</w:t>
      </w:r>
    </w:p>
    <w:p w14:paraId="346609E8" w14:textId="77777777" w:rsidR="000A6347" w:rsidRDefault="000A6347" w:rsidP="000A6347">
      <w:pPr>
        <w:pStyle w:val="STPR2BodyText"/>
        <w:rPr>
          <w:lang w:eastAsia="en-US"/>
        </w:rPr>
      </w:pPr>
      <w:r>
        <w:rPr>
          <w:lang w:eastAsia="en-US"/>
        </w:rPr>
        <w:t>A person or group that has an investment, share or interest in something.</w:t>
      </w:r>
    </w:p>
    <w:p w14:paraId="4996CB98" w14:textId="43637824" w:rsidR="000A6347" w:rsidRPr="007100CE" w:rsidRDefault="007100CE" w:rsidP="000A6347">
      <w:pPr>
        <w:pStyle w:val="STPR2BodyText"/>
        <w:rPr>
          <w:b/>
          <w:bCs/>
          <w:lang w:eastAsia="en-US"/>
        </w:rPr>
      </w:pPr>
      <w:r w:rsidRPr="007100CE">
        <w:rPr>
          <w:b/>
          <w:bCs/>
          <w:lang w:eastAsia="en-US"/>
        </w:rPr>
        <w:t>STRATEGIC ENVIRONMENTAL ASSESSMENT (SEA)</w:t>
      </w:r>
    </w:p>
    <w:p w14:paraId="390D568B" w14:textId="77777777" w:rsidR="000A6347" w:rsidRDefault="000A6347" w:rsidP="000A6347">
      <w:pPr>
        <w:pStyle w:val="STPR2BodyText"/>
        <w:rPr>
          <w:lang w:eastAsia="en-US"/>
        </w:rPr>
      </w:pPr>
      <w:r>
        <w:rPr>
          <w:lang w:eastAsia="en-US"/>
        </w:rPr>
        <w:t>The process by which information about the environmental effects of proposed plans, policies and programmes are evaluated.</w:t>
      </w:r>
    </w:p>
    <w:p w14:paraId="4FBDE18B" w14:textId="0157D575" w:rsidR="000A6347" w:rsidRPr="007100CE" w:rsidRDefault="007100CE" w:rsidP="000A6347">
      <w:pPr>
        <w:pStyle w:val="STPR2BodyText"/>
        <w:rPr>
          <w:b/>
          <w:bCs/>
          <w:lang w:eastAsia="en-US"/>
        </w:rPr>
      </w:pPr>
      <w:r w:rsidRPr="007100CE">
        <w:rPr>
          <w:b/>
          <w:bCs/>
          <w:lang w:eastAsia="en-US"/>
        </w:rPr>
        <w:t>STRATEGIC TRANSPORT PROJECTS REVIEW (STPR2)</w:t>
      </w:r>
    </w:p>
    <w:p w14:paraId="4282838A" w14:textId="77777777" w:rsidR="000A6347" w:rsidRDefault="000A6347" w:rsidP="000A6347">
      <w:pPr>
        <w:pStyle w:val="STPR2BodyText"/>
        <w:rPr>
          <w:lang w:eastAsia="en-US"/>
        </w:rPr>
      </w:pPr>
      <w:r>
        <w:rPr>
          <w:lang w:eastAsia="en-US"/>
        </w:rPr>
        <w:t>An evidence-based review of the performance of Scotland’s strategic transport network across walking, wheeling, cycling, bus, ferry, rail and the trunk road network</w:t>
      </w:r>
    </w:p>
    <w:p w14:paraId="23FD0A25" w14:textId="476EFF3D" w:rsidR="000A6347" w:rsidRPr="007100CE" w:rsidRDefault="007100CE" w:rsidP="000A6347">
      <w:pPr>
        <w:pStyle w:val="STPR2BodyText"/>
        <w:rPr>
          <w:b/>
          <w:bCs/>
          <w:lang w:eastAsia="en-US"/>
        </w:rPr>
      </w:pPr>
      <w:r w:rsidRPr="007100CE">
        <w:rPr>
          <w:b/>
          <w:bCs/>
          <w:lang w:eastAsia="en-US"/>
        </w:rPr>
        <w:t>STATUTORY ASSESSMENTS</w:t>
      </w:r>
    </w:p>
    <w:p w14:paraId="3D7AEC15" w14:textId="77777777" w:rsidR="000A6347" w:rsidRDefault="000A6347" w:rsidP="000A6347">
      <w:pPr>
        <w:pStyle w:val="STPR2BodyText"/>
        <w:rPr>
          <w:lang w:eastAsia="en-US"/>
        </w:rPr>
      </w:pPr>
      <w:r>
        <w:rPr>
          <w:lang w:eastAsia="en-US"/>
        </w:rPr>
        <w:t xml:space="preserve">A number of statutory assessments are being undertaken for STPR2. These comprise an Equalities Impact Assessment, Fairer Scotland Duty Assessment, Child Rights and Wellbeing Impact Assessment, and Island Communities Impact Assessment. A Strategic Environmental Assessment is also being undertaken to assess and mitigate the transport impacts of options identified through STPR2. </w:t>
      </w:r>
    </w:p>
    <w:p w14:paraId="2FBFB5C6" w14:textId="1855EAAD" w:rsidR="000A6347" w:rsidRPr="007100CE" w:rsidRDefault="007100CE" w:rsidP="000A6347">
      <w:pPr>
        <w:pStyle w:val="STPR2BodyText"/>
        <w:rPr>
          <w:b/>
          <w:bCs/>
          <w:lang w:eastAsia="en-US"/>
        </w:rPr>
      </w:pPr>
      <w:r w:rsidRPr="007100CE">
        <w:rPr>
          <w:b/>
          <w:bCs/>
          <w:lang w:eastAsia="en-US"/>
        </w:rPr>
        <w:t>TRANSPORT PLANNING OBJECTIVES (TPOS)</w:t>
      </w:r>
    </w:p>
    <w:p w14:paraId="6019B9E7" w14:textId="55A680D1" w:rsidR="007A2B59" w:rsidRPr="00FE4EA2" w:rsidRDefault="000A6347" w:rsidP="000A6347">
      <w:pPr>
        <w:pStyle w:val="STPR2BodyText"/>
      </w:pPr>
      <w:r>
        <w:rPr>
          <w:lang w:eastAsia="en-US"/>
        </w:rPr>
        <w:t>These seek to capture the essence of the evidence-based problem to be addressed or opportunity being sought. STPR2 has five national TPOs which are common to all regions and which reflect the evidence set out within the Case for Change reports. Where appropriate, each region has considered the specific regional aspects in supporting the development of SMART (Specific, Measurable, Attainable, Relevant and Timed) sub</w:t>
      </w:r>
      <w:r w:rsidR="007100CE">
        <w:rPr>
          <w:lang w:eastAsia="en-US"/>
        </w:rPr>
        <w:t> </w:t>
      </w:r>
      <w:r>
        <w:rPr>
          <w:lang w:eastAsia="en-US"/>
        </w:rPr>
        <w:t>objectives.</w:t>
      </w:r>
    </w:p>
    <w:p w14:paraId="7FD68046" w14:textId="7AD77109" w:rsidR="007A2B59" w:rsidRDefault="007A2B59" w:rsidP="00874931">
      <w:pPr>
        <w:pStyle w:val="Appendix"/>
      </w:pPr>
      <w:bookmarkStart w:id="2042" w:name="_Toc90038048"/>
      <w:bookmarkStart w:id="2043" w:name="_Toc120101218"/>
      <w:bookmarkStart w:id="2044" w:name="_Ref121234565"/>
      <w:r w:rsidRPr="00FE4EA2">
        <w:lastRenderedPageBreak/>
        <w:t>Equality</w:t>
      </w:r>
      <w:r>
        <w:t xml:space="preserve"> Topics,</w:t>
      </w:r>
      <w:r w:rsidRPr="00FE4EA2">
        <w:t xml:space="preserve"> Objectives and Guidance</w:t>
      </w:r>
      <w:r w:rsidR="000A6347">
        <w:t> </w:t>
      </w:r>
      <w:r w:rsidRPr="00FE4EA2">
        <w:t>Questions</w:t>
      </w:r>
      <w:bookmarkEnd w:id="2042"/>
      <w:bookmarkEnd w:id="2043"/>
      <w:bookmarkEnd w:id="2044"/>
    </w:p>
    <w:p w14:paraId="2AA4EFF6" w14:textId="6B83844A" w:rsidR="000A6347" w:rsidRPr="007100CE" w:rsidRDefault="007100CE" w:rsidP="007100CE">
      <w:pPr>
        <w:pStyle w:val="STPR2BodyText"/>
        <w:rPr>
          <w:b/>
          <w:bCs/>
          <w:lang w:eastAsia="en-US"/>
        </w:rPr>
      </w:pPr>
      <w:r w:rsidRPr="007100CE">
        <w:rPr>
          <w:b/>
          <w:bCs/>
          <w:lang w:eastAsia="en-US"/>
        </w:rPr>
        <w:t>POPULATION</w:t>
      </w:r>
    </w:p>
    <w:p w14:paraId="14966C3D" w14:textId="6FA8B25B" w:rsidR="000A6347" w:rsidRDefault="000A6347" w:rsidP="000A6347">
      <w:pPr>
        <w:pStyle w:val="STPR2BodyText"/>
        <w:rPr>
          <w:lang w:eastAsia="en-US"/>
        </w:rPr>
      </w:pPr>
      <w:r>
        <w:rPr>
          <w:lang w:eastAsia="en-US"/>
        </w:rPr>
        <w:t>EqIA Objective</w:t>
      </w:r>
    </w:p>
    <w:p w14:paraId="69C318A7" w14:textId="77777777" w:rsidR="000A6347" w:rsidRDefault="000A6347" w:rsidP="000A6347">
      <w:pPr>
        <w:pStyle w:val="STPR2BodyText"/>
        <w:rPr>
          <w:lang w:eastAsia="en-US"/>
        </w:rPr>
      </w:pPr>
      <w:r>
        <w:rPr>
          <w:lang w:eastAsia="en-US"/>
        </w:rPr>
        <w:t xml:space="preserve">Promote greater equality of opportunity for all of Scotland’s residents in order to promote a fairer, more inclusive society. </w:t>
      </w:r>
    </w:p>
    <w:p w14:paraId="7C95BD38" w14:textId="77777777" w:rsidR="000A6347" w:rsidRDefault="000A6347" w:rsidP="000A6347">
      <w:pPr>
        <w:pStyle w:val="STPR2BodyText"/>
        <w:rPr>
          <w:lang w:eastAsia="en-US"/>
        </w:rPr>
      </w:pPr>
      <w:r>
        <w:rPr>
          <w:lang w:eastAsia="en-US"/>
        </w:rPr>
        <w:t>Guide Questions – Will the option/ intervention/ package….</w:t>
      </w:r>
    </w:p>
    <w:p w14:paraId="17890588" w14:textId="29C06114" w:rsidR="000A6347" w:rsidRDefault="000A6347" w:rsidP="007100CE">
      <w:pPr>
        <w:pStyle w:val="STPR2BulletsLevel1"/>
        <w:rPr>
          <w:lang w:eastAsia="en-US"/>
        </w:rPr>
      </w:pPr>
      <w:r>
        <w:rPr>
          <w:lang w:eastAsia="en-US"/>
        </w:rPr>
        <w:t>Result in any likely differential or disproportionate effects on persons with protected characteristics as specified in the Equality Act 2010 (Age, Disability, Gender reassignment, Marriage and civil partnership, Pregnancy and maternity, Race, Sex, Sexual orientation)?</w:t>
      </w:r>
    </w:p>
    <w:p w14:paraId="7EA5F35E" w14:textId="6D194D70" w:rsidR="000A6347" w:rsidRDefault="000A6347" w:rsidP="007100CE">
      <w:pPr>
        <w:pStyle w:val="STPR2BulletsLevel1"/>
        <w:rPr>
          <w:lang w:eastAsia="en-US"/>
        </w:rPr>
      </w:pPr>
      <w:r>
        <w:rPr>
          <w:lang w:eastAsia="en-US"/>
        </w:rPr>
        <w:t xml:space="preserve">Provide enhanced capacity on the transport system to accommodate areas that will experience a growing population? </w:t>
      </w:r>
    </w:p>
    <w:p w14:paraId="3F76497F" w14:textId="64774A55" w:rsidR="000A6347" w:rsidRDefault="000A6347" w:rsidP="007100CE">
      <w:pPr>
        <w:pStyle w:val="STPR2BulletsLevel1"/>
        <w:rPr>
          <w:lang w:eastAsia="en-US"/>
        </w:rPr>
      </w:pPr>
      <w:r>
        <w:rPr>
          <w:lang w:eastAsia="en-US"/>
        </w:rPr>
        <w:t>Support more geographically widespread population growth, particularly in areas of depopulation?</w:t>
      </w:r>
    </w:p>
    <w:p w14:paraId="37EE59CA" w14:textId="14493302" w:rsidR="000A6347" w:rsidRDefault="000A6347" w:rsidP="007100CE">
      <w:pPr>
        <w:pStyle w:val="STPR2BulletsLevel1"/>
        <w:rPr>
          <w:lang w:eastAsia="en-US"/>
        </w:rPr>
      </w:pPr>
      <w:r>
        <w:rPr>
          <w:lang w:eastAsia="en-US"/>
        </w:rPr>
        <w:t>Support changing demographics by providing appropriate transport facilities to meet the diverse needs of different communities?</w:t>
      </w:r>
    </w:p>
    <w:p w14:paraId="4DF76D41" w14:textId="60CC7A90" w:rsidR="000A6347" w:rsidRDefault="000A6347" w:rsidP="007100CE">
      <w:pPr>
        <w:pStyle w:val="STPR2BulletsLevel1"/>
        <w:rPr>
          <w:lang w:eastAsia="en-US"/>
        </w:rPr>
      </w:pPr>
      <w:r>
        <w:rPr>
          <w:lang w:eastAsia="en-US"/>
        </w:rPr>
        <w:t>Support the removal of barriers to travel and the improvement of access to travel for disabled people?</w:t>
      </w:r>
    </w:p>
    <w:p w14:paraId="28272C68" w14:textId="5B568A9A" w:rsidR="000A6347" w:rsidRDefault="000A6347" w:rsidP="007100CE">
      <w:pPr>
        <w:pStyle w:val="STPR2BulletsLevel1"/>
        <w:rPr>
          <w:lang w:eastAsia="en-US"/>
        </w:rPr>
      </w:pPr>
      <w:r>
        <w:rPr>
          <w:lang w:eastAsia="en-US"/>
        </w:rPr>
        <w:t xml:space="preserve">Reduce the likelihood of transport-related road accidents and casualties? </w:t>
      </w:r>
    </w:p>
    <w:p w14:paraId="01DF6ACD" w14:textId="5B2CC45F" w:rsidR="000A6347" w:rsidRPr="007100CE" w:rsidRDefault="007100CE" w:rsidP="000A6347">
      <w:pPr>
        <w:pStyle w:val="STPR2BodyText"/>
        <w:rPr>
          <w:b/>
          <w:bCs/>
          <w:lang w:eastAsia="en-US"/>
        </w:rPr>
      </w:pPr>
      <w:r w:rsidRPr="007100CE">
        <w:rPr>
          <w:b/>
          <w:bCs/>
          <w:lang w:eastAsia="en-US"/>
        </w:rPr>
        <w:t>DEPRIVATION</w:t>
      </w:r>
    </w:p>
    <w:p w14:paraId="7310E5DA" w14:textId="77777777" w:rsidR="000A6347" w:rsidRDefault="000A6347" w:rsidP="000A6347">
      <w:pPr>
        <w:pStyle w:val="STPR2BodyText"/>
        <w:rPr>
          <w:lang w:eastAsia="en-US"/>
        </w:rPr>
      </w:pPr>
      <w:r>
        <w:rPr>
          <w:lang w:eastAsia="en-US"/>
        </w:rPr>
        <w:t>EqIA Objective</w:t>
      </w:r>
    </w:p>
    <w:p w14:paraId="6A4EE2EB" w14:textId="77777777" w:rsidR="000A6347" w:rsidRDefault="000A6347" w:rsidP="000A6347">
      <w:pPr>
        <w:pStyle w:val="STPR2BodyText"/>
        <w:rPr>
          <w:lang w:eastAsia="en-US"/>
        </w:rPr>
      </w:pPr>
      <w:r>
        <w:rPr>
          <w:lang w:eastAsia="en-US"/>
        </w:rPr>
        <w:t>Deliver an accessible and affordable transport system reduces inequalities of outcome resulting from multiple deprivation and supports the regeneration of disadvantaged or deprived areas.</w:t>
      </w:r>
    </w:p>
    <w:p w14:paraId="6F64328D" w14:textId="77777777" w:rsidR="000A6347" w:rsidRDefault="000A6347" w:rsidP="000A6347">
      <w:pPr>
        <w:pStyle w:val="STPR2BodyText"/>
        <w:rPr>
          <w:lang w:eastAsia="en-US"/>
        </w:rPr>
      </w:pPr>
      <w:r>
        <w:rPr>
          <w:lang w:eastAsia="en-US"/>
        </w:rPr>
        <w:t>Guide Questions – Will the option/ intervention/ package….</w:t>
      </w:r>
    </w:p>
    <w:p w14:paraId="71F43B9D" w14:textId="1ACE358F" w:rsidR="000A6347" w:rsidRDefault="000A6347" w:rsidP="007100CE">
      <w:pPr>
        <w:pStyle w:val="STPR2BulletsLevel1"/>
        <w:rPr>
          <w:lang w:eastAsia="en-US"/>
        </w:rPr>
      </w:pPr>
      <w:r>
        <w:rPr>
          <w:lang w:eastAsia="en-US"/>
        </w:rPr>
        <w:t>Help to reduce disparities in outcomes between the most and the least deprived areas?</w:t>
      </w:r>
    </w:p>
    <w:p w14:paraId="419FE18F" w14:textId="201E85BF" w:rsidR="000A6347" w:rsidRDefault="000A6347" w:rsidP="007100CE">
      <w:pPr>
        <w:pStyle w:val="STPR2BulletsLevel1"/>
        <w:rPr>
          <w:lang w:eastAsia="en-US"/>
        </w:rPr>
      </w:pPr>
      <w:r>
        <w:rPr>
          <w:lang w:eastAsia="en-US"/>
        </w:rPr>
        <w:t>Help to revitalise local economies by tackling unemployment and economic inactivity and promoting investment in deprived areas?</w:t>
      </w:r>
    </w:p>
    <w:p w14:paraId="2D9CF79A" w14:textId="4FC305F3" w:rsidR="000A6347" w:rsidRDefault="000A6347" w:rsidP="007100CE">
      <w:pPr>
        <w:pStyle w:val="STPR2BulletsLevel1"/>
        <w:rPr>
          <w:lang w:eastAsia="en-US"/>
        </w:rPr>
      </w:pPr>
      <w:r>
        <w:rPr>
          <w:lang w:eastAsia="en-US"/>
        </w:rPr>
        <w:t>Support transport initiatives (including improved access) in deprived areas?</w:t>
      </w:r>
    </w:p>
    <w:p w14:paraId="79D3A1D0" w14:textId="597BA30E" w:rsidR="000A6347" w:rsidRDefault="000A6347" w:rsidP="007100CE">
      <w:pPr>
        <w:pStyle w:val="STPR2BulletsLevel1"/>
        <w:rPr>
          <w:lang w:eastAsia="en-US"/>
        </w:rPr>
      </w:pPr>
      <w:r>
        <w:rPr>
          <w:lang w:eastAsia="en-US"/>
        </w:rPr>
        <w:t>Support the regeneration of disadvantaged or deprived areas?</w:t>
      </w:r>
    </w:p>
    <w:p w14:paraId="46F3A4B8" w14:textId="5FFA81B0" w:rsidR="000A6347" w:rsidRDefault="000A6347" w:rsidP="007100CE">
      <w:pPr>
        <w:pStyle w:val="STPR2BulletsLevel1"/>
        <w:rPr>
          <w:lang w:eastAsia="en-US"/>
        </w:rPr>
      </w:pPr>
      <w:r>
        <w:rPr>
          <w:lang w:eastAsia="en-US"/>
        </w:rPr>
        <w:t>Support individuals and households to access basic goods and services?</w:t>
      </w:r>
    </w:p>
    <w:p w14:paraId="0C02FFF0" w14:textId="5FF82E48" w:rsidR="000A6347" w:rsidRDefault="000A6347" w:rsidP="007100CE">
      <w:pPr>
        <w:pStyle w:val="STPR2BulletsLevel1"/>
        <w:rPr>
          <w:lang w:eastAsia="en-US"/>
        </w:rPr>
      </w:pPr>
      <w:r>
        <w:rPr>
          <w:lang w:eastAsia="en-US"/>
        </w:rPr>
        <w:t>Help enable access to employment, training and key services in deprived areas?</w:t>
      </w:r>
    </w:p>
    <w:p w14:paraId="6A214C89" w14:textId="6C959DBA" w:rsidR="000A6347" w:rsidRDefault="000A6347" w:rsidP="007100CE">
      <w:pPr>
        <w:pStyle w:val="STPR2BulletsLevel1"/>
        <w:rPr>
          <w:lang w:eastAsia="en-US"/>
        </w:rPr>
      </w:pPr>
      <w:r>
        <w:rPr>
          <w:lang w:eastAsia="en-US"/>
        </w:rPr>
        <w:t>Increase public transport accessibility, to enable access to employment, training and key services?</w:t>
      </w:r>
    </w:p>
    <w:p w14:paraId="1A82265F" w14:textId="0A33FF14" w:rsidR="000A6347" w:rsidRDefault="000A6347" w:rsidP="007100CE">
      <w:pPr>
        <w:pStyle w:val="STPR2BulletsLevel1"/>
        <w:rPr>
          <w:lang w:eastAsia="en-US"/>
        </w:rPr>
      </w:pPr>
      <w:r>
        <w:rPr>
          <w:lang w:eastAsia="en-US"/>
        </w:rPr>
        <w:t>Reduce cost related barriers to accessing and use of all transport modes?</w:t>
      </w:r>
    </w:p>
    <w:p w14:paraId="0E06D4FE" w14:textId="0AD85294" w:rsidR="000A6347" w:rsidRDefault="000A6347" w:rsidP="007100CE">
      <w:pPr>
        <w:pStyle w:val="STPR2BulletsLevel1"/>
        <w:rPr>
          <w:lang w:eastAsia="en-US"/>
        </w:rPr>
      </w:pPr>
      <w:r>
        <w:rPr>
          <w:lang w:eastAsia="en-US"/>
        </w:rPr>
        <w:t>Reduce the impacts of climate change on the most vulnerable groups?</w:t>
      </w:r>
    </w:p>
    <w:p w14:paraId="3725DCE1" w14:textId="6F4609F0" w:rsidR="000A6347" w:rsidRPr="007100CE" w:rsidRDefault="007100CE" w:rsidP="007100CE">
      <w:pPr>
        <w:pStyle w:val="STPR2BodyText"/>
        <w:keepNext/>
        <w:keepLines/>
        <w:rPr>
          <w:b/>
          <w:bCs/>
          <w:lang w:eastAsia="en-US"/>
        </w:rPr>
      </w:pPr>
      <w:r w:rsidRPr="007100CE">
        <w:rPr>
          <w:b/>
          <w:bCs/>
          <w:lang w:eastAsia="en-US"/>
        </w:rPr>
        <w:lastRenderedPageBreak/>
        <w:t>EMPLOYMENT</w:t>
      </w:r>
    </w:p>
    <w:p w14:paraId="42977DF4" w14:textId="77777777" w:rsidR="000A6347" w:rsidRDefault="000A6347" w:rsidP="000A6347">
      <w:pPr>
        <w:pStyle w:val="STPR2BodyText"/>
        <w:rPr>
          <w:lang w:eastAsia="en-US"/>
        </w:rPr>
      </w:pPr>
      <w:r>
        <w:rPr>
          <w:lang w:eastAsia="en-US"/>
        </w:rPr>
        <w:t>EqIA Objective</w:t>
      </w:r>
    </w:p>
    <w:p w14:paraId="48C7C7CA" w14:textId="77777777" w:rsidR="000A6347" w:rsidRDefault="000A6347" w:rsidP="000A6347">
      <w:pPr>
        <w:pStyle w:val="STPR2BodyText"/>
        <w:rPr>
          <w:lang w:eastAsia="en-US"/>
        </w:rPr>
      </w:pPr>
      <w:r>
        <w:rPr>
          <w:lang w:eastAsia="en-US"/>
        </w:rPr>
        <w:t>Deliver an effective and integrated transport system that improves access to employment and economic opportunities for all.</w:t>
      </w:r>
    </w:p>
    <w:p w14:paraId="33487B88" w14:textId="77777777" w:rsidR="000A6347" w:rsidRDefault="000A6347" w:rsidP="000A6347">
      <w:pPr>
        <w:pStyle w:val="STPR2BodyText"/>
        <w:rPr>
          <w:lang w:eastAsia="en-US"/>
        </w:rPr>
      </w:pPr>
      <w:r>
        <w:rPr>
          <w:lang w:eastAsia="en-US"/>
        </w:rPr>
        <w:t>Guide Questions – Will the option/ intervention/ package….</w:t>
      </w:r>
    </w:p>
    <w:p w14:paraId="7EB7E080" w14:textId="7B6E8F5A" w:rsidR="000A6347" w:rsidRDefault="000A6347" w:rsidP="007100CE">
      <w:pPr>
        <w:pStyle w:val="STPR2BulletsLevel1"/>
        <w:rPr>
          <w:lang w:eastAsia="en-US"/>
        </w:rPr>
      </w:pPr>
      <w:r>
        <w:rPr>
          <w:lang w:eastAsia="en-US"/>
        </w:rPr>
        <w:t xml:space="preserve">Increase access to suitable transport infrastructure and provision that meets the demands of a changing workforce? </w:t>
      </w:r>
    </w:p>
    <w:p w14:paraId="6F2C955E" w14:textId="4ACA7EDB" w:rsidR="000A6347" w:rsidRDefault="000A6347" w:rsidP="007100CE">
      <w:pPr>
        <w:pStyle w:val="STPR2BulletsLevel1"/>
        <w:rPr>
          <w:lang w:eastAsia="en-US"/>
        </w:rPr>
      </w:pPr>
      <w:r>
        <w:rPr>
          <w:lang w:eastAsia="en-US"/>
        </w:rPr>
        <w:t>Provide employment opportunities in the most deprived areas, particularly to disadvantaged groups?</w:t>
      </w:r>
    </w:p>
    <w:p w14:paraId="1C6B358E" w14:textId="5925CFF9" w:rsidR="000A6347" w:rsidRDefault="000A6347" w:rsidP="007100CE">
      <w:pPr>
        <w:pStyle w:val="STPR2BulletsLevel1"/>
        <w:rPr>
          <w:lang w:eastAsia="en-US"/>
        </w:rPr>
      </w:pPr>
      <w:r>
        <w:rPr>
          <w:lang w:eastAsia="en-US"/>
        </w:rPr>
        <w:t xml:space="preserve">Address structural disadvantages relating to employment deprivation that disproportionally impacts socio-economically disadvantaged groups, including older people, disabled people, women and ethnic minorities? </w:t>
      </w:r>
    </w:p>
    <w:p w14:paraId="57F24C8B" w14:textId="2593B0A3" w:rsidR="000A6347" w:rsidRDefault="000A6347" w:rsidP="007100CE">
      <w:pPr>
        <w:pStyle w:val="STPR2BulletsLevel1"/>
        <w:rPr>
          <w:lang w:eastAsia="en-US"/>
        </w:rPr>
      </w:pPr>
      <w:r>
        <w:rPr>
          <w:lang w:eastAsia="en-US"/>
        </w:rPr>
        <w:t>Enable young people, particularly those not in education or employment (NEETs), to access employment?</w:t>
      </w:r>
    </w:p>
    <w:p w14:paraId="056F6709" w14:textId="5AABAA44" w:rsidR="000A6347" w:rsidRDefault="000A6347" w:rsidP="007100CE">
      <w:pPr>
        <w:pStyle w:val="STPR2BulletsLevel1"/>
        <w:rPr>
          <w:lang w:eastAsia="en-US"/>
        </w:rPr>
      </w:pPr>
      <w:r>
        <w:rPr>
          <w:lang w:eastAsia="en-US"/>
        </w:rPr>
        <w:t>Enable older people and people with physical and mental health conditions and disabilities to stay in employment?</w:t>
      </w:r>
    </w:p>
    <w:p w14:paraId="1DD08562" w14:textId="6EFA6DCF" w:rsidR="000A6347" w:rsidRDefault="000A6347" w:rsidP="007100CE">
      <w:pPr>
        <w:pStyle w:val="STPR2BulletsLevel1"/>
        <w:rPr>
          <w:lang w:eastAsia="en-US"/>
        </w:rPr>
      </w:pPr>
      <w:r>
        <w:rPr>
          <w:lang w:eastAsia="en-US"/>
        </w:rPr>
        <w:t>Increase access to employment opportunities for individuals with limited resources, in deprived areas in rural/remote communities?</w:t>
      </w:r>
    </w:p>
    <w:p w14:paraId="6399D485" w14:textId="3195F4F1" w:rsidR="000A6347" w:rsidRPr="007100CE" w:rsidRDefault="007100CE" w:rsidP="000A6347">
      <w:pPr>
        <w:pStyle w:val="STPR2BodyText"/>
        <w:rPr>
          <w:b/>
          <w:bCs/>
          <w:lang w:eastAsia="en-US"/>
        </w:rPr>
      </w:pPr>
      <w:r w:rsidRPr="007100CE">
        <w:rPr>
          <w:b/>
          <w:bCs/>
          <w:lang w:eastAsia="en-US"/>
        </w:rPr>
        <w:t>INCOME AND WEALTH</w:t>
      </w:r>
    </w:p>
    <w:p w14:paraId="1F7ADCF1" w14:textId="54CCAC94" w:rsidR="000A6347" w:rsidRDefault="000A6347" w:rsidP="000A6347">
      <w:pPr>
        <w:pStyle w:val="STPR2BodyText"/>
        <w:rPr>
          <w:lang w:eastAsia="en-US"/>
        </w:rPr>
      </w:pPr>
      <w:r>
        <w:rPr>
          <w:lang w:eastAsia="en-US"/>
        </w:rPr>
        <w:t>EqIA Objective</w:t>
      </w:r>
    </w:p>
    <w:p w14:paraId="477ACF3C" w14:textId="77777777" w:rsidR="000A6347" w:rsidRDefault="000A6347" w:rsidP="000A6347">
      <w:pPr>
        <w:pStyle w:val="STPR2BodyText"/>
        <w:rPr>
          <w:lang w:eastAsia="en-US"/>
        </w:rPr>
      </w:pPr>
      <w:r>
        <w:rPr>
          <w:lang w:eastAsia="en-US"/>
        </w:rPr>
        <w:t>Deliver an effective and integrated transport system which promotes economic opportunity for all.</w:t>
      </w:r>
    </w:p>
    <w:p w14:paraId="4D6D07CA" w14:textId="77777777" w:rsidR="000A6347" w:rsidRDefault="000A6347" w:rsidP="000A6347">
      <w:pPr>
        <w:pStyle w:val="STPR2BodyText"/>
        <w:rPr>
          <w:lang w:eastAsia="en-US"/>
        </w:rPr>
      </w:pPr>
      <w:r>
        <w:rPr>
          <w:lang w:eastAsia="en-US"/>
        </w:rPr>
        <w:t>Guide Questions – Will the option/ intervention/ package….</w:t>
      </w:r>
    </w:p>
    <w:p w14:paraId="6AD0A5CC" w14:textId="75799817" w:rsidR="000A6347" w:rsidRDefault="000A6347" w:rsidP="007100CE">
      <w:pPr>
        <w:pStyle w:val="STPR2BulletsLevel1"/>
        <w:rPr>
          <w:lang w:eastAsia="en-US"/>
        </w:rPr>
      </w:pPr>
      <w:r>
        <w:rPr>
          <w:lang w:eastAsia="en-US"/>
        </w:rPr>
        <w:t>Support a diverse and resilient economy that provides opportunities for all and promote regeneration?</w:t>
      </w:r>
    </w:p>
    <w:p w14:paraId="61758602" w14:textId="7AA68E97" w:rsidR="000A6347" w:rsidRDefault="000A6347" w:rsidP="007100CE">
      <w:pPr>
        <w:pStyle w:val="STPR2BulletsLevel1"/>
        <w:rPr>
          <w:lang w:eastAsia="en-US"/>
        </w:rPr>
      </w:pPr>
      <w:r>
        <w:rPr>
          <w:lang w:eastAsia="en-US"/>
        </w:rPr>
        <w:t>Help to narrow the gaps between economic growth rates for different areas by ensuring that transport does not act as a barrier to opportunity?</w:t>
      </w:r>
    </w:p>
    <w:p w14:paraId="74A2E127" w14:textId="36084011" w:rsidR="000A6347" w:rsidRDefault="000A6347" w:rsidP="007100CE">
      <w:pPr>
        <w:pStyle w:val="STPR2BulletsLevel1"/>
        <w:rPr>
          <w:lang w:eastAsia="en-US"/>
        </w:rPr>
      </w:pPr>
      <w:r>
        <w:rPr>
          <w:lang w:eastAsia="en-US"/>
        </w:rPr>
        <w:t>Help to reduce levels of absolute and relative income poverty?</w:t>
      </w:r>
    </w:p>
    <w:p w14:paraId="27A47A9F" w14:textId="5F53CA14" w:rsidR="000A6347" w:rsidRDefault="000A6347" w:rsidP="007100CE">
      <w:pPr>
        <w:pStyle w:val="STPR2BulletsLevel1"/>
        <w:rPr>
          <w:lang w:eastAsia="en-US"/>
        </w:rPr>
      </w:pPr>
      <w:r>
        <w:rPr>
          <w:lang w:eastAsia="en-US"/>
        </w:rPr>
        <w:t>Help to reduce inequality in the distribution of household wealth?</w:t>
      </w:r>
    </w:p>
    <w:p w14:paraId="6C00FD80" w14:textId="56739081" w:rsidR="000A6347" w:rsidRDefault="000A6347" w:rsidP="007100CE">
      <w:pPr>
        <w:pStyle w:val="STPR2BulletsLevel1"/>
        <w:rPr>
          <w:lang w:eastAsia="en-US"/>
        </w:rPr>
      </w:pPr>
      <w:r>
        <w:rPr>
          <w:lang w:eastAsia="en-US"/>
        </w:rPr>
        <w:t>Address structural disadvantages relating to income deprivation that disproportionally impacts socio-economically disadvantaged groups, including disabled people, women and specific ethnic groups?</w:t>
      </w:r>
    </w:p>
    <w:p w14:paraId="7D0A0C3C" w14:textId="38BE132A" w:rsidR="000A6347" w:rsidRPr="007100CE" w:rsidRDefault="007100CE" w:rsidP="007100CE">
      <w:pPr>
        <w:pStyle w:val="STPR2BodyText"/>
        <w:keepNext/>
        <w:keepLines/>
        <w:rPr>
          <w:b/>
          <w:bCs/>
          <w:lang w:eastAsia="en-US"/>
        </w:rPr>
      </w:pPr>
      <w:r w:rsidRPr="007100CE">
        <w:rPr>
          <w:b/>
          <w:bCs/>
          <w:lang w:eastAsia="en-US"/>
        </w:rPr>
        <w:lastRenderedPageBreak/>
        <w:t>EDUCATION AND SKILLS</w:t>
      </w:r>
    </w:p>
    <w:p w14:paraId="05845A01" w14:textId="77777777" w:rsidR="000A6347" w:rsidRDefault="000A6347" w:rsidP="007100CE">
      <w:pPr>
        <w:pStyle w:val="STPR2BodyText"/>
        <w:keepNext/>
        <w:keepLines/>
        <w:rPr>
          <w:lang w:eastAsia="en-US"/>
        </w:rPr>
      </w:pPr>
      <w:r>
        <w:rPr>
          <w:lang w:eastAsia="en-US"/>
        </w:rPr>
        <w:t>EqIA Objective</w:t>
      </w:r>
    </w:p>
    <w:p w14:paraId="417D83BF" w14:textId="77777777" w:rsidR="000A6347" w:rsidRDefault="000A6347" w:rsidP="007100CE">
      <w:pPr>
        <w:pStyle w:val="STPR2BodyText"/>
        <w:keepNext/>
        <w:keepLines/>
        <w:rPr>
          <w:lang w:eastAsia="en-US"/>
        </w:rPr>
      </w:pPr>
      <w:r>
        <w:rPr>
          <w:lang w:eastAsia="en-US"/>
        </w:rPr>
        <w:t>Enhance education and training opportunities across Scotland and reduce socio-economic and geographic disparities in educational attainment.</w:t>
      </w:r>
    </w:p>
    <w:p w14:paraId="073416C0" w14:textId="77777777" w:rsidR="000A6347" w:rsidRDefault="000A6347" w:rsidP="007100CE">
      <w:pPr>
        <w:pStyle w:val="STPR2BodyText"/>
        <w:keepNext/>
        <w:keepLines/>
        <w:rPr>
          <w:lang w:eastAsia="en-US"/>
        </w:rPr>
      </w:pPr>
      <w:r>
        <w:rPr>
          <w:lang w:eastAsia="en-US"/>
        </w:rPr>
        <w:t>Guide Questions – Will the option/ intervention/ package….</w:t>
      </w:r>
    </w:p>
    <w:p w14:paraId="7459677D" w14:textId="54B63001" w:rsidR="000A6347" w:rsidRDefault="000A6347" w:rsidP="007100CE">
      <w:pPr>
        <w:pStyle w:val="STPR2BulletsLevel1"/>
        <w:keepNext/>
        <w:keepLines/>
        <w:ind w:left="0" w:firstLine="0"/>
        <w:contextualSpacing w:val="0"/>
        <w:rPr>
          <w:lang w:eastAsia="en-US"/>
        </w:rPr>
      </w:pPr>
      <w:r>
        <w:rPr>
          <w:lang w:eastAsia="en-US"/>
        </w:rPr>
        <w:t>Enhance access to and opportunities for education and lifelong learning, particularly for those facing socio-economic disadvantage?</w:t>
      </w:r>
    </w:p>
    <w:p w14:paraId="24E418E7" w14:textId="52FE8BA4" w:rsidR="000A6347" w:rsidRDefault="000A6347" w:rsidP="007100CE">
      <w:pPr>
        <w:pStyle w:val="STPR2BulletsLevel1"/>
        <w:rPr>
          <w:lang w:eastAsia="en-US"/>
        </w:rPr>
      </w:pPr>
      <w:r>
        <w:rPr>
          <w:lang w:eastAsia="en-US"/>
        </w:rPr>
        <w:t>Support increased provision and access of education and training opportunities in remote / rural areas, including island communities?</w:t>
      </w:r>
    </w:p>
    <w:p w14:paraId="5D9C1E5F" w14:textId="43C76CDD" w:rsidR="000A6347" w:rsidRPr="007100CE" w:rsidRDefault="007100CE" w:rsidP="000A6347">
      <w:pPr>
        <w:pStyle w:val="STPR2BodyText"/>
        <w:rPr>
          <w:b/>
          <w:bCs/>
          <w:lang w:eastAsia="en-US"/>
        </w:rPr>
      </w:pPr>
      <w:r w:rsidRPr="007100CE">
        <w:rPr>
          <w:b/>
          <w:bCs/>
          <w:lang w:eastAsia="en-US"/>
        </w:rPr>
        <w:t>HEALTH AND HEALTH INEQUALITY</w:t>
      </w:r>
    </w:p>
    <w:p w14:paraId="49461527" w14:textId="77777777" w:rsidR="000A6347" w:rsidRDefault="000A6347" w:rsidP="000A6347">
      <w:pPr>
        <w:pStyle w:val="STPR2BodyText"/>
        <w:rPr>
          <w:lang w:eastAsia="en-US"/>
        </w:rPr>
      </w:pPr>
      <w:r>
        <w:rPr>
          <w:lang w:eastAsia="en-US"/>
        </w:rPr>
        <w:t>EqIA Objective</w:t>
      </w:r>
    </w:p>
    <w:p w14:paraId="20A64F90" w14:textId="77777777" w:rsidR="000A6347" w:rsidRDefault="000A6347" w:rsidP="000A6347">
      <w:pPr>
        <w:pStyle w:val="STPR2BodyText"/>
        <w:rPr>
          <w:lang w:eastAsia="en-US"/>
        </w:rPr>
      </w:pPr>
      <w:r>
        <w:rPr>
          <w:lang w:eastAsia="en-US"/>
        </w:rPr>
        <w:t>Maintain, or provide opportunities to improve, human health for all demographic groups and communities across Scotland and minimise health inequalities.</w:t>
      </w:r>
    </w:p>
    <w:p w14:paraId="27470B59" w14:textId="77777777" w:rsidR="000A6347" w:rsidRDefault="000A6347" w:rsidP="000A6347">
      <w:pPr>
        <w:pStyle w:val="STPR2BodyText"/>
        <w:rPr>
          <w:lang w:eastAsia="en-US"/>
        </w:rPr>
      </w:pPr>
      <w:r>
        <w:rPr>
          <w:lang w:eastAsia="en-US"/>
        </w:rPr>
        <w:t>Guide Questions – Will the option/ intervention/ package….</w:t>
      </w:r>
    </w:p>
    <w:p w14:paraId="6B8B2C79" w14:textId="3B30FF7D" w:rsidR="000A6347" w:rsidRDefault="000A6347" w:rsidP="007100CE">
      <w:pPr>
        <w:pStyle w:val="STPR2BulletsLevel1"/>
        <w:rPr>
          <w:lang w:eastAsia="en-US"/>
        </w:rPr>
      </w:pPr>
      <w:r>
        <w:rPr>
          <w:lang w:eastAsia="en-US"/>
        </w:rPr>
        <w:t>Ensure that the provision of transport infrastructure is managed and delivered to meet local population and demographic change. This includes providing infrastructure that maximises accessibility for all and connects residents in both urban and rural areas to key services.</w:t>
      </w:r>
    </w:p>
    <w:p w14:paraId="55360150" w14:textId="6B2FE5F5" w:rsidR="000A6347" w:rsidRDefault="000A6347" w:rsidP="007100CE">
      <w:pPr>
        <w:pStyle w:val="STPR2BulletsLevel1"/>
        <w:rPr>
          <w:lang w:eastAsia="en-US"/>
        </w:rPr>
      </w:pPr>
      <w:r>
        <w:rPr>
          <w:lang w:eastAsia="en-US"/>
        </w:rPr>
        <w:t>Improve access to healthcare, in particular for those with protected characteristics and demographic groups facing structural inequalities?</w:t>
      </w:r>
    </w:p>
    <w:p w14:paraId="13DD2E82" w14:textId="6FD13C9D" w:rsidR="000A6347" w:rsidRDefault="000A6347" w:rsidP="007100CE">
      <w:pPr>
        <w:pStyle w:val="STPR2BulletsLevel1"/>
        <w:rPr>
          <w:lang w:eastAsia="en-US"/>
        </w:rPr>
      </w:pPr>
      <w:r>
        <w:rPr>
          <w:lang w:eastAsia="en-US"/>
        </w:rPr>
        <w:t>Reduce car dependencies and provide opportunities to improve physical and mental health, in particular through active travel and increased access to public transport?</w:t>
      </w:r>
    </w:p>
    <w:p w14:paraId="274DFFE7" w14:textId="5ECC310F" w:rsidR="000A6347" w:rsidRDefault="000A6347" w:rsidP="007100CE">
      <w:pPr>
        <w:pStyle w:val="STPR2BulletsLevel1"/>
        <w:rPr>
          <w:lang w:eastAsia="en-US"/>
        </w:rPr>
      </w:pPr>
      <w:r>
        <w:rPr>
          <w:lang w:eastAsia="en-US"/>
        </w:rPr>
        <w:t>Improve accessibility to open spaces, and sports facilities for physical recreation, in particular for those facing socio-economic disadvantage?</w:t>
      </w:r>
    </w:p>
    <w:p w14:paraId="765F101D" w14:textId="30AC23B8" w:rsidR="000A6347" w:rsidRDefault="000A6347" w:rsidP="007100CE">
      <w:pPr>
        <w:pStyle w:val="STPR2BulletsLevel1"/>
        <w:rPr>
          <w:lang w:eastAsia="en-US"/>
        </w:rPr>
      </w:pPr>
      <w:r>
        <w:rPr>
          <w:lang w:eastAsia="en-US"/>
        </w:rPr>
        <w:t>Reduce exposure to air pollution, particularly for the most vulnerable?</w:t>
      </w:r>
    </w:p>
    <w:p w14:paraId="37FA2883" w14:textId="0CCD5C66" w:rsidR="000A6347" w:rsidRDefault="000A6347" w:rsidP="007100CE">
      <w:pPr>
        <w:pStyle w:val="STPR2BulletsLevel1"/>
        <w:rPr>
          <w:lang w:eastAsia="en-US"/>
        </w:rPr>
      </w:pPr>
      <w:r>
        <w:rPr>
          <w:lang w:eastAsia="en-US"/>
        </w:rPr>
        <w:t>Reduce inequalities of access to clean air, particularly for those in deprived</w:t>
      </w:r>
      <w:r w:rsidR="007100CE">
        <w:rPr>
          <w:lang w:eastAsia="en-US"/>
        </w:rPr>
        <w:t> </w:t>
      </w:r>
      <w:r>
        <w:rPr>
          <w:lang w:eastAsia="en-US"/>
        </w:rPr>
        <w:t>communities?</w:t>
      </w:r>
    </w:p>
    <w:p w14:paraId="12F10CB9" w14:textId="6A6BB563" w:rsidR="000A6347" w:rsidRDefault="000A6347" w:rsidP="007100CE">
      <w:pPr>
        <w:pStyle w:val="STPR2BulletsLevel1"/>
        <w:rPr>
          <w:lang w:eastAsia="en-US"/>
        </w:rPr>
      </w:pPr>
      <w:r>
        <w:rPr>
          <w:lang w:eastAsia="en-US"/>
        </w:rPr>
        <w:t>Promote the provision of safe pedestrian and cycle access links, in particular for those facing socio-economic disadvantage?</w:t>
      </w:r>
    </w:p>
    <w:p w14:paraId="4481D499" w14:textId="28345F42" w:rsidR="000A6347" w:rsidRPr="007100CE" w:rsidRDefault="007100CE" w:rsidP="000A6347">
      <w:pPr>
        <w:pStyle w:val="STPR2BodyText"/>
        <w:rPr>
          <w:b/>
          <w:bCs/>
          <w:lang w:eastAsia="en-US"/>
        </w:rPr>
      </w:pPr>
      <w:r w:rsidRPr="007100CE">
        <w:rPr>
          <w:b/>
          <w:bCs/>
          <w:lang w:eastAsia="en-US"/>
        </w:rPr>
        <w:t>TRANSPORT ACCESSIBILITY AND CONNECTIVITY</w:t>
      </w:r>
    </w:p>
    <w:p w14:paraId="43C5BEAF" w14:textId="77777777" w:rsidR="000A6347" w:rsidRDefault="000A6347" w:rsidP="000A6347">
      <w:pPr>
        <w:pStyle w:val="STPR2BodyText"/>
        <w:rPr>
          <w:lang w:eastAsia="en-US"/>
        </w:rPr>
      </w:pPr>
      <w:r>
        <w:rPr>
          <w:lang w:eastAsia="en-US"/>
        </w:rPr>
        <w:t>EqIA Objective</w:t>
      </w:r>
    </w:p>
    <w:p w14:paraId="143115E5" w14:textId="77777777" w:rsidR="000A6347" w:rsidRDefault="000A6347" w:rsidP="000A6347">
      <w:pPr>
        <w:pStyle w:val="STPR2BodyText"/>
        <w:rPr>
          <w:lang w:eastAsia="en-US"/>
        </w:rPr>
      </w:pPr>
      <w:r>
        <w:rPr>
          <w:lang w:eastAsia="en-US"/>
        </w:rPr>
        <w:t>Ensure the provision of adequate and affordable transport infrastructure, services and facilities to meet identified population and economic needs and minimise barriers to travel for all people, in particular those facing socio-economic disadvantage.</w:t>
      </w:r>
    </w:p>
    <w:p w14:paraId="3A21AF42" w14:textId="77777777" w:rsidR="000A6347" w:rsidRDefault="000A6347" w:rsidP="000A6347">
      <w:pPr>
        <w:pStyle w:val="STPR2BodyText"/>
        <w:rPr>
          <w:lang w:eastAsia="en-US"/>
        </w:rPr>
      </w:pPr>
      <w:r>
        <w:rPr>
          <w:lang w:eastAsia="en-US"/>
        </w:rPr>
        <w:t>Guide Questions – Will the option/ intervention/ package….</w:t>
      </w:r>
    </w:p>
    <w:p w14:paraId="394D523D" w14:textId="67BFB017" w:rsidR="000A6347" w:rsidRDefault="000A6347" w:rsidP="007100CE">
      <w:pPr>
        <w:pStyle w:val="STPR2BulletsLevel1"/>
        <w:rPr>
          <w:lang w:eastAsia="en-US"/>
        </w:rPr>
      </w:pPr>
      <w:r>
        <w:rPr>
          <w:lang w:eastAsia="en-US"/>
        </w:rPr>
        <w:t>Support the provision of adequate transport infrastructure, services and facilities to meet identified population and economic needs, in particular disabled people and those facing socio-economic disadvantage?</w:t>
      </w:r>
    </w:p>
    <w:p w14:paraId="6658D123" w14:textId="63681EA7" w:rsidR="000A6347" w:rsidRDefault="000A6347" w:rsidP="007100CE">
      <w:pPr>
        <w:pStyle w:val="STPR2BulletsLevel1"/>
        <w:rPr>
          <w:lang w:eastAsia="en-US"/>
        </w:rPr>
      </w:pPr>
      <w:r>
        <w:rPr>
          <w:lang w:eastAsia="en-US"/>
        </w:rPr>
        <w:lastRenderedPageBreak/>
        <w:t>Support all individuals and households, including protected characteristics, in accessing basic goods and services?</w:t>
      </w:r>
    </w:p>
    <w:p w14:paraId="785C29E4" w14:textId="7B0407A7" w:rsidR="000A6347" w:rsidRDefault="000A6347" w:rsidP="007100CE">
      <w:pPr>
        <w:pStyle w:val="STPR2BulletsLevel1"/>
        <w:rPr>
          <w:lang w:eastAsia="en-US"/>
        </w:rPr>
      </w:pPr>
      <w:r>
        <w:rPr>
          <w:lang w:eastAsia="en-US"/>
        </w:rPr>
        <w:t>Provide affordable access to public services and key amenities for all?</w:t>
      </w:r>
    </w:p>
    <w:p w14:paraId="02C00B8A" w14:textId="369C17C3" w:rsidR="000A6347" w:rsidRDefault="000A6347" w:rsidP="007100CE">
      <w:pPr>
        <w:pStyle w:val="STPR2BulletsLevel1"/>
        <w:rPr>
          <w:lang w:eastAsia="en-US"/>
        </w:rPr>
      </w:pPr>
      <w:r>
        <w:rPr>
          <w:lang w:eastAsia="en-US"/>
        </w:rPr>
        <w:t xml:space="preserve">Reduce cost related barriers to accessing and use of all transport modes? </w:t>
      </w:r>
    </w:p>
    <w:p w14:paraId="1C875C6A" w14:textId="01B06EEA" w:rsidR="000A6347" w:rsidRDefault="000A6347" w:rsidP="007100CE">
      <w:pPr>
        <w:pStyle w:val="STPR2BulletsLevel1"/>
        <w:rPr>
          <w:lang w:eastAsia="en-US"/>
        </w:rPr>
      </w:pPr>
      <w:r>
        <w:rPr>
          <w:lang w:eastAsia="en-US"/>
        </w:rPr>
        <w:t>Support access to active travel and public transport particularly amongst children and young people?</w:t>
      </w:r>
    </w:p>
    <w:p w14:paraId="0FF11997" w14:textId="4A2A29FF" w:rsidR="000A6347" w:rsidRDefault="000A6347" w:rsidP="007100CE">
      <w:pPr>
        <w:pStyle w:val="STPR2BulletsLevel1"/>
        <w:rPr>
          <w:lang w:eastAsia="en-US"/>
        </w:rPr>
      </w:pPr>
      <w:r>
        <w:rPr>
          <w:lang w:eastAsia="en-US"/>
        </w:rPr>
        <w:t>Support access to transport, particularly public transport, in rural and remote areas, including island communities?</w:t>
      </w:r>
    </w:p>
    <w:p w14:paraId="2F6F807C" w14:textId="0FD9651E" w:rsidR="000A6347" w:rsidRDefault="000A6347" w:rsidP="007100CE">
      <w:pPr>
        <w:pStyle w:val="STPR2BulletsLevel1"/>
        <w:rPr>
          <w:lang w:eastAsia="en-US"/>
        </w:rPr>
      </w:pPr>
      <w:r>
        <w:rPr>
          <w:lang w:eastAsia="en-US"/>
        </w:rPr>
        <w:t>Improve connectivity between rural and urban areas and key services?</w:t>
      </w:r>
    </w:p>
    <w:p w14:paraId="63A0EB96" w14:textId="72383A90" w:rsidR="000A6347" w:rsidRDefault="000A6347" w:rsidP="007100CE">
      <w:pPr>
        <w:pStyle w:val="STPR2BulletsLevel1"/>
        <w:rPr>
          <w:lang w:eastAsia="en-US"/>
        </w:rPr>
      </w:pPr>
      <w:r>
        <w:rPr>
          <w:lang w:eastAsia="en-US"/>
        </w:rPr>
        <w:t>Improve accessibility to open spaces and the outdoor environment, in particular for those facing socio-economic disadvantage?</w:t>
      </w:r>
    </w:p>
    <w:p w14:paraId="2F7AD1D4" w14:textId="3643F87C" w:rsidR="000A6347" w:rsidRDefault="000A6347" w:rsidP="007100CE">
      <w:pPr>
        <w:pStyle w:val="STPR2BulletsLevel1"/>
        <w:rPr>
          <w:lang w:eastAsia="en-US"/>
        </w:rPr>
      </w:pPr>
      <w:r>
        <w:rPr>
          <w:lang w:eastAsia="en-US"/>
        </w:rPr>
        <w:t>Support the regeneration of disadvantaged or deprived areas?</w:t>
      </w:r>
    </w:p>
    <w:p w14:paraId="15D080EB" w14:textId="4EC33780" w:rsidR="000A6347" w:rsidRPr="007100CE" w:rsidRDefault="007100CE" w:rsidP="000A6347">
      <w:pPr>
        <w:pStyle w:val="STPR2BodyText"/>
        <w:rPr>
          <w:b/>
          <w:bCs/>
          <w:lang w:eastAsia="en-US"/>
        </w:rPr>
      </w:pPr>
      <w:r w:rsidRPr="007100CE">
        <w:rPr>
          <w:b/>
          <w:bCs/>
          <w:lang w:eastAsia="en-US"/>
        </w:rPr>
        <w:t>SAFETY AND SECURITY</w:t>
      </w:r>
    </w:p>
    <w:p w14:paraId="7AEE751C" w14:textId="77777777" w:rsidR="000A6347" w:rsidRDefault="000A6347" w:rsidP="000A6347">
      <w:pPr>
        <w:pStyle w:val="STPR2BodyText"/>
        <w:rPr>
          <w:lang w:eastAsia="en-US"/>
        </w:rPr>
      </w:pPr>
      <w:r>
        <w:rPr>
          <w:lang w:eastAsia="en-US"/>
        </w:rPr>
        <w:t>EqIA Objective</w:t>
      </w:r>
    </w:p>
    <w:p w14:paraId="290FA6CA" w14:textId="77777777" w:rsidR="000A6347" w:rsidRDefault="000A6347" w:rsidP="000A6347">
      <w:pPr>
        <w:pStyle w:val="STPR2BodyText"/>
        <w:rPr>
          <w:lang w:eastAsia="en-US"/>
        </w:rPr>
      </w:pPr>
      <w:r>
        <w:rPr>
          <w:lang w:eastAsia="en-US"/>
        </w:rPr>
        <w:t>Improve the safety, security and health of people by reducing the risk of death, injury or illness arising from transport, and by promoting travel modes that are beneficial to health.</w:t>
      </w:r>
    </w:p>
    <w:p w14:paraId="587E5159" w14:textId="77777777" w:rsidR="000A6347" w:rsidRDefault="000A6347" w:rsidP="000A6347">
      <w:pPr>
        <w:pStyle w:val="STPR2BodyText"/>
        <w:rPr>
          <w:lang w:eastAsia="en-US"/>
        </w:rPr>
      </w:pPr>
      <w:r>
        <w:rPr>
          <w:lang w:eastAsia="en-US"/>
        </w:rPr>
        <w:t>Guide Questions – Will the option/ intervention/ package….</w:t>
      </w:r>
    </w:p>
    <w:p w14:paraId="0103A57E" w14:textId="0076BA62" w:rsidR="000A6347" w:rsidRDefault="000A6347" w:rsidP="007100CE">
      <w:pPr>
        <w:pStyle w:val="STPR2BulletsLevel1"/>
        <w:rPr>
          <w:lang w:eastAsia="en-US"/>
        </w:rPr>
      </w:pPr>
      <w:r>
        <w:rPr>
          <w:lang w:eastAsia="en-US"/>
        </w:rPr>
        <w:t>Develop safe and convenient transport networks, including safe pedestrian and cycle access links, to help improve overall access?</w:t>
      </w:r>
    </w:p>
    <w:p w14:paraId="03F0844E" w14:textId="3A4251B3" w:rsidR="000A6347" w:rsidRDefault="000A6347" w:rsidP="007100CE">
      <w:pPr>
        <w:pStyle w:val="STPR2BulletsLevel1"/>
        <w:rPr>
          <w:lang w:eastAsia="en-US"/>
        </w:rPr>
      </w:pPr>
      <w:r>
        <w:rPr>
          <w:lang w:eastAsia="en-US"/>
        </w:rPr>
        <w:t>Reduce the likelihood of transport-related road accidents and casualties, particularly for children and young people in deprived areas?</w:t>
      </w:r>
    </w:p>
    <w:p w14:paraId="3D105A49" w14:textId="6AFA95D2" w:rsidR="000A6347" w:rsidRPr="007100CE" w:rsidRDefault="007100CE" w:rsidP="000A6347">
      <w:pPr>
        <w:pStyle w:val="STPR2BodyText"/>
        <w:rPr>
          <w:b/>
          <w:bCs/>
          <w:lang w:eastAsia="en-US"/>
        </w:rPr>
      </w:pPr>
      <w:r w:rsidRPr="007100CE">
        <w:rPr>
          <w:b/>
          <w:bCs/>
          <w:lang w:eastAsia="en-US"/>
        </w:rPr>
        <w:t>CHILDREN AND YOUNG PEOPLE</w:t>
      </w:r>
    </w:p>
    <w:p w14:paraId="37647F77" w14:textId="77777777" w:rsidR="000A6347" w:rsidRDefault="000A6347" w:rsidP="000A6347">
      <w:pPr>
        <w:pStyle w:val="STPR2BodyText"/>
        <w:rPr>
          <w:lang w:eastAsia="en-US"/>
        </w:rPr>
      </w:pPr>
      <w:r>
        <w:rPr>
          <w:lang w:eastAsia="en-US"/>
        </w:rPr>
        <w:t>EqIA Objective</w:t>
      </w:r>
    </w:p>
    <w:p w14:paraId="257AC3C3" w14:textId="77777777" w:rsidR="000A6347" w:rsidRDefault="000A6347" w:rsidP="000A6347">
      <w:pPr>
        <w:pStyle w:val="STPR2BodyText"/>
        <w:rPr>
          <w:lang w:eastAsia="en-US"/>
        </w:rPr>
      </w:pPr>
      <w:r>
        <w:rPr>
          <w:lang w:eastAsia="en-US"/>
        </w:rPr>
        <w:t>Safeguard the rights of children and allow young people to reach their full potential. (This objective provides coverage of child rights and wellbeing duties).</w:t>
      </w:r>
    </w:p>
    <w:p w14:paraId="71B4C6E9" w14:textId="77777777" w:rsidR="000A6347" w:rsidRDefault="000A6347" w:rsidP="000A6347">
      <w:pPr>
        <w:pStyle w:val="STPR2BodyText"/>
        <w:rPr>
          <w:lang w:eastAsia="en-US"/>
        </w:rPr>
      </w:pPr>
      <w:r>
        <w:rPr>
          <w:lang w:eastAsia="en-US"/>
        </w:rPr>
        <w:t>Guide Questions – Will the option/ intervention/ package….</w:t>
      </w:r>
    </w:p>
    <w:p w14:paraId="3F3FC5E4" w14:textId="219F3A98" w:rsidR="000A6347" w:rsidRDefault="000A6347" w:rsidP="007100CE">
      <w:pPr>
        <w:pStyle w:val="STPR2BulletsLevel1"/>
        <w:rPr>
          <w:lang w:eastAsia="en-US"/>
        </w:rPr>
      </w:pPr>
      <w:r>
        <w:rPr>
          <w:lang w:eastAsia="en-US"/>
        </w:rPr>
        <w:t>How does the intervention relate to, promote, or inhibit the provisions of the UNCRC, other relevant international treaties and standards, or domestic law?</w:t>
      </w:r>
    </w:p>
    <w:p w14:paraId="0C978F60" w14:textId="2430F5DC" w:rsidR="000A6347" w:rsidRDefault="000A6347" w:rsidP="007100CE">
      <w:pPr>
        <w:pStyle w:val="STPR2BulletsLevel1"/>
        <w:rPr>
          <w:lang w:eastAsia="en-US"/>
        </w:rPr>
      </w:pPr>
      <w:r>
        <w:rPr>
          <w:lang w:eastAsia="en-US"/>
        </w:rPr>
        <w:t>Have children and young people been consulted on the intervention?</w:t>
      </w:r>
    </w:p>
    <w:p w14:paraId="2D641DA8" w14:textId="6EE3AC0E" w:rsidR="000A6347" w:rsidRDefault="000A6347" w:rsidP="007100CE">
      <w:pPr>
        <w:pStyle w:val="STPR2BulletsLevel1"/>
        <w:rPr>
          <w:lang w:eastAsia="en-US"/>
        </w:rPr>
      </w:pPr>
      <w:r>
        <w:rPr>
          <w:lang w:eastAsia="en-US"/>
        </w:rPr>
        <w:t>What impact will or might the intervention have on the rights of children and young people?</w:t>
      </w:r>
    </w:p>
    <w:p w14:paraId="74D29051" w14:textId="2BF2BBD9" w:rsidR="000A6347" w:rsidRDefault="000A6347" w:rsidP="007100CE">
      <w:pPr>
        <w:pStyle w:val="STPR2BulletsLevel1"/>
        <w:rPr>
          <w:lang w:eastAsia="en-US"/>
        </w:rPr>
      </w:pPr>
      <w:r>
        <w:rPr>
          <w:lang w:eastAsia="en-US"/>
        </w:rPr>
        <w:t>Will the rights of one group of children in particular be affected, and to what extent?</w:t>
      </w:r>
    </w:p>
    <w:p w14:paraId="4CF76EE8" w14:textId="4F3F7636" w:rsidR="000A6347" w:rsidRDefault="000A6347" w:rsidP="007100CE">
      <w:pPr>
        <w:pStyle w:val="STPR2BulletsLevel1"/>
        <w:rPr>
          <w:lang w:eastAsia="en-US"/>
        </w:rPr>
      </w:pPr>
      <w:r>
        <w:rPr>
          <w:lang w:eastAsia="en-US"/>
        </w:rPr>
        <w:t>Are there competing interests between the groups of children, or between children and other groups, who would be affected by the intervention?</w:t>
      </w:r>
    </w:p>
    <w:p w14:paraId="4B66A14F" w14:textId="2575B086" w:rsidR="000A6347" w:rsidRDefault="000A6347" w:rsidP="007100CE">
      <w:pPr>
        <w:pStyle w:val="STPR2BulletsLevel1"/>
        <w:rPr>
          <w:lang w:eastAsia="en-US"/>
        </w:rPr>
      </w:pPr>
      <w:r>
        <w:rPr>
          <w:lang w:eastAsia="en-US"/>
        </w:rPr>
        <w:t>Is the intervention the best way of achieving its aims, taking into account children’s</w:t>
      </w:r>
      <w:r w:rsidR="007100CE">
        <w:rPr>
          <w:lang w:eastAsia="en-US"/>
        </w:rPr>
        <w:t> </w:t>
      </w:r>
      <w:r>
        <w:rPr>
          <w:lang w:eastAsia="en-US"/>
        </w:rPr>
        <w:t>rights?</w:t>
      </w:r>
    </w:p>
    <w:p w14:paraId="3B47242C" w14:textId="5F66793C" w:rsidR="000A6347" w:rsidRDefault="000A6347" w:rsidP="007100CE">
      <w:pPr>
        <w:pStyle w:val="STPR2BulletsLevel1"/>
        <w:rPr>
          <w:lang w:eastAsia="en-US"/>
        </w:rPr>
      </w:pPr>
      <w:r>
        <w:rPr>
          <w:lang w:eastAsia="en-US"/>
        </w:rPr>
        <w:t>Will the intervention contribute to the implementation of Transport Scotland’s corporate parent duties under Section 58 of the Children and Young People (Scotland) Act 2014?</w:t>
      </w:r>
    </w:p>
    <w:p w14:paraId="334388F9" w14:textId="19ED6F5D" w:rsidR="000A6347" w:rsidRDefault="000A6347" w:rsidP="007100CE">
      <w:pPr>
        <w:pStyle w:val="STPR2BulletsLevel1"/>
        <w:rPr>
          <w:lang w:eastAsia="en-US"/>
        </w:rPr>
      </w:pPr>
      <w:r>
        <w:rPr>
          <w:lang w:eastAsia="en-US"/>
        </w:rPr>
        <w:t>Will the intervention protect and enhance access to high quality community facilities, public services and key amenities for children and young people?</w:t>
      </w:r>
    </w:p>
    <w:p w14:paraId="40EA7BE5" w14:textId="5BC153F7" w:rsidR="000A6347" w:rsidRDefault="000A6347" w:rsidP="007100CE">
      <w:pPr>
        <w:pStyle w:val="STPR2BulletsLevel1"/>
        <w:rPr>
          <w:lang w:eastAsia="en-US"/>
        </w:rPr>
      </w:pPr>
      <w:r>
        <w:rPr>
          <w:lang w:eastAsia="en-US"/>
        </w:rPr>
        <w:lastRenderedPageBreak/>
        <w:t>Will the intervention improve access using active travel and public transport to educational, social and economic opportunities for children and young people?</w:t>
      </w:r>
    </w:p>
    <w:p w14:paraId="7E9FC5F2" w14:textId="07B95B37" w:rsidR="000A6347" w:rsidRPr="007100CE" w:rsidRDefault="007100CE" w:rsidP="000A6347">
      <w:pPr>
        <w:pStyle w:val="STPR2BodyText"/>
        <w:rPr>
          <w:b/>
          <w:bCs/>
          <w:lang w:eastAsia="en-US"/>
        </w:rPr>
      </w:pPr>
      <w:r w:rsidRPr="007100CE">
        <w:rPr>
          <w:b/>
          <w:bCs/>
          <w:lang w:eastAsia="en-US"/>
        </w:rPr>
        <w:t>ISLAND COMMUNITIES</w:t>
      </w:r>
    </w:p>
    <w:p w14:paraId="5279D93D" w14:textId="77777777" w:rsidR="000A6347" w:rsidRDefault="000A6347" w:rsidP="000A6347">
      <w:pPr>
        <w:pStyle w:val="STPR2BodyText"/>
        <w:rPr>
          <w:lang w:eastAsia="en-US"/>
        </w:rPr>
      </w:pPr>
      <w:r>
        <w:rPr>
          <w:lang w:eastAsia="en-US"/>
        </w:rPr>
        <w:t>EqIA Objective</w:t>
      </w:r>
    </w:p>
    <w:p w14:paraId="278FCA9C" w14:textId="2909FB68" w:rsidR="000A6347" w:rsidRDefault="000A6347" w:rsidP="000A6347">
      <w:pPr>
        <w:pStyle w:val="STPR2BodyText"/>
        <w:rPr>
          <w:lang w:eastAsia="en-US"/>
        </w:rPr>
      </w:pPr>
      <w:r>
        <w:rPr>
          <w:lang w:eastAsia="en-US"/>
        </w:rPr>
        <w:t>Increase the economic prosperity of and address the unique challenges faced by island</w:t>
      </w:r>
      <w:r w:rsidR="007100CE">
        <w:rPr>
          <w:lang w:eastAsia="en-US"/>
        </w:rPr>
        <w:t> </w:t>
      </w:r>
      <w:r>
        <w:rPr>
          <w:lang w:eastAsia="en-US"/>
        </w:rPr>
        <w:t>communities.</w:t>
      </w:r>
    </w:p>
    <w:p w14:paraId="525C8728" w14:textId="77777777" w:rsidR="000A6347" w:rsidRDefault="000A6347" w:rsidP="000A6347">
      <w:pPr>
        <w:pStyle w:val="STPR2BodyText"/>
        <w:rPr>
          <w:lang w:eastAsia="en-US"/>
        </w:rPr>
      </w:pPr>
      <w:r>
        <w:rPr>
          <w:lang w:eastAsia="en-US"/>
        </w:rPr>
        <w:t>Guide Questions – Will the option/ intervention/ package….</w:t>
      </w:r>
    </w:p>
    <w:p w14:paraId="42B9E41F" w14:textId="2CCBDA86" w:rsidR="000A6347" w:rsidRDefault="000A6347" w:rsidP="007100CE">
      <w:pPr>
        <w:pStyle w:val="STPR2BulletsLevel1"/>
        <w:rPr>
          <w:lang w:eastAsia="en-US"/>
        </w:rPr>
      </w:pPr>
      <w:r>
        <w:rPr>
          <w:lang w:eastAsia="en-US"/>
        </w:rPr>
        <w:t>Protect and increase the economic prosperity of island communities?</w:t>
      </w:r>
    </w:p>
    <w:p w14:paraId="707143E3" w14:textId="7CC6AEAB" w:rsidR="000A6347" w:rsidRDefault="000A6347" w:rsidP="007100CE">
      <w:pPr>
        <w:pStyle w:val="STPR2BulletsLevel1"/>
        <w:rPr>
          <w:lang w:eastAsia="en-US"/>
        </w:rPr>
      </w:pPr>
      <w:r>
        <w:rPr>
          <w:lang w:eastAsia="en-US"/>
        </w:rPr>
        <w:t>Effectively address the unique transport challenges faced by island communities?</w:t>
      </w:r>
    </w:p>
    <w:p w14:paraId="4446585F" w14:textId="4E8A57F2" w:rsidR="000A6347" w:rsidRDefault="000A6347" w:rsidP="007100CE">
      <w:pPr>
        <w:pStyle w:val="STPR2BulletsLevel1"/>
        <w:rPr>
          <w:lang w:eastAsia="en-US"/>
        </w:rPr>
      </w:pPr>
      <w:r>
        <w:rPr>
          <w:lang w:eastAsia="en-US"/>
        </w:rPr>
        <w:t>Effectively address the unique economic challenges faced by island communities?</w:t>
      </w:r>
    </w:p>
    <w:p w14:paraId="59B9068F" w14:textId="449F9E7F" w:rsidR="000A6347" w:rsidRDefault="000A6347" w:rsidP="007100CE">
      <w:pPr>
        <w:pStyle w:val="STPR2BulletsLevel1"/>
        <w:rPr>
          <w:lang w:eastAsia="en-US"/>
        </w:rPr>
      </w:pPr>
      <w:r>
        <w:rPr>
          <w:lang w:eastAsia="en-US"/>
        </w:rPr>
        <w:t>Effectively address the unique social challenges faced by island communities?</w:t>
      </w:r>
    </w:p>
    <w:p w14:paraId="5BE70B15" w14:textId="047B421F" w:rsidR="006D5E21" w:rsidRDefault="000A6347" w:rsidP="007100CE">
      <w:pPr>
        <w:pStyle w:val="STPR2BulletsLevel1"/>
        <w:rPr>
          <w:rFonts w:eastAsia="Times New Roman"/>
          <w:shd w:val="clear" w:color="auto" w:fill="FFFFFF"/>
        </w:rPr>
      </w:pPr>
      <w:r>
        <w:rPr>
          <w:lang w:eastAsia="en-US"/>
        </w:rPr>
        <w:t>Protect and enhance quality of life for island residents?</w:t>
      </w:r>
    </w:p>
    <w:p w14:paraId="42E72C65" w14:textId="77777777" w:rsidR="006D5E21" w:rsidRDefault="006D5E21" w:rsidP="006D5E21">
      <w:pPr>
        <w:rPr>
          <w:rFonts w:ascii="Arial" w:eastAsia="Times New Roman" w:hAnsi="Arial" w:cs="Arial"/>
          <w:color w:val="000000"/>
          <w:sz w:val="24"/>
          <w:shd w:val="clear" w:color="auto" w:fill="FFFFFF"/>
        </w:rPr>
      </w:pPr>
    </w:p>
    <w:p w14:paraId="407F372C" w14:textId="49A10FC7" w:rsidR="00D62CC5" w:rsidRPr="00721406" w:rsidRDefault="00D62CC5" w:rsidP="00721406">
      <w:pPr>
        <w:sectPr w:rsidR="00D62CC5" w:rsidRPr="00721406" w:rsidSect="00433F21">
          <w:headerReference w:type="even" r:id="rId53"/>
          <w:headerReference w:type="default" r:id="rId54"/>
          <w:headerReference w:type="first" r:id="rId55"/>
          <w:pgSz w:w="11906" w:h="16838" w:code="9"/>
          <w:pgMar w:top="1699" w:right="1138" w:bottom="1138" w:left="1138" w:header="454" w:footer="567" w:gutter="0"/>
          <w:cols w:space="720"/>
          <w:noEndnote/>
          <w:docGrid w:linePitch="299"/>
        </w:sectPr>
      </w:pPr>
    </w:p>
    <w:p w14:paraId="27B0D1FF" w14:textId="77777777" w:rsidR="00307E47" w:rsidRPr="00E645D5" w:rsidRDefault="00307E47" w:rsidP="006A0185">
      <w:pPr>
        <w:pStyle w:val="STPR2BodyText"/>
      </w:pPr>
    </w:p>
    <w:bookmarkEnd w:id="0"/>
    <w:p w14:paraId="4574E0DA" w14:textId="77777777" w:rsidR="003E6F26" w:rsidRPr="00E645D5" w:rsidRDefault="003E6F26" w:rsidP="00E757A0">
      <w:pPr>
        <w:pStyle w:val="STPR2BodyText"/>
      </w:pPr>
    </w:p>
    <w:sectPr w:rsidR="003E6F26" w:rsidRPr="00E645D5" w:rsidSect="006829F4">
      <w:headerReference w:type="even" r:id="rId56"/>
      <w:headerReference w:type="default" r:id="rId57"/>
      <w:footerReference w:type="default" r:id="rId58"/>
      <w:headerReference w:type="first" r:id="rId59"/>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91EB1" w14:textId="77777777" w:rsidR="004928B4" w:rsidRDefault="004928B4" w:rsidP="006F1601">
      <w:pPr>
        <w:spacing w:after="0" w:line="240" w:lineRule="auto"/>
      </w:pPr>
      <w:r>
        <w:separator/>
      </w:r>
    </w:p>
  </w:endnote>
  <w:endnote w:type="continuationSeparator" w:id="0">
    <w:p w14:paraId="1F6F0A94" w14:textId="77777777" w:rsidR="004928B4" w:rsidRDefault="004928B4" w:rsidP="006F1601">
      <w:pPr>
        <w:spacing w:after="0" w:line="240" w:lineRule="auto"/>
      </w:pPr>
      <w:r>
        <w:continuationSeparator/>
      </w:r>
    </w:p>
  </w:endnote>
  <w:endnote w:type="continuationNotice" w:id="1">
    <w:p w14:paraId="422EB967" w14:textId="77777777" w:rsidR="004928B4" w:rsidRDefault="00492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acobs Chronos">
    <w:charset w:val="00"/>
    <w:family w:val="swiss"/>
    <w:pitch w:val="variable"/>
    <w:sig w:usb0="A00000EF" w:usb1="0000E0EB" w:usb2="00000008"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112"/>
      <w:gridCol w:w="1277"/>
      <w:gridCol w:w="4241"/>
    </w:tblGrid>
    <w:tr w:rsidR="00433F21" w14:paraId="2444C04F" w14:textId="77777777" w:rsidTr="00D54AA7">
      <w:tc>
        <w:tcPr>
          <w:tcW w:w="2135" w:type="pct"/>
        </w:tcPr>
        <w:p w14:paraId="779DF364" w14:textId="77777777" w:rsidR="00433F21" w:rsidRPr="00F110EE" w:rsidRDefault="00433F21" w:rsidP="00F110EE">
          <w:pPr>
            <w:pStyle w:val="Footer"/>
            <w:rPr>
              <w:szCs w:val="24"/>
            </w:rPr>
          </w:pPr>
          <w:r w:rsidRPr="00F110EE">
            <w:rPr>
              <w:szCs w:val="24"/>
            </w:rPr>
            <w:t>Strategic Transport Projects Review (STPR2) Consultancy Support Services Contract</w:t>
          </w:r>
        </w:p>
      </w:tc>
      <w:tc>
        <w:tcPr>
          <w:tcW w:w="663" w:type="pct"/>
          <w:vAlign w:val="center"/>
        </w:tcPr>
        <w:p w14:paraId="018F2830" w14:textId="77777777" w:rsidR="00433F21" w:rsidRDefault="00433F21" w:rsidP="00F110EE">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6C05596E" w14:textId="77777777" w:rsidR="00433F21" w:rsidRDefault="00433F21" w:rsidP="00F110EE">
          <w:pPr>
            <w:pStyle w:val="Footer"/>
          </w:pPr>
          <w:r>
            <w:rPr>
              <w:noProof/>
            </w:rPr>
            <w:drawing>
              <wp:anchor distT="0" distB="0" distL="114300" distR="114300" simplePos="0" relativeHeight="251662336" behindDoc="1" locked="0" layoutInCell="1" allowOverlap="0" wp14:anchorId="7E1796AC" wp14:editId="69FC534C">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7C925290" w14:textId="77777777" w:rsidR="00433F21" w:rsidRPr="00C9463F" w:rsidRDefault="00433F21" w:rsidP="00F11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7775AD" w14:paraId="6BE3E105" w14:textId="77777777" w:rsidTr="007100CE">
      <w:tc>
        <w:tcPr>
          <w:tcW w:w="2135" w:type="pct"/>
        </w:tcPr>
        <w:p w14:paraId="6FC6BC2E" w14:textId="77777777" w:rsidR="007775AD" w:rsidRPr="00231030" w:rsidRDefault="007775AD" w:rsidP="00984B20">
          <w:pPr>
            <w:pStyle w:val="Footer"/>
          </w:pPr>
          <w:r w:rsidRPr="00231030">
            <w:t>Strategic Transport Projects Review (STPR2) Consultancy Support Services Contract</w:t>
          </w:r>
        </w:p>
      </w:tc>
      <w:tc>
        <w:tcPr>
          <w:tcW w:w="663" w:type="pct"/>
          <w:vAlign w:val="center"/>
        </w:tcPr>
        <w:p w14:paraId="362E193D" w14:textId="0261E14E" w:rsidR="007775AD" w:rsidRPr="00231030" w:rsidRDefault="007100CE" w:rsidP="00AC7FD5">
          <w:pPr>
            <w:pStyle w:val="Footer"/>
            <w:jc w:val="center"/>
          </w:pPr>
          <w:r>
            <w:t xml:space="preserve">Page </w:t>
          </w:r>
          <w:r w:rsidR="007775AD" w:rsidRPr="00231030">
            <w:fldChar w:fldCharType="begin"/>
          </w:r>
          <w:r w:rsidR="007775AD" w:rsidRPr="00231030">
            <w:instrText xml:space="preserve"> PAGE   \* MERGEFORMAT </w:instrText>
          </w:r>
          <w:r w:rsidR="007775AD" w:rsidRPr="00231030">
            <w:fldChar w:fldCharType="separate"/>
          </w:r>
          <w:r w:rsidR="007775AD" w:rsidRPr="00231030">
            <w:rPr>
              <w:noProof/>
            </w:rPr>
            <w:t>15</w:t>
          </w:r>
          <w:r w:rsidR="007775AD" w:rsidRPr="00231030">
            <w:rPr>
              <w:noProof/>
            </w:rPr>
            <w:fldChar w:fldCharType="end"/>
          </w:r>
        </w:p>
      </w:tc>
      <w:tc>
        <w:tcPr>
          <w:tcW w:w="2202" w:type="pct"/>
          <w:vAlign w:val="center"/>
        </w:tcPr>
        <w:p w14:paraId="218AFBA0" w14:textId="77777777" w:rsidR="007775AD" w:rsidRDefault="007775AD" w:rsidP="00AC7FD5">
          <w:pPr>
            <w:pStyle w:val="Footer"/>
            <w:jc w:val="right"/>
          </w:pPr>
          <w:r>
            <w:rPr>
              <w:noProof/>
            </w:rPr>
            <w:drawing>
              <wp:inline distT="0" distB="0" distL="0" distR="0" wp14:anchorId="48526F5A" wp14:editId="44C56B6D">
                <wp:extent cx="1620003" cy="180000"/>
                <wp:effectExtent l="0" t="0" r="0" b="0"/>
                <wp:docPr id="14" name="Picture 14" descr="Jacobs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Jacobs AECOM logo"/>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03C69FD" w14:textId="77777777" w:rsidR="007775AD" w:rsidRPr="00AC7FD5" w:rsidRDefault="007775AD" w:rsidP="00984B20">
    <w:pPr>
      <w:pStyle w:val="Footer"/>
      <w:rPr>
        <w:sz w:val="2"/>
        <w:szCs w:val="2"/>
      </w:rPr>
    </w:pPr>
  </w:p>
  <w:p w14:paraId="48BADB69" w14:textId="77777777" w:rsidR="007775AD" w:rsidRDefault="007775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112"/>
      <w:gridCol w:w="1277"/>
      <w:gridCol w:w="4241"/>
    </w:tblGrid>
    <w:tr w:rsidR="00433F21" w14:paraId="39C44C86" w14:textId="77777777" w:rsidTr="00433F21">
      <w:tc>
        <w:tcPr>
          <w:tcW w:w="2135" w:type="pct"/>
        </w:tcPr>
        <w:p w14:paraId="3C329187" w14:textId="77777777" w:rsidR="00433F21" w:rsidRPr="00F110EE" w:rsidRDefault="00433F21" w:rsidP="00433F21">
          <w:pPr>
            <w:pStyle w:val="Footer"/>
            <w:rPr>
              <w:szCs w:val="24"/>
            </w:rPr>
          </w:pPr>
          <w:r w:rsidRPr="00F110EE">
            <w:rPr>
              <w:szCs w:val="24"/>
            </w:rPr>
            <w:t>Strategic Transport Projects Review (STPR2) Consultancy Support Services Contract</w:t>
          </w:r>
        </w:p>
      </w:tc>
      <w:tc>
        <w:tcPr>
          <w:tcW w:w="663" w:type="pct"/>
          <w:vAlign w:val="center"/>
        </w:tcPr>
        <w:p w14:paraId="7B05AB2D" w14:textId="77777777" w:rsidR="00433F21" w:rsidRDefault="00433F21" w:rsidP="00433F21">
          <w:pPr>
            <w:pStyle w:val="Footer"/>
          </w:pPr>
          <w:r>
            <w:t xml:space="preserve">Page </w:t>
          </w:r>
          <w:r>
            <w:fldChar w:fldCharType="begin"/>
          </w:r>
          <w:r>
            <w:instrText xml:space="preserve"> PAGE   \* MERGEFORMAT </w:instrText>
          </w:r>
          <w:r>
            <w:fldChar w:fldCharType="separate"/>
          </w:r>
          <w:r>
            <w:t>36</w:t>
          </w:r>
          <w:r>
            <w:rPr>
              <w:noProof/>
            </w:rPr>
            <w:fldChar w:fldCharType="end"/>
          </w:r>
        </w:p>
      </w:tc>
      <w:tc>
        <w:tcPr>
          <w:tcW w:w="2202" w:type="pct"/>
          <w:vAlign w:val="center"/>
        </w:tcPr>
        <w:p w14:paraId="2384D3F6" w14:textId="77777777" w:rsidR="00433F21" w:rsidRDefault="00433F21" w:rsidP="00433F21">
          <w:pPr>
            <w:pStyle w:val="Footer"/>
          </w:pPr>
          <w:r>
            <w:rPr>
              <w:noProof/>
            </w:rPr>
            <w:drawing>
              <wp:anchor distT="0" distB="0" distL="114300" distR="114300" simplePos="0" relativeHeight="251660288" behindDoc="1" locked="0" layoutInCell="1" allowOverlap="0" wp14:anchorId="5431074A" wp14:editId="77F18AC8">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893550792" name="Picture 89355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AB88773" w14:textId="77777777" w:rsidR="00433F21" w:rsidRPr="00C9463F" w:rsidRDefault="00433F21" w:rsidP="00433F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7775AD" w:rsidRPr="00307E47" w:rsidRDefault="007775AD"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97328" w14:textId="77777777" w:rsidR="004928B4" w:rsidRDefault="004928B4" w:rsidP="006F1601">
      <w:pPr>
        <w:spacing w:after="0" w:line="240" w:lineRule="auto"/>
      </w:pPr>
      <w:r>
        <w:separator/>
      </w:r>
    </w:p>
  </w:footnote>
  <w:footnote w:type="continuationSeparator" w:id="0">
    <w:p w14:paraId="43974C79" w14:textId="77777777" w:rsidR="004928B4" w:rsidRDefault="004928B4" w:rsidP="006F1601">
      <w:pPr>
        <w:spacing w:after="0" w:line="240" w:lineRule="auto"/>
      </w:pPr>
      <w:r>
        <w:continuationSeparator/>
      </w:r>
    </w:p>
  </w:footnote>
  <w:footnote w:type="continuationNotice" w:id="1">
    <w:p w14:paraId="059875AD" w14:textId="77777777" w:rsidR="004928B4" w:rsidRDefault="004928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EE10" w14:textId="77777777" w:rsidR="00433F21" w:rsidRDefault="00433F2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4639535B" w:rsidR="007775AD" w:rsidRPr="00307E47" w:rsidRDefault="007775AD"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F9E3" w14:textId="6E6024AF" w:rsidR="007775AD" w:rsidRDefault="007775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19"/>
      <w:gridCol w:w="3211"/>
    </w:tblGrid>
    <w:tr w:rsidR="00433F21" w14:paraId="20E0DD06" w14:textId="77777777" w:rsidTr="00D54AA7">
      <w:tc>
        <w:tcPr>
          <w:tcW w:w="3333" w:type="pct"/>
          <w:vAlign w:val="center"/>
        </w:tcPr>
        <w:p w14:paraId="44825B27" w14:textId="1A2C9F5F" w:rsidR="00433F21" w:rsidRPr="00AC7FD5" w:rsidRDefault="00874931" w:rsidP="00F110EE">
          <w:pPr>
            <w:pStyle w:val="Header"/>
            <w:ind w:left="-103"/>
          </w:pPr>
          <w:r w:rsidRPr="00731A9E">
            <w:t>STPR2 EqIA Report</w:t>
          </w:r>
        </w:p>
      </w:tc>
      <w:tc>
        <w:tcPr>
          <w:tcW w:w="1667" w:type="pct"/>
        </w:tcPr>
        <w:p w14:paraId="57EFAD86" w14:textId="77777777" w:rsidR="00433F21" w:rsidRDefault="00433F21" w:rsidP="00F110EE">
          <w:pPr>
            <w:pStyle w:val="Header"/>
            <w:jc w:val="right"/>
          </w:pPr>
          <w:r>
            <w:rPr>
              <w:noProof/>
            </w:rPr>
            <w:drawing>
              <wp:inline distT="0" distB="0" distL="0" distR="0" wp14:anchorId="06A6058C" wp14:editId="2A2F9298">
                <wp:extent cx="1564640" cy="719455"/>
                <wp:effectExtent l="0" t="0" r="0" b="4445"/>
                <wp:docPr id="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8C05DF" w14:textId="77777777" w:rsidR="00433F21" w:rsidRPr="00AC7FD5" w:rsidRDefault="00433F21" w:rsidP="00F110EE">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571D" w14:textId="77777777" w:rsidR="00433F21" w:rsidRDefault="00433F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50A4" w14:textId="73F3EB11" w:rsidR="007775AD" w:rsidRDefault="007775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8114" w14:textId="309F8D13" w:rsidR="007775AD" w:rsidRDefault="007775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5969" w14:textId="260111EC" w:rsidR="007775AD" w:rsidRDefault="007775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19"/>
      <w:gridCol w:w="3211"/>
    </w:tblGrid>
    <w:tr w:rsidR="00731A9E" w14:paraId="05408A30" w14:textId="77777777" w:rsidTr="00D54AA7">
      <w:tc>
        <w:tcPr>
          <w:tcW w:w="3333" w:type="pct"/>
          <w:vAlign w:val="center"/>
        </w:tcPr>
        <w:p w14:paraId="79C01330" w14:textId="77777777" w:rsidR="00731A9E" w:rsidRPr="00AC7FD5" w:rsidRDefault="00731A9E" w:rsidP="00731A9E">
          <w:pPr>
            <w:pStyle w:val="Header"/>
            <w:ind w:left="-103"/>
          </w:pPr>
          <w:r w:rsidRPr="00731A9E">
            <w:t>STPR2 EqIA Report</w:t>
          </w:r>
        </w:p>
      </w:tc>
      <w:tc>
        <w:tcPr>
          <w:tcW w:w="1667" w:type="pct"/>
        </w:tcPr>
        <w:p w14:paraId="58AD23BA" w14:textId="77777777" w:rsidR="00731A9E" w:rsidRDefault="00731A9E" w:rsidP="00731A9E">
          <w:pPr>
            <w:pStyle w:val="Header"/>
            <w:jc w:val="right"/>
          </w:pPr>
          <w:r>
            <w:rPr>
              <w:noProof/>
            </w:rPr>
            <w:drawing>
              <wp:inline distT="0" distB="0" distL="0" distR="0" wp14:anchorId="225F9EB5" wp14:editId="49583B67">
                <wp:extent cx="1564640" cy="719455"/>
                <wp:effectExtent l="0" t="0" r="0" b="4445"/>
                <wp:docPr id="1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021155" w14:textId="77777777" w:rsidR="00731A9E" w:rsidRPr="00AC7FD5" w:rsidRDefault="00731A9E" w:rsidP="00731A9E">
    <w:pPr>
      <w:pStyle w:val="Header"/>
      <w:rPr>
        <w:sz w:val="2"/>
        <w:szCs w:val="2"/>
      </w:rPr>
    </w:pPr>
    <w:r>
      <w:rPr>
        <w:sz w:val="2"/>
        <w:szCs w:val="2"/>
      </w:rPr>
      <w:t>1q</w:t>
    </w:r>
    <w:r>
      <w:rPr>
        <w:sz w:val="2"/>
        <w:szCs w:val="2"/>
      </w:rPr>
      <w:tab/>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5F96" w14:textId="4DF0B29D" w:rsidR="007775AD" w:rsidRDefault="007775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3AA6" w14:textId="796C2E4E" w:rsidR="007775AD" w:rsidRDefault="00777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DDCECD0"/>
    <w:lvl w:ilvl="0">
      <w:start w:val="1"/>
      <w:numFmt w:val="bullet"/>
      <w:pStyle w:val="ListBullet3"/>
      <w:lvlText w:val=""/>
      <w:lvlJc w:val="left"/>
      <w:pPr>
        <w:tabs>
          <w:tab w:val="num" w:pos="926"/>
        </w:tabs>
        <w:ind w:left="926" w:hanging="360"/>
      </w:pPr>
      <w:rPr>
        <w:rFonts w:ascii="Times New Roman" w:hAnsi="Times New Roman" w:hint="default"/>
      </w:rPr>
    </w:lvl>
  </w:abstractNum>
  <w:abstractNum w:abstractNumId="1" w15:restartNumberingAfterBreak="0">
    <w:nsid w:val="FFFFFF83"/>
    <w:multiLevelType w:val="singleLevel"/>
    <w:tmpl w:val="B4C4574E"/>
    <w:lvl w:ilvl="0">
      <w:start w:val="1"/>
      <w:numFmt w:val="bullet"/>
      <w:pStyle w:val="ListBullet2"/>
      <w:lvlText w:val=""/>
      <w:lvlJc w:val="left"/>
      <w:pPr>
        <w:tabs>
          <w:tab w:val="num" w:pos="643"/>
        </w:tabs>
        <w:ind w:left="643" w:hanging="360"/>
      </w:pPr>
      <w:rPr>
        <w:rFonts w:ascii="Times New Roman" w:hAnsi="Times New Roman" w:hint="default"/>
      </w:rPr>
    </w:lvl>
  </w:abstractNum>
  <w:abstractNum w:abstractNumId="2" w15:restartNumberingAfterBreak="0">
    <w:nsid w:val="FFFFFF89"/>
    <w:multiLevelType w:val="hybridMultilevel"/>
    <w:tmpl w:val="14789294"/>
    <w:lvl w:ilvl="0" w:tplc="BCA2200C">
      <w:start w:val="1"/>
      <w:numFmt w:val="bullet"/>
      <w:pStyle w:val="ListBullet"/>
      <w:lvlText w:val=""/>
      <w:lvlJc w:val="left"/>
      <w:pPr>
        <w:tabs>
          <w:tab w:val="num" w:pos="360"/>
        </w:tabs>
        <w:ind w:left="360" w:hanging="360"/>
      </w:pPr>
      <w:rPr>
        <w:rFonts w:ascii="Times New Roman" w:hAnsi="Times New Roman" w:hint="default"/>
      </w:rPr>
    </w:lvl>
    <w:lvl w:ilvl="1" w:tplc="DA5811A8">
      <w:numFmt w:val="decimal"/>
      <w:lvlText w:val=""/>
      <w:lvlJc w:val="left"/>
    </w:lvl>
    <w:lvl w:ilvl="2" w:tplc="BCDE2BBC">
      <w:numFmt w:val="decimal"/>
      <w:lvlText w:val=""/>
      <w:lvlJc w:val="left"/>
    </w:lvl>
    <w:lvl w:ilvl="3" w:tplc="3E26C690">
      <w:numFmt w:val="decimal"/>
      <w:lvlText w:val=""/>
      <w:lvlJc w:val="left"/>
    </w:lvl>
    <w:lvl w:ilvl="4" w:tplc="2DB49C04">
      <w:numFmt w:val="decimal"/>
      <w:lvlText w:val=""/>
      <w:lvlJc w:val="left"/>
    </w:lvl>
    <w:lvl w:ilvl="5" w:tplc="B960478E">
      <w:numFmt w:val="decimal"/>
      <w:lvlText w:val=""/>
      <w:lvlJc w:val="left"/>
    </w:lvl>
    <w:lvl w:ilvl="6" w:tplc="8820996A">
      <w:numFmt w:val="decimal"/>
      <w:lvlText w:val=""/>
      <w:lvlJc w:val="left"/>
    </w:lvl>
    <w:lvl w:ilvl="7" w:tplc="F71A51FE">
      <w:numFmt w:val="decimal"/>
      <w:lvlText w:val=""/>
      <w:lvlJc w:val="left"/>
    </w:lvl>
    <w:lvl w:ilvl="8" w:tplc="E514ACC4">
      <w:numFmt w:val="decimal"/>
      <w:lvlText w:val=""/>
      <w:lvlJc w:val="left"/>
    </w:lvl>
  </w:abstractNum>
  <w:abstractNum w:abstractNumId="3" w15:restartNumberingAfterBreak="0">
    <w:nsid w:val="00AC6A35"/>
    <w:multiLevelType w:val="hybridMultilevel"/>
    <w:tmpl w:val="83CE1A72"/>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84495"/>
    <w:multiLevelType w:val="hybridMultilevel"/>
    <w:tmpl w:val="889A1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993DB0"/>
    <w:multiLevelType w:val="multilevel"/>
    <w:tmpl w:val="B396F38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ascii="Arial" w:hAnsi="Arial" w:hint="default"/>
        <w:b/>
        <w:bCs/>
        <w:color w:val="414144"/>
        <w:sz w:val="28"/>
        <w:szCs w:val="28"/>
      </w:rPr>
    </w:lvl>
    <w:lvl w:ilvl="2">
      <w:start w:val="1"/>
      <w:numFmt w:val="decimal"/>
      <w:pStyle w:val="Heading3"/>
      <w:lvlText w:val="%1.%2.%3."/>
      <w:lvlJc w:val="left"/>
      <w:pPr>
        <w:tabs>
          <w:tab w:val="num" w:pos="864"/>
        </w:tabs>
        <w:ind w:left="864" w:hanging="864"/>
      </w:pPr>
      <w:rPr>
        <w:rFonts w:ascii="Arial" w:hAnsi="Arial" w:cs="Arial" w:hint="default"/>
      </w:rPr>
    </w:lvl>
    <w:lvl w:ilvl="3">
      <w:start w:val="1"/>
      <w:numFmt w:val="decimal"/>
      <w:lvlText w:val="%1.%2.%3.%4."/>
      <w:lvlJc w:val="left"/>
      <w:pPr>
        <w:tabs>
          <w:tab w:val="num" w:pos="360"/>
        </w:tabs>
        <w:ind w:left="360" w:hanging="360"/>
      </w:pPr>
      <w:rPr>
        <w:rFonts w:hint="default"/>
      </w:rPr>
    </w:lvl>
    <w:lvl w:ilvl="4">
      <w:start w:val="1"/>
      <w:numFmt w:val="decimal"/>
      <w:lvlText w:val="%1.%2.%3.%4.%5."/>
      <w:lvlJc w:val="left"/>
      <w:pPr>
        <w:tabs>
          <w:tab w:val="num" w:pos="360"/>
        </w:tabs>
        <w:ind w:left="360" w:hanging="36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4E4FCC"/>
    <w:multiLevelType w:val="hybridMultilevel"/>
    <w:tmpl w:val="8F5C3E8E"/>
    <w:styleLink w:val="JacobsBulletList1"/>
    <w:lvl w:ilvl="0" w:tplc="FC920EC0">
      <w:start w:val="1"/>
      <w:numFmt w:val="bullet"/>
      <w:pStyle w:val="Para0bullet"/>
      <w:lvlText w:val=""/>
      <w:lvlJc w:val="left"/>
      <w:pPr>
        <w:ind w:left="425" w:hanging="425"/>
      </w:pPr>
      <w:rPr>
        <w:rFonts w:ascii="Symbol" w:hAnsi="Symbol" w:hint="default"/>
        <w:color w:val="auto"/>
        <w:sz w:val="18"/>
      </w:rPr>
    </w:lvl>
    <w:lvl w:ilvl="1" w:tplc="5352CF9C">
      <w:start w:val="1"/>
      <w:numFmt w:val="bullet"/>
      <w:pStyle w:val="Para1narrowarrow"/>
      <w:lvlText w:val="-"/>
      <w:lvlJc w:val="left"/>
      <w:pPr>
        <w:ind w:left="851" w:hanging="426"/>
      </w:pPr>
      <w:rPr>
        <w:rFonts w:ascii="Arial" w:hAnsi="Arial" w:hint="default"/>
        <w:color w:val="000000" w:themeColor="text1"/>
        <w:sz w:val="18"/>
      </w:rPr>
    </w:lvl>
    <w:lvl w:ilvl="2" w:tplc="44FCC6DA">
      <w:start w:val="1"/>
      <w:numFmt w:val="none"/>
      <w:lvlRestart w:val="0"/>
      <w:lvlText w:val=""/>
      <w:lvlJc w:val="left"/>
      <w:pPr>
        <w:ind w:left="851" w:hanging="426"/>
      </w:pPr>
      <w:rPr>
        <w:rFonts w:hint="default"/>
      </w:rPr>
    </w:lvl>
    <w:lvl w:ilvl="3" w:tplc="12546396">
      <w:start w:val="1"/>
      <w:numFmt w:val="none"/>
      <w:lvlRestart w:val="0"/>
      <w:lvlText w:val=""/>
      <w:lvlJc w:val="left"/>
      <w:pPr>
        <w:ind w:left="851" w:hanging="426"/>
      </w:pPr>
      <w:rPr>
        <w:rFonts w:hint="default"/>
      </w:rPr>
    </w:lvl>
    <w:lvl w:ilvl="4" w:tplc="D05862EA">
      <w:start w:val="1"/>
      <w:numFmt w:val="none"/>
      <w:lvlRestart w:val="0"/>
      <w:lvlText w:val=""/>
      <w:lvlJc w:val="left"/>
      <w:pPr>
        <w:ind w:left="851" w:hanging="426"/>
      </w:pPr>
      <w:rPr>
        <w:rFonts w:hint="default"/>
      </w:rPr>
    </w:lvl>
    <w:lvl w:ilvl="5" w:tplc="4A6C5E82">
      <w:start w:val="1"/>
      <w:numFmt w:val="none"/>
      <w:lvlRestart w:val="0"/>
      <w:lvlText w:val=""/>
      <w:lvlJc w:val="left"/>
      <w:pPr>
        <w:ind w:left="851" w:hanging="426"/>
      </w:pPr>
      <w:rPr>
        <w:rFonts w:hint="default"/>
      </w:rPr>
    </w:lvl>
    <w:lvl w:ilvl="6" w:tplc="F7E6FE7A">
      <w:start w:val="1"/>
      <w:numFmt w:val="none"/>
      <w:lvlRestart w:val="0"/>
      <w:lvlText w:val=""/>
      <w:lvlJc w:val="left"/>
      <w:pPr>
        <w:ind w:left="851" w:hanging="426"/>
      </w:pPr>
      <w:rPr>
        <w:rFonts w:hint="default"/>
      </w:rPr>
    </w:lvl>
    <w:lvl w:ilvl="7" w:tplc="165C2294">
      <w:start w:val="1"/>
      <w:numFmt w:val="none"/>
      <w:lvlRestart w:val="0"/>
      <w:lvlText w:val=""/>
      <w:lvlJc w:val="left"/>
      <w:pPr>
        <w:ind w:left="851" w:hanging="426"/>
      </w:pPr>
      <w:rPr>
        <w:rFonts w:hint="default"/>
      </w:rPr>
    </w:lvl>
    <w:lvl w:ilvl="8" w:tplc="E7568D36">
      <w:start w:val="1"/>
      <w:numFmt w:val="none"/>
      <w:lvlRestart w:val="0"/>
      <w:lvlText w:val=""/>
      <w:lvlJc w:val="left"/>
      <w:pPr>
        <w:ind w:left="851" w:hanging="426"/>
      </w:pPr>
      <w:rPr>
        <w:rFonts w:hint="default"/>
      </w:rPr>
    </w:lvl>
  </w:abstractNum>
  <w:abstractNum w:abstractNumId="7" w15:restartNumberingAfterBreak="0">
    <w:nsid w:val="14756F3F"/>
    <w:multiLevelType w:val="hybridMultilevel"/>
    <w:tmpl w:val="7AFA4F3A"/>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132EA6"/>
    <w:multiLevelType w:val="hybridMultilevel"/>
    <w:tmpl w:val="A99C6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3A70AA"/>
    <w:multiLevelType w:val="hybridMultilevel"/>
    <w:tmpl w:val="0E682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811B0F"/>
    <w:multiLevelType w:val="hybridMultilevel"/>
    <w:tmpl w:val="15F0F098"/>
    <w:lvl w:ilvl="0" w:tplc="E4E4AAD6">
      <w:start w:val="1"/>
      <w:numFmt w:val="bullet"/>
      <w:pStyle w:val="BulletLeve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457D1"/>
    <w:multiLevelType w:val="hybridMultilevel"/>
    <w:tmpl w:val="5CFCB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54570F"/>
    <w:multiLevelType w:val="multilevel"/>
    <w:tmpl w:val="CB948FCE"/>
    <w:lvl w:ilvl="0">
      <w:start w:val="1"/>
      <w:numFmt w:val="upperLetter"/>
      <w:lvlRestart w:val="0"/>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3" w15:restartNumberingAfterBreak="0">
    <w:nsid w:val="3A5F1748"/>
    <w:multiLevelType w:val="multilevel"/>
    <w:tmpl w:val="EED06878"/>
    <w:lvl w:ilvl="0">
      <w:start w:val="1"/>
      <w:numFmt w:val="decimal"/>
      <w:pStyle w:val="Table2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F043F9A"/>
    <w:multiLevelType w:val="hybridMultilevel"/>
    <w:tmpl w:val="8E5E1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582210"/>
    <w:multiLevelType w:val="hybridMultilevel"/>
    <w:tmpl w:val="12A80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443188"/>
    <w:multiLevelType w:val="hybridMultilevel"/>
    <w:tmpl w:val="BCC090C4"/>
    <w:lvl w:ilvl="0" w:tplc="11C29426">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Yu Mincho Light" w:hAnsi="Yu Mincho Light" w:cs="Yu Mincho Light" w:hint="default"/>
      </w:rPr>
    </w:lvl>
    <w:lvl w:ilvl="2" w:tplc="08090005" w:tentative="1">
      <w:start w:val="1"/>
      <w:numFmt w:val="bullet"/>
      <w:lvlText w:val=""/>
      <w:lvlJc w:val="left"/>
      <w:pPr>
        <w:ind w:left="1800" w:hanging="360"/>
      </w:pPr>
      <w:rPr>
        <w:rFonts w:ascii="Yu Mincho Light" w:hAnsi="Yu Mincho Light" w:hint="default"/>
      </w:rPr>
    </w:lvl>
    <w:lvl w:ilvl="3" w:tplc="08090001" w:tentative="1">
      <w:start w:val="1"/>
      <w:numFmt w:val="bullet"/>
      <w:lvlText w:val=""/>
      <w:lvlJc w:val="left"/>
      <w:pPr>
        <w:ind w:left="2520" w:hanging="360"/>
      </w:pPr>
      <w:rPr>
        <w:rFonts w:ascii="Cambria Math" w:hAnsi="Cambria Math" w:hint="default"/>
      </w:rPr>
    </w:lvl>
    <w:lvl w:ilvl="4" w:tplc="08090003" w:tentative="1">
      <w:start w:val="1"/>
      <w:numFmt w:val="bullet"/>
      <w:lvlText w:val="o"/>
      <w:lvlJc w:val="left"/>
      <w:pPr>
        <w:ind w:left="3240" w:hanging="360"/>
      </w:pPr>
      <w:rPr>
        <w:rFonts w:ascii="Yu Mincho Light" w:hAnsi="Yu Mincho Light" w:cs="Yu Mincho Light" w:hint="default"/>
      </w:rPr>
    </w:lvl>
    <w:lvl w:ilvl="5" w:tplc="08090005" w:tentative="1">
      <w:start w:val="1"/>
      <w:numFmt w:val="bullet"/>
      <w:lvlText w:val=""/>
      <w:lvlJc w:val="left"/>
      <w:pPr>
        <w:ind w:left="3960" w:hanging="360"/>
      </w:pPr>
      <w:rPr>
        <w:rFonts w:ascii="Yu Mincho Light" w:hAnsi="Yu Mincho Light" w:hint="default"/>
      </w:rPr>
    </w:lvl>
    <w:lvl w:ilvl="6" w:tplc="08090001" w:tentative="1">
      <w:start w:val="1"/>
      <w:numFmt w:val="bullet"/>
      <w:lvlText w:val=""/>
      <w:lvlJc w:val="left"/>
      <w:pPr>
        <w:ind w:left="4680" w:hanging="360"/>
      </w:pPr>
      <w:rPr>
        <w:rFonts w:ascii="Cambria Math" w:hAnsi="Cambria Math" w:hint="default"/>
      </w:rPr>
    </w:lvl>
    <w:lvl w:ilvl="7" w:tplc="08090003" w:tentative="1">
      <w:start w:val="1"/>
      <w:numFmt w:val="bullet"/>
      <w:lvlText w:val="o"/>
      <w:lvlJc w:val="left"/>
      <w:pPr>
        <w:ind w:left="5400" w:hanging="360"/>
      </w:pPr>
      <w:rPr>
        <w:rFonts w:ascii="Yu Mincho Light" w:hAnsi="Yu Mincho Light" w:cs="Yu Mincho Light" w:hint="default"/>
      </w:rPr>
    </w:lvl>
    <w:lvl w:ilvl="8" w:tplc="08090005" w:tentative="1">
      <w:start w:val="1"/>
      <w:numFmt w:val="bullet"/>
      <w:lvlText w:val=""/>
      <w:lvlJc w:val="left"/>
      <w:pPr>
        <w:ind w:left="6120" w:hanging="360"/>
      </w:pPr>
      <w:rPr>
        <w:rFonts w:ascii="Yu Mincho Light" w:hAnsi="Yu Mincho Light" w:hint="default"/>
      </w:rPr>
    </w:lvl>
  </w:abstractNum>
  <w:abstractNum w:abstractNumId="17" w15:restartNumberingAfterBreak="0">
    <w:nsid w:val="4EB961BB"/>
    <w:multiLevelType w:val="hybridMultilevel"/>
    <w:tmpl w:val="5E7EA3E4"/>
    <w:lvl w:ilvl="0" w:tplc="24762B84">
      <w:start w:val="1"/>
      <w:numFmt w:val="bullet"/>
      <w:pStyle w:val="STPR2BulletsLevel2"/>
      <w:lvlText w:val="-"/>
      <w:lvlJc w:val="left"/>
      <w:pPr>
        <w:ind w:left="1004" w:hanging="360"/>
      </w:pPr>
      <w:rPr>
        <w:rFonts w:ascii="Yu Mincho Light" w:hAnsi="Yu Mincho Light" w:hint="default"/>
      </w:rPr>
    </w:lvl>
    <w:lvl w:ilvl="1" w:tplc="08090003" w:tentative="1">
      <w:start w:val="1"/>
      <w:numFmt w:val="bullet"/>
      <w:lvlText w:val="o"/>
      <w:lvlJc w:val="left"/>
      <w:pPr>
        <w:ind w:left="1724" w:hanging="360"/>
      </w:pPr>
      <w:rPr>
        <w:rFonts w:ascii="Yu Mincho Light" w:hAnsi="Yu Mincho Light" w:cs="Yu Mincho Light" w:hint="default"/>
      </w:rPr>
    </w:lvl>
    <w:lvl w:ilvl="2" w:tplc="08090005" w:tentative="1">
      <w:start w:val="1"/>
      <w:numFmt w:val="bullet"/>
      <w:lvlText w:val=""/>
      <w:lvlJc w:val="left"/>
      <w:pPr>
        <w:ind w:left="2444" w:hanging="360"/>
      </w:pPr>
      <w:rPr>
        <w:rFonts w:ascii="Yu Mincho Light" w:hAnsi="Yu Mincho Light" w:hint="default"/>
      </w:rPr>
    </w:lvl>
    <w:lvl w:ilvl="3" w:tplc="08090001" w:tentative="1">
      <w:start w:val="1"/>
      <w:numFmt w:val="bullet"/>
      <w:lvlText w:val=""/>
      <w:lvlJc w:val="left"/>
      <w:pPr>
        <w:ind w:left="3164" w:hanging="360"/>
      </w:pPr>
      <w:rPr>
        <w:rFonts w:ascii="Cambria Math" w:hAnsi="Cambria Math" w:hint="default"/>
      </w:rPr>
    </w:lvl>
    <w:lvl w:ilvl="4" w:tplc="08090003" w:tentative="1">
      <w:start w:val="1"/>
      <w:numFmt w:val="bullet"/>
      <w:lvlText w:val="o"/>
      <w:lvlJc w:val="left"/>
      <w:pPr>
        <w:ind w:left="3884" w:hanging="360"/>
      </w:pPr>
      <w:rPr>
        <w:rFonts w:ascii="Yu Mincho Light" w:hAnsi="Yu Mincho Light" w:cs="Yu Mincho Light" w:hint="default"/>
      </w:rPr>
    </w:lvl>
    <w:lvl w:ilvl="5" w:tplc="08090005" w:tentative="1">
      <w:start w:val="1"/>
      <w:numFmt w:val="bullet"/>
      <w:lvlText w:val=""/>
      <w:lvlJc w:val="left"/>
      <w:pPr>
        <w:ind w:left="4604" w:hanging="360"/>
      </w:pPr>
      <w:rPr>
        <w:rFonts w:ascii="Yu Mincho Light" w:hAnsi="Yu Mincho Light" w:hint="default"/>
      </w:rPr>
    </w:lvl>
    <w:lvl w:ilvl="6" w:tplc="08090001" w:tentative="1">
      <w:start w:val="1"/>
      <w:numFmt w:val="bullet"/>
      <w:lvlText w:val=""/>
      <w:lvlJc w:val="left"/>
      <w:pPr>
        <w:ind w:left="5324" w:hanging="360"/>
      </w:pPr>
      <w:rPr>
        <w:rFonts w:ascii="Cambria Math" w:hAnsi="Cambria Math" w:hint="default"/>
      </w:rPr>
    </w:lvl>
    <w:lvl w:ilvl="7" w:tplc="08090003" w:tentative="1">
      <w:start w:val="1"/>
      <w:numFmt w:val="bullet"/>
      <w:lvlText w:val="o"/>
      <w:lvlJc w:val="left"/>
      <w:pPr>
        <w:ind w:left="6044" w:hanging="360"/>
      </w:pPr>
      <w:rPr>
        <w:rFonts w:ascii="Yu Mincho Light" w:hAnsi="Yu Mincho Light" w:cs="Yu Mincho Light" w:hint="default"/>
      </w:rPr>
    </w:lvl>
    <w:lvl w:ilvl="8" w:tplc="08090005" w:tentative="1">
      <w:start w:val="1"/>
      <w:numFmt w:val="bullet"/>
      <w:lvlText w:val=""/>
      <w:lvlJc w:val="left"/>
      <w:pPr>
        <w:ind w:left="6764" w:hanging="360"/>
      </w:pPr>
      <w:rPr>
        <w:rFonts w:ascii="Yu Mincho Light" w:hAnsi="Yu Mincho Light" w:hint="default"/>
      </w:rPr>
    </w:lvl>
  </w:abstractNum>
  <w:abstractNum w:abstractNumId="18"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19" w15:restartNumberingAfterBreak="0">
    <w:nsid w:val="4FE83D05"/>
    <w:multiLevelType w:val="hybridMultilevel"/>
    <w:tmpl w:val="8EB2C5D6"/>
    <w:lvl w:ilvl="0" w:tplc="4EBE3FF4">
      <w:start w:val="1"/>
      <w:numFmt w:val="bullet"/>
      <w:pStyle w:val="Report-Bulleted1"/>
      <w:lvlText w:val=""/>
      <w:lvlJc w:val="left"/>
      <w:pPr>
        <w:ind w:left="10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5175E"/>
    <w:multiLevelType w:val="hybridMultilevel"/>
    <w:tmpl w:val="71CC3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CE0FB8"/>
    <w:multiLevelType w:val="multilevel"/>
    <w:tmpl w:val="E73EB6EE"/>
    <w:lvl w:ilvl="0">
      <w:start w:val="1"/>
      <w:numFmt w:val="decimal"/>
      <w:pStyle w:val="Report-Heading1"/>
      <w:lvlText w:val="%1"/>
      <w:lvlJc w:val="left"/>
      <w:pPr>
        <w:ind w:left="851" w:hanging="851"/>
      </w:pPr>
      <w:rPr>
        <w:rFonts w:hint="default"/>
      </w:rPr>
    </w:lvl>
    <w:lvl w:ilvl="1">
      <w:start w:val="1"/>
      <w:numFmt w:val="decimal"/>
      <w:pStyle w:val="Report-Heading2"/>
      <w:lvlText w:val="%1.%2"/>
      <w:lvlJc w:val="left"/>
      <w:pPr>
        <w:ind w:left="851" w:hanging="851"/>
      </w:pPr>
      <w:rPr>
        <w:rFonts w:hint="default"/>
      </w:rPr>
    </w:lvl>
    <w:lvl w:ilvl="2">
      <w:start w:val="1"/>
      <w:numFmt w:val="decimal"/>
      <w:lvlText w:val="%1.%2.%3"/>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eport-FiguresDescription"/>
      <w:lvlText w:val="Figure %1.%4"/>
      <w:lvlJc w:val="left"/>
      <w:pPr>
        <w:ind w:left="851" w:hanging="851"/>
      </w:pPr>
      <w:rPr>
        <w:rFonts w:hint="default"/>
      </w:rPr>
    </w:lvl>
    <w:lvl w:ilvl="4">
      <w:start w:val="1"/>
      <w:numFmt w:val="decimal"/>
      <w:pStyle w:val="Report-TablesDescription"/>
      <w:lvlText w:val="Table %1.%5"/>
      <w:lvlJc w:val="left"/>
      <w:pPr>
        <w:ind w:left="851" w:hanging="851"/>
      </w:pPr>
      <w:rPr>
        <w:rFonts w:hint="default"/>
        <w:color w:val="auto"/>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22" w15:restartNumberingAfterBreak="0">
    <w:nsid w:val="5BD96FAB"/>
    <w:multiLevelType w:val="hybridMultilevel"/>
    <w:tmpl w:val="A5FEA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187D78"/>
    <w:multiLevelType w:val="multilevel"/>
    <w:tmpl w:val="7A98A326"/>
    <w:lvl w:ilvl="0">
      <w:start w:val="3"/>
      <w:numFmt w:val="bullet"/>
      <w:lvlText w:val="-"/>
      <w:lvlJc w:val="left"/>
      <w:pPr>
        <w:ind w:left="284" w:hanging="284"/>
      </w:pPr>
      <w:rPr>
        <w:rFonts w:ascii="Calibri" w:eastAsiaTheme="minorEastAsia" w:hAnsi="Calibri" w:cs="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4" w15:restartNumberingAfterBreak="0">
    <w:nsid w:val="65535D3F"/>
    <w:multiLevelType w:val="hybridMultilevel"/>
    <w:tmpl w:val="07AE0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FE498B"/>
    <w:multiLevelType w:val="multilevel"/>
    <w:tmpl w:val="1536062C"/>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6" w15:restartNumberingAfterBreak="0">
    <w:nsid w:val="710C2213"/>
    <w:multiLevelType w:val="hybridMultilevel"/>
    <w:tmpl w:val="06DA14BA"/>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A14F1D"/>
    <w:multiLevelType w:val="hybridMultilevel"/>
    <w:tmpl w:val="FB14D1D6"/>
    <w:lvl w:ilvl="0" w:tplc="C4A23668">
      <w:start w:val="1"/>
      <w:numFmt w:val="bullet"/>
      <w:pStyle w:val="STPR2TableBullets"/>
      <w:lvlText w:val=""/>
      <w:lvlJc w:val="left"/>
      <w:pPr>
        <w:ind w:left="720" w:hanging="360"/>
      </w:pPr>
      <w:rPr>
        <w:rFonts w:ascii="Cambria Math" w:hAnsi="Cambria Math" w:hint="default"/>
      </w:rPr>
    </w:lvl>
    <w:lvl w:ilvl="1" w:tplc="08090003" w:tentative="1">
      <w:start w:val="1"/>
      <w:numFmt w:val="bullet"/>
      <w:lvlText w:val="o"/>
      <w:lvlJc w:val="left"/>
      <w:pPr>
        <w:ind w:left="1440" w:hanging="360"/>
      </w:pPr>
      <w:rPr>
        <w:rFonts w:ascii="Yu Mincho Light" w:hAnsi="Yu Mincho Light" w:cs="Yu Mincho Light" w:hint="default"/>
      </w:rPr>
    </w:lvl>
    <w:lvl w:ilvl="2" w:tplc="08090005" w:tentative="1">
      <w:start w:val="1"/>
      <w:numFmt w:val="bullet"/>
      <w:lvlText w:val=""/>
      <w:lvlJc w:val="left"/>
      <w:pPr>
        <w:ind w:left="2160" w:hanging="360"/>
      </w:pPr>
      <w:rPr>
        <w:rFonts w:ascii="Yu Mincho Light" w:hAnsi="Yu Mincho Light"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Yu Mincho Light" w:hAnsi="Yu Mincho Light" w:cs="Yu Mincho Light" w:hint="default"/>
      </w:rPr>
    </w:lvl>
    <w:lvl w:ilvl="5" w:tplc="08090005" w:tentative="1">
      <w:start w:val="1"/>
      <w:numFmt w:val="bullet"/>
      <w:lvlText w:val=""/>
      <w:lvlJc w:val="left"/>
      <w:pPr>
        <w:ind w:left="4320" w:hanging="360"/>
      </w:pPr>
      <w:rPr>
        <w:rFonts w:ascii="Yu Mincho Light" w:hAnsi="Yu Mincho Light"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Yu Mincho Light" w:hAnsi="Yu Mincho Light" w:cs="Yu Mincho Light" w:hint="default"/>
      </w:rPr>
    </w:lvl>
    <w:lvl w:ilvl="8" w:tplc="08090005" w:tentative="1">
      <w:start w:val="1"/>
      <w:numFmt w:val="bullet"/>
      <w:lvlText w:val=""/>
      <w:lvlJc w:val="left"/>
      <w:pPr>
        <w:ind w:left="6480" w:hanging="360"/>
      </w:pPr>
      <w:rPr>
        <w:rFonts w:ascii="Yu Mincho Light" w:hAnsi="Yu Mincho Light" w:hint="default"/>
      </w:rPr>
    </w:lvl>
  </w:abstractNum>
  <w:abstractNum w:abstractNumId="28" w15:restartNumberingAfterBreak="0">
    <w:nsid w:val="73EB4C63"/>
    <w:multiLevelType w:val="hybridMultilevel"/>
    <w:tmpl w:val="7EA64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C013F4"/>
    <w:multiLevelType w:val="hybridMultilevel"/>
    <w:tmpl w:val="4B685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7"/>
  </w:num>
  <w:num w:numId="3">
    <w:abstractNumId w:val="7"/>
  </w:num>
  <w:num w:numId="4">
    <w:abstractNumId w:val="3"/>
  </w:num>
  <w:num w:numId="5">
    <w:abstractNumId w:val="5"/>
  </w:num>
  <w:num w:numId="6">
    <w:abstractNumId w:val="10"/>
  </w:num>
  <w:num w:numId="7">
    <w:abstractNumId w:val="21"/>
  </w:num>
  <w:num w:numId="8">
    <w:abstractNumId w:val="19"/>
  </w:num>
  <w:num w:numId="9">
    <w:abstractNumId w:val="13"/>
  </w:num>
  <w:num w:numId="10">
    <w:abstractNumId w:val="6"/>
  </w:num>
  <w:num w:numId="11">
    <w:abstractNumId w:val="2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6"/>
    <w:lvlOverride w:ilvl="0">
      <w:startOverride w:val="1"/>
    </w:lvlOverride>
  </w:num>
  <w:num w:numId="15">
    <w:abstractNumId w:val="18"/>
  </w:num>
  <w:num w:numId="16">
    <w:abstractNumId w:val="2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6"/>
  </w:num>
  <w:num w:numId="20">
    <w:abstractNumId w:val="20"/>
  </w:num>
  <w:num w:numId="21">
    <w:abstractNumId w:val="14"/>
  </w:num>
  <w:num w:numId="22">
    <w:abstractNumId w:val="4"/>
  </w:num>
  <w:num w:numId="23">
    <w:abstractNumId w:val="24"/>
  </w:num>
  <w:num w:numId="24">
    <w:abstractNumId w:val="22"/>
  </w:num>
  <w:num w:numId="25">
    <w:abstractNumId w:val="9"/>
  </w:num>
  <w:num w:numId="26">
    <w:abstractNumId w:val="28"/>
  </w:num>
  <w:num w:numId="27">
    <w:abstractNumId w:val="11"/>
  </w:num>
  <w:num w:numId="28">
    <w:abstractNumId w:val="15"/>
  </w:num>
  <w:num w:numId="29">
    <w:abstractNumId w:val="8"/>
  </w:num>
  <w:num w:numId="30">
    <w:abstractNumId w:val="5"/>
  </w:num>
  <w:num w:numId="31">
    <w:abstractNumId w:val="12"/>
  </w:num>
  <w:num w:numId="32">
    <w:abstractNumId w:val="5"/>
  </w:num>
  <w:num w:numId="33">
    <w:abstractNumId w:val="12"/>
  </w:num>
  <w:num w:numId="34">
    <w:abstractNumId w:val="5"/>
  </w:num>
  <w:num w:numId="35">
    <w:abstractNumId w:val="2"/>
  </w:num>
  <w:num w:numId="36">
    <w:abstractNumId w:val="1"/>
  </w:num>
  <w:num w:numId="37">
    <w:abstractNumId w:val="0"/>
  </w:num>
  <w:num w:numId="38">
    <w:abstractNumId w:val="16"/>
  </w:num>
  <w:num w:numId="39">
    <w:abstractNumId w:val="17"/>
  </w:num>
  <w:num w:numId="40">
    <w:abstractNumId w:val="26"/>
  </w:num>
  <w:num w:numId="41">
    <w:abstractNumId w:val="7"/>
  </w:num>
  <w:num w:numId="42">
    <w:abstractNumId w:val="27"/>
  </w:num>
  <w:num w:numId="43">
    <w:abstractNumId w:val="3"/>
  </w:num>
  <w:num w:numId="4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C0B"/>
    <w:rsid w:val="00000C1E"/>
    <w:rsid w:val="00000DFF"/>
    <w:rsid w:val="00000EE3"/>
    <w:rsid w:val="00001718"/>
    <w:rsid w:val="000017ED"/>
    <w:rsid w:val="00002A55"/>
    <w:rsid w:val="00002ED0"/>
    <w:rsid w:val="0000326B"/>
    <w:rsid w:val="0000470B"/>
    <w:rsid w:val="00004857"/>
    <w:rsid w:val="00004961"/>
    <w:rsid w:val="00004BB6"/>
    <w:rsid w:val="00005056"/>
    <w:rsid w:val="00006230"/>
    <w:rsid w:val="00006439"/>
    <w:rsid w:val="0000667C"/>
    <w:rsid w:val="0000685B"/>
    <w:rsid w:val="00006A1F"/>
    <w:rsid w:val="00006ECA"/>
    <w:rsid w:val="000071F3"/>
    <w:rsid w:val="00007CA0"/>
    <w:rsid w:val="00007FF0"/>
    <w:rsid w:val="00010487"/>
    <w:rsid w:val="000106EB"/>
    <w:rsid w:val="00010843"/>
    <w:rsid w:val="000113A5"/>
    <w:rsid w:val="00011DD7"/>
    <w:rsid w:val="00012F04"/>
    <w:rsid w:val="00013431"/>
    <w:rsid w:val="00013C0F"/>
    <w:rsid w:val="00013F95"/>
    <w:rsid w:val="00014C58"/>
    <w:rsid w:val="00015199"/>
    <w:rsid w:val="00015FE2"/>
    <w:rsid w:val="000176FF"/>
    <w:rsid w:val="00017C17"/>
    <w:rsid w:val="000207B4"/>
    <w:rsid w:val="000209AF"/>
    <w:rsid w:val="00020E27"/>
    <w:rsid w:val="00020E6D"/>
    <w:rsid w:val="0002120D"/>
    <w:rsid w:val="00021EDB"/>
    <w:rsid w:val="00022456"/>
    <w:rsid w:val="00022500"/>
    <w:rsid w:val="000225BE"/>
    <w:rsid w:val="000229D8"/>
    <w:rsid w:val="000230BA"/>
    <w:rsid w:val="000237E3"/>
    <w:rsid w:val="0002396D"/>
    <w:rsid w:val="0002407F"/>
    <w:rsid w:val="00024292"/>
    <w:rsid w:val="0002457C"/>
    <w:rsid w:val="000258F9"/>
    <w:rsid w:val="00025CA0"/>
    <w:rsid w:val="00025EE4"/>
    <w:rsid w:val="000263EA"/>
    <w:rsid w:val="00026813"/>
    <w:rsid w:val="00026C6A"/>
    <w:rsid w:val="00026E19"/>
    <w:rsid w:val="000271BF"/>
    <w:rsid w:val="00027328"/>
    <w:rsid w:val="0002784F"/>
    <w:rsid w:val="00027FA0"/>
    <w:rsid w:val="00030905"/>
    <w:rsid w:val="00030F5A"/>
    <w:rsid w:val="00031021"/>
    <w:rsid w:val="0003107F"/>
    <w:rsid w:val="00031080"/>
    <w:rsid w:val="00031756"/>
    <w:rsid w:val="000318B0"/>
    <w:rsid w:val="00032926"/>
    <w:rsid w:val="00033112"/>
    <w:rsid w:val="0003372E"/>
    <w:rsid w:val="00033C97"/>
    <w:rsid w:val="00034943"/>
    <w:rsid w:val="00035900"/>
    <w:rsid w:val="00035F7F"/>
    <w:rsid w:val="0003678C"/>
    <w:rsid w:val="0003753C"/>
    <w:rsid w:val="00037C47"/>
    <w:rsid w:val="000403C4"/>
    <w:rsid w:val="000406FF"/>
    <w:rsid w:val="00040B1A"/>
    <w:rsid w:val="00041219"/>
    <w:rsid w:val="00042B97"/>
    <w:rsid w:val="00042FB2"/>
    <w:rsid w:val="0004306F"/>
    <w:rsid w:val="00043747"/>
    <w:rsid w:val="000440F5"/>
    <w:rsid w:val="00044670"/>
    <w:rsid w:val="00044C3E"/>
    <w:rsid w:val="00044FCB"/>
    <w:rsid w:val="00045172"/>
    <w:rsid w:val="00045985"/>
    <w:rsid w:val="00045DB5"/>
    <w:rsid w:val="00045F7B"/>
    <w:rsid w:val="000461FD"/>
    <w:rsid w:val="0004620B"/>
    <w:rsid w:val="0004695F"/>
    <w:rsid w:val="00046DC5"/>
    <w:rsid w:val="0005038C"/>
    <w:rsid w:val="00050DD6"/>
    <w:rsid w:val="000520B8"/>
    <w:rsid w:val="0005231A"/>
    <w:rsid w:val="000523B7"/>
    <w:rsid w:val="00054C0D"/>
    <w:rsid w:val="00055D91"/>
    <w:rsid w:val="00055FA3"/>
    <w:rsid w:val="00056DED"/>
    <w:rsid w:val="00057166"/>
    <w:rsid w:val="0005764A"/>
    <w:rsid w:val="00057E7C"/>
    <w:rsid w:val="000601CE"/>
    <w:rsid w:val="000607CC"/>
    <w:rsid w:val="00060C4B"/>
    <w:rsid w:val="00060DE0"/>
    <w:rsid w:val="00060F44"/>
    <w:rsid w:val="000617CB"/>
    <w:rsid w:val="00062535"/>
    <w:rsid w:val="00062773"/>
    <w:rsid w:val="0006309D"/>
    <w:rsid w:val="000636DF"/>
    <w:rsid w:val="00064E0D"/>
    <w:rsid w:val="000652B6"/>
    <w:rsid w:val="0006599C"/>
    <w:rsid w:val="00065B8A"/>
    <w:rsid w:val="00065EBF"/>
    <w:rsid w:val="00067136"/>
    <w:rsid w:val="00070586"/>
    <w:rsid w:val="00071D94"/>
    <w:rsid w:val="0007297C"/>
    <w:rsid w:val="00072D46"/>
    <w:rsid w:val="0007370F"/>
    <w:rsid w:val="0007385F"/>
    <w:rsid w:val="0007472F"/>
    <w:rsid w:val="00074782"/>
    <w:rsid w:val="00074B1D"/>
    <w:rsid w:val="000761CB"/>
    <w:rsid w:val="0007774A"/>
    <w:rsid w:val="00077AF7"/>
    <w:rsid w:val="00080246"/>
    <w:rsid w:val="00080ACE"/>
    <w:rsid w:val="000817AB"/>
    <w:rsid w:val="00082844"/>
    <w:rsid w:val="00082A76"/>
    <w:rsid w:val="00082AC4"/>
    <w:rsid w:val="00082C39"/>
    <w:rsid w:val="00083084"/>
    <w:rsid w:val="0008322D"/>
    <w:rsid w:val="00085533"/>
    <w:rsid w:val="000859B3"/>
    <w:rsid w:val="00086710"/>
    <w:rsid w:val="00086ADC"/>
    <w:rsid w:val="00086B70"/>
    <w:rsid w:val="000872E1"/>
    <w:rsid w:val="00090661"/>
    <w:rsid w:val="00090E2C"/>
    <w:rsid w:val="00091AB5"/>
    <w:rsid w:val="00091E29"/>
    <w:rsid w:val="00092109"/>
    <w:rsid w:val="00092550"/>
    <w:rsid w:val="0009270E"/>
    <w:rsid w:val="00094D95"/>
    <w:rsid w:val="000951A5"/>
    <w:rsid w:val="00095A5E"/>
    <w:rsid w:val="00096A4F"/>
    <w:rsid w:val="00097106"/>
    <w:rsid w:val="0009789B"/>
    <w:rsid w:val="00097E61"/>
    <w:rsid w:val="000A033F"/>
    <w:rsid w:val="000A1682"/>
    <w:rsid w:val="000A1B2B"/>
    <w:rsid w:val="000A1BF0"/>
    <w:rsid w:val="000A1F51"/>
    <w:rsid w:val="000A2E0E"/>
    <w:rsid w:val="000A32E7"/>
    <w:rsid w:val="000A3D21"/>
    <w:rsid w:val="000A588A"/>
    <w:rsid w:val="000A5C71"/>
    <w:rsid w:val="000A6347"/>
    <w:rsid w:val="000A6754"/>
    <w:rsid w:val="000A7CC8"/>
    <w:rsid w:val="000A7D0F"/>
    <w:rsid w:val="000A7DBE"/>
    <w:rsid w:val="000B0032"/>
    <w:rsid w:val="000B0812"/>
    <w:rsid w:val="000B1069"/>
    <w:rsid w:val="000B1179"/>
    <w:rsid w:val="000B1D5B"/>
    <w:rsid w:val="000B23D0"/>
    <w:rsid w:val="000B2771"/>
    <w:rsid w:val="000B2F4C"/>
    <w:rsid w:val="000B31CA"/>
    <w:rsid w:val="000B3551"/>
    <w:rsid w:val="000B371E"/>
    <w:rsid w:val="000B4400"/>
    <w:rsid w:val="000B49E5"/>
    <w:rsid w:val="000B4A0F"/>
    <w:rsid w:val="000B4F08"/>
    <w:rsid w:val="000B5449"/>
    <w:rsid w:val="000B7054"/>
    <w:rsid w:val="000B70BA"/>
    <w:rsid w:val="000C0BC8"/>
    <w:rsid w:val="000C0C6E"/>
    <w:rsid w:val="000C10DE"/>
    <w:rsid w:val="000C1223"/>
    <w:rsid w:val="000C17D5"/>
    <w:rsid w:val="000C1A81"/>
    <w:rsid w:val="000C1B2F"/>
    <w:rsid w:val="000C288B"/>
    <w:rsid w:val="000C3150"/>
    <w:rsid w:val="000C3642"/>
    <w:rsid w:val="000C3D16"/>
    <w:rsid w:val="000C49A5"/>
    <w:rsid w:val="000C4FF1"/>
    <w:rsid w:val="000C51C2"/>
    <w:rsid w:val="000C537A"/>
    <w:rsid w:val="000C5E43"/>
    <w:rsid w:val="000C60B1"/>
    <w:rsid w:val="000C6958"/>
    <w:rsid w:val="000C6EB6"/>
    <w:rsid w:val="000C7517"/>
    <w:rsid w:val="000C754C"/>
    <w:rsid w:val="000C77E0"/>
    <w:rsid w:val="000D0040"/>
    <w:rsid w:val="000D01B4"/>
    <w:rsid w:val="000D0E29"/>
    <w:rsid w:val="000D0E97"/>
    <w:rsid w:val="000D17AD"/>
    <w:rsid w:val="000D181A"/>
    <w:rsid w:val="000D199C"/>
    <w:rsid w:val="000D1CBB"/>
    <w:rsid w:val="000D1E17"/>
    <w:rsid w:val="000D243B"/>
    <w:rsid w:val="000D243F"/>
    <w:rsid w:val="000D27EE"/>
    <w:rsid w:val="000D2EE5"/>
    <w:rsid w:val="000D3554"/>
    <w:rsid w:val="000D3EA4"/>
    <w:rsid w:val="000D4C88"/>
    <w:rsid w:val="000D50ED"/>
    <w:rsid w:val="000D541C"/>
    <w:rsid w:val="000D5438"/>
    <w:rsid w:val="000D67E8"/>
    <w:rsid w:val="000D7042"/>
    <w:rsid w:val="000D78B2"/>
    <w:rsid w:val="000E0479"/>
    <w:rsid w:val="000E06A5"/>
    <w:rsid w:val="000E15E2"/>
    <w:rsid w:val="000E1F82"/>
    <w:rsid w:val="000E27DF"/>
    <w:rsid w:val="000E3392"/>
    <w:rsid w:val="000E345B"/>
    <w:rsid w:val="000E362C"/>
    <w:rsid w:val="000E4179"/>
    <w:rsid w:val="000E47B6"/>
    <w:rsid w:val="000E488D"/>
    <w:rsid w:val="000E571E"/>
    <w:rsid w:val="000E5F6B"/>
    <w:rsid w:val="000E6602"/>
    <w:rsid w:val="000E67A9"/>
    <w:rsid w:val="000E69FC"/>
    <w:rsid w:val="000E6F0C"/>
    <w:rsid w:val="000E7DBD"/>
    <w:rsid w:val="000F078B"/>
    <w:rsid w:val="000F0AAB"/>
    <w:rsid w:val="000F0EB2"/>
    <w:rsid w:val="000F133B"/>
    <w:rsid w:val="000F13EA"/>
    <w:rsid w:val="000F1950"/>
    <w:rsid w:val="000F1D10"/>
    <w:rsid w:val="000F1DA2"/>
    <w:rsid w:val="000F4560"/>
    <w:rsid w:val="000F475F"/>
    <w:rsid w:val="000F56CF"/>
    <w:rsid w:val="000F64B1"/>
    <w:rsid w:val="000F64D0"/>
    <w:rsid w:val="000F68DF"/>
    <w:rsid w:val="000F6E95"/>
    <w:rsid w:val="000F6EF1"/>
    <w:rsid w:val="000F78C7"/>
    <w:rsid w:val="0010059D"/>
    <w:rsid w:val="00100791"/>
    <w:rsid w:val="00100A0F"/>
    <w:rsid w:val="001013A1"/>
    <w:rsid w:val="00101AE1"/>
    <w:rsid w:val="00101B7F"/>
    <w:rsid w:val="00103D39"/>
    <w:rsid w:val="001044FD"/>
    <w:rsid w:val="00105C81"/>
    <w:rsid w:val="001061CC"/>
    <w:rsid w:val="0010713E"/>
    <w:rsid w:val="00107349"/>
    <w:rsid w:val="001073A8"/>
    <w:rsid w:val="0010794A"/>
    <w:rsid w:val="00107B23"/>
    <w:rsid w:val="00110F37"/>
    <w:rsid w:val="00111051"/>
    <w:rsid w:val="0011140E"/>
    <w:rsid w:val="00111FFE"/>
    <w:rsid w:val="001122B3"/>
    <w:rsid w:val="00112CEB"/>
    <w:rsid w:val="00112E70"/>
    <w:rsid w:val="00113129"/>
    <w:rsid w:val="001134D1"/>
    <w:rsid w:val="00114350"/>
    <w:rsid w:val="00115198"/>
    <w:rsid w:val="00115988"/>
    <w:rsid w:val="00115A1C"/>
    <w:rsid w:val="00116210"/>
    <w:rsid w:val="001169DA"/>
    <w:rsid w:val="00116E87"/>
    <w:rsid w:val="00116ECC"/>
    <w:rsid w:val="00120489"/>
    <w:rsid w:val="001206E0"/>
    <w:rsid w:val="00120A6D"/>
    <w:rsid w:val="00120CD6"/>
    <w:rsid w:val="0012118D"/>
    <w:rsid w:val="001213BB"/>
    <w:rsid w:val="00121DB6"/>
    <w:rsid w:val="00122C9C"/>
    <w:rsid w:val="00123607"/>
    <w:rsid w:val="00123706"/>
    <w:rsid w:val="00123E1D"/>
    <w:rsid w:val="001240BC"/>
    <w:rsid w:val="00124265"/>
    <w:rsid w:val="0012459E"/>
    <w:rsid w:val="00126B7B"/>
    <w:rsid w:val="00126BEB"/>
    <w:rsid w:val="00126DD7"/>
    <w:rsid w:val="0013096F"/>
    <w:rsid w:val="00131663"/>
    <w:rsid w:val="00131860"/>
    <w:rsid w:val="00131ACD"/>
    <w:rsid w:val="00131E0E"/>
    <w:rsid w:val="0013210E"/>
    <w:rsid w:val="001323E2"/>
    <w:rsid w:val="0013254F"/>
    <w:rsid w:val="00132726"/>
    <w:rsid w:val="00132C8A"/>
    <w:rsid w:val="00133A70"/>
    <w:rsid w:val="00134F7C"/>
    <w:rsid w:val="00135BD6"/>
    <w:rsid w:val="00135BEB"/>
    <w:rsid w:val="00136203"/>
    <w:rsid w:val="0013672F"/>
    <w:rsid w:val="00137BA8"/>
    <w:rsid w:val="001400EB"/>
    <w:rsid w:val="00141FCE"/>
    <w:rsid w:val="0014238C"/>
    <w:rsid w:val="001427CE"/>
    <w:rsid w:val="0014342E"/>
    <w:rsid w:val="00143AD5"/>
    <w:rsid w:val="001452B6"/>
    <w:rsid w:val="00146A78"/>
    <w:rsid w:val="00146DAD"/>
    <w:rsid w:val="00146E98"/>
    <w:rsid w:val="0015010A"/>
    <w:rsid w:val="001520B8"/>
    <w:rsid w:val="00152A5E"/>
    <w:rsid w:val="0015402E"/>
    <w:rsid w:val="0015411C"/>
    <w:rsid w:val="00154839"/>
    <w:rsid w:val="001553D6"/>
    <w:rsid w:val="0015631A"/>
    <w:rsid w:val="00156CE4"/>
    <w:rsid w:val="00160347"/>
    <w:rsid w:val="001604B8"/>
    <w:rsid w:val="00160563"/>
    <w:rsid w:val="00160BB3"/>
    <w:rsid w:val="001626C3"/>
    <w:rsid w:val="00162B1F"/>
    <w:rsid w:val="00162B9D"/>
    <w:rsid w:val="00163AA6"/>
    <w:rsid w:val="00163C3A"/>
    <w:rsid w:val="00164FF0"/>
    <w:rsid w:val="00165D9C"/>
    <w:rsid w:val="00166413"/>
    <w:rsid w:val="00166FFF"/>
    <w:rsid w:val="00167C43"/>
    <w:rsid w:val="0017058D"/>
    <w:rsid w:val="00171220"/>
    <w:rsid w:val="001714A1"/>
    <w:rsid w:val="001717AE"/>
    <w:rsid w:val="00171DFF"/>
    <w:rsid w:val="00171ED9"/>
    <w:rsid w:val="00172414"/>
    <w:rsid w:val="00172742"/>
    <w:rsid w:val="00172AAB"/>
    <w:rsid w:val="00173397"/>
    <w:rsid w:val="00174434"/>
    <w:rsid w:val="001745BA"/>
    <w:rsid w:val="001748E0"/>
    <w:rsid w:val="00174AC8"/>
    <w:rsid w:val="00174DA8"/>
    <w:rsid w:val="00174EBB"/>
    <w:rsid w:val="0017578B"/>
    <w:rsid w:val="0017708C"/>
    <w:rsid w:val="001771E5"/>
    <w:rsid w:val="00177546"/>
    <w:rsid w:val="00177587"/>
    <w:rsid w:val="00180C69"/>
    <w:rsid w:val="001812C8"/>
    <w:rsid w:val="00183145"/>
    <w:rsid w:val="0018324C"/>
    <w:rsid w:val="00183AD2"/>
    <w:rsid w:val="00183B5D"/>
    <w:rsid w:val="0018409D"/>
    <w:rsid w:val="001851FC"/>
    <w:rsid w:val="00185A5F"/>
    <w:rsid w:val="00185C52"/>
    <w:rsid w:val="001863C9"/>
    <w:rsid w:val="00187115"/>
    <w:rsid w:val="00187BF9"/>
    <w:rsid w:val="00187EB6"/>
    <w:rsid w:val="00190BB9"/>
    <w:rsid w:val="00191358"/>
    <w:rsid w:val="00192197"/>
    <w:rsid w:val="00193CB5"/>
    <w:rsid w:val="0019425D"/>
    <w:rsid w:val="0019435F"/>
    <w:rsid w:val="001945BE"/>
    <w:rsid w:val="0019479F"/>
    <w:rsid w:val="00195446"/>
    <w:rsid w:val="0019587F"/>
    <w:rsid w:val="00195A6A"/>
    <w:rsid w:val="00196150"/>
    <w:rsid w:val="00196B56"/>
    <w:rsid w:val="001A0274"/>
    <w:rsid w:val="001A06E0"/>
    <w:rsid w:val="001A0C94"/>
    <w:rsid w:val="001A2DC8"/>
    <w:rsid w:val="001A2E48"/>
    <w:rsid w:val="001A49D5"/>
    <w:rsid w:val="001A4DC2"/>
    <w:rsid w:val="001A51A8"/>
    <w:rsid w:val="001A51F3"/>
    <w:rsid w:val="001A5597"/>
    <w:rsid w:val="001A5892"/>
    <w:rsid w:val="001A5CCD"/>
    <w:rsid w:val="001A5F7B"/>
    <w:rsid w:val="001A612F"/>
    <w:rsid w:val="001A6306"/>
    <w:rsid w:val="001A6A05"/>
    <w:rsid w:val="001A7661"/>
    <w:rsid w:val="001B0973"/>
    <w:rsid w:val="001B0FC6"/>
    <w:rsid w:val="001B1081"/>
    <w:rsid w:val="001B1DE8"/>
    <w:rsid w:val="001B1DF8"/>
    <w:rsid w:val="001B26A5"/>
    <w:rsid w:val="001B2CE9"/>
    <w:rsid w:val="001B313A"/>
    <w:rsid w:val="001B53C4"/>
    <w:rsid w:val="001B66E3"/>
    <w:rsid w:val="001B6C0A"/>
    <w:rsid w:val="001C117C"/>
    <w:rsid w:val="001C2F3F"/>
    <w:rsid w:val="001C358E"/>
    <w:rsid w:val="001C36D6"/>
    <w:rsid w:val="001C3C00"/>
    <w:rsid w:val="001C5544"/>
    <w:rsid w:val="001C61FA"/>
    <w:rsid w:val="001C66B6"/>
    <w:rsid w:val="001C6856"/>
    <w:rsid w:val="001C7389"/>
    <w:rsid w:val="001C776C"/>
    <w:rsid w:val="001C7859"/>
    <w:rsid w:val="001C788A"/>
    <w:rsid w:val="001C7BA4"/>
    <w:rsid w:val="001C7BF4"/>
    <w:rsid w:val="001D02A9"/>
    <w:rsid w:val="001D03F9"/>
    <w:rsid w:val="001D07BC"/>
    <w:rsid w:val="001D09DD"/>
    <w:rsid w:val="001D15DF"/>
    <w:rsid w:val="001D16C3"/>
    <w:rsid w:val="001D18AD"/>
    <w:rsid w:val="001D191F"/>
    <w:rsid w:val="001D215F"/>
    <w:rsid w:val="001D2A7D"/>
    <w:rsid w:val="001D2EB2"/>
    <w:rsid w:val="001D55EA"/>
    <w:rsid w:val="001D59E2"/>
    <w:rsid w:val="001D6273"/>
    <w:rsid w:val="001D6BCC"/>
    <w:rsid w:val="001D6D7D"/>
    <w:rsid w:val="001E0132"/>
    <w:rsid w:val="001E1AF6"/>
    <w:rsid w:val="001E2246"/>
    <w:rsid w:val="001E2D7B"/>
    <w:rsid w:val="001E2E57"/>
    <w:rsid w:val="001E334A"/>
    <w:rsid w:val="001E3F2C"/>
    <w:rsid w:val="001E41C0"/>
    <w:rsid w:val="001E4A9A"/>
    <w:rsid w:val="001E5001"/>
    <w:rsid w:val="001E5087"/>
    <w:rsid w:val="001E5F2C"/>
    <w:rsid w:val="001E6436"/>
    <w:rsid w:val="001E654A"/>
    <w:rsid w:val="001E6A62"/>
    <w:rsid w:val="001E6AFE"/>
    <w:rsid w:val="001E711C"/>
    <w:rsid w:val="001E7E1C"/>
    <w:rsid w:val="001F00A1"/>
    <w:rsid w:val="001F034F"/>
    <w:rsid w:val="001F1308"/>
    <w:rsid w:val="001F1F91"/>
    <w:rsid w:val="001F326C"/>
    <w:rsid w:val="001F3ABB"/>
    <w:rsid w:val="001F423F"/>
    <w:rsid w:val="001F5A77"/>
    <w:rsid w:val="001F5E4D"/>
    <w:rsid w:val="001F6DB1"/>
    <w:rsid w:val="001F7029"/>
    <w:rsid w:val="001F7215"/>
    <w:rsid w:val="001F7AC2"/>
    <w:rsid w:val="001F7F22"/>
    <w:rsid w:val="002000A2"/>
    <w:rsid w:val="00200316"/>
    <w:rsid w:val="002016DA"/>
    <w:rsid w:val="00201D09"/>
    <w:rsid w:val="00202027"/>
    <w:rsid w:val="00202163"/>
    <w:rsid w:val="0020372E"/>
    <w:rsid w:val="002039B3"/>
    <w:rsid w:val="00204030"/>
    <w:rsid w:val="002040C7"/>
    <w:rsid w:val="002049CB"/>
    <w:rsid w:val="00204AD0"/>
    <w:rsid w:val="00206149"/>
    <w:rsid w:val="00206608"/>
    <w:rsid w:val="00206629"/>
    <w:rsid w:val="00207661"/>
    <w:rsid w:val="002078CD"/>
    <w:rsid w:val="00207CE1"/>
    <w:rsid w:val="002101A0"/>
    <w:rsid w:val="00210C8E"/>
    <w:rsid w:val="00210E43"/>
    <w:rsid w:val="00211936"/>
    <w:rsid w:val="002123FC"/>
    <w:rsid w:val="002127C0"/>
    <w:rsid w:val="002131ED"/>
    <w:rsid w:val="0021411D"/>
    <w:rsid w:val="002141AF"/>
    <w:rsid w:val="002152AD"/>
    <w:rsid w:val="00215587"/>
    <w:rsid w:val="0021569F"/>
    <w:rsid w:val="00215C39"/>
    <w:rsid w:val="002161C7"/>
    <w:rsid w:val="00216618"/>
    <w:rsid w:val="0021730E"/>
    <w:rsid w:val="0022013E"/>
    <w:rsid w:val="00220220"/>
    <w:rsid w:val="0022046F"/>
    <w:rsid w:val="00220818"/>
    <w:rsid w:val="002210BD"/>
    <w:rsid w:val="00221A32"/>
    <w:rsid w:val="0022294B"/>
    <w:rsid w:val="00222A21"/>
    <w:rsid w:val="00223A80"/>
    <w:rsid w:val="0022557F"/>
    <w:rsid w:val="00226491"/>
    <w:rsid w:val="0022661A"/>
    <w:rsid w:val="00226DA0"/>
    <w:rsid w:val="00226EE5"/>
    <w:rsid w:val="00227686"/>
    <w:rsid w:val="0022783A"/>
    <w:rsid w:val="00227B13"/>
    <w:rsid w:val="0023068C"/>
    <w:rsid w:val="00230BDE"/>
    <w:rsid w:val="00230CED"/>
    <w:rsid w:val="00230F37"/>
    <w:rsid w:val="00231030"/>
    <w:rsid w:val="002323A5"/>
    <w:rsid w:val="00232610"/>
    <w:rsid w:val="00232E1B"/>
    <w:rsid w:val="002330EA"/>
    <w:rsid w:val="0023345E"/>
    <w:rsid w:val="0023349C"/>
    <w:rsid w:val="0023391C"/>
    <w:rsid w:val="00233B16"/>
    <w:rsid w:val="0023440C"/>
    <w:rsid w:val="00234AD5"/>
    <w:rsid w:val="00234AF6"/>
    <w:rsid w:val="00234B09"/>
    <w:rsid w:val="00237E22"/>
    <w:rsid w:val="00240F49"/>
    <w:rsid w:val="00241650"/>
    <w:rsid w:val="00241B42"/>
    <w:rsid w:val="00242119"/>
    <w:rsid w:val="002432EE"/>
    <w:rsid w:val="0024370E"/>
    <w:rsid w:val="00244586"/>
    <w:rsid w:val="0024488A"/>
    <w:rsid w:val="00244DB1"/>
    <w:rsid w:val="00247085"/>
    <w:rsid w:val="0024786D"/>
    <w:rsid w:val="00250354"/>
    <w:rsid w:val="00250A2D"/>
    <w:rsid w:val="00250E81"/>
    <w:rsid w:val="0025124B"/>
    <w:rsid w:val="002524F9"/>
    <w:rsid w:val="0025267F"/>
    <w:rsid w:val="00252B01"/>
    <w:rsid w:val="00252E78"/>
    <w:rsid w:val="002532F3"/>
    <w:rsid w:val="002541DA"/>
    <w:rsid w:val="002546BC"/>
    <w:rsid w:val="00254766"/>
    <w:rsid w:val="00254D29"/>
    <w:rsid w:val="002551C5"/>
    <w:rsid w:val="0025721D"/>
    <w:rsid w:val="0025736C"/>
    <w:rsid w:val="00257474"/>
    <w:rsid w:val="0025750E"/>
    <w:rsid w:val="00257B90"/>
    <w:rsid w:val="002603D0"/>
    <w:rsid w:val="002606E4"/>
    <w:rsid w:val="0026163E"/>
    <w:rsid w:val="002619EF"/>
    <w:rsid w:val="00261E18"/>
    <w:rsid w:val="00262708"/>
    <w:rsid w:val="00262927"/>
    <w:rsid w:val="00262B56"/>
    <w:rsid w:val="00263CA9"/>
    <w:rsid w:val="00263E0F"/>
    <w:rsid w:val="00264B18"/>
    <w:rsid w:val="0026505B"/>
    <w:rsid w:val="0026598D"/>
    <w:rsid w:val="00265D08"/>
    <w:rsid w:val="00265EF9"/>
    <w:rsid w:val="0026687B"/>
    <w:rsid w:val="002669A2"/>
    <w:rsid w:val="00266D23"/>
    <w:rsid w:val="00267C91"/>
    <w:rsid w:val="00267FA5"/>
    <w:rsid w:val="00271227"/>
    <w:rsid w:val="00271913"/>
    <w:rsid w:val="00271EBF"/>
    <w:rsid w:val="0027272E"/>
    <w:rsid w:val="00272C3C"/>
    <w:rsid w:val="00273099"/>
    <w:rsid w:val="002734F1"/>
    <w:rsid w:val="00273837"/>
    <w:rsid w:val="00273A84"/>
    <w:rsid w:val="00276FC1"/>
    <w:rsid w:val="0027700D"/>
    <w:rsid w:val="002772F6"/>
    <w:rsid w:val="0027792D"/>
    <w:rsid w:val="002803DC"/>
    <w:rsid w:val="00280974"/>
    <w:rsid w:val="00281208"/>
    <w:rsid w:val="0028162F"/>
    <w:rsid w:val="00282EBF"/>
    <w:rsid w:val="002841F7"/>
    <w:rsid w:val="0028428B"/>
    <w:rsid w:val="00284C83"/>
    <w:rsid w:val="00284DFC"/>
    <w:rsid w:val="00285184"/>
    <w:rsid w:val="002851D3"/>
    <w:rsid w:val="00286A80"/>
    <w:rsid w:val="0029122A"/>
    <w:rsid w:val="00291A3A"/>
    <w:rsid w:val="00292996"/>
    <w:rsid w:val="00292E25"/>
    <w:rsid w:val="0029483C"/>
    <w:rsid w:val="00294C5F"/>
    <w:rsid w:val="00294F00"/>
    <w:rsid w:val="00295839"/>
    <w:rsid w:val="00295DD5"/>
    <w:rsid w:val="00295F30"/>
    <w:rsid w:val="00296E68"/>
    <w:rsid w:val="00297217"/>
    <w:rsid w:val="002977EA"/>
    <w:rsid w:val="00297FA6"/>
    <w:rsid w:val="002A04B6"/>
    <w:rsid w:val="002A0E77"/>
    <w:rsid w:val="002A3071"/>
    <w:rsid w:val="002A3514"/>
    <w:rsid w:val="002A39B3"/>
    <w:rsid w:val="002A49AC"/>
    <w:rsid w:val="002A4B01"/>
    <w:rsid w:val="002A4B24"/>
    <w:rsid w:val="002A5352"/>
    <w:rsid w:val="002A56D6"/>
    <w:rsid w:val="002A5AC4"/>
    <w:rsid w:val="002A5BD9"/>
    <w:rsid w:val="002A7EC5"/>
    <w:rsid w:val="002B033E"/>
    <w:rsid w:val="002B1A3E"/>
    <w:rsid w:val="002B284D"/>
    <w:rsid w:val="002B3115"/>
    <w:rsid w:val="002B3269"/>
    <w:rsid w:val="002B3718"/>
    <w:rsid w:val="002B3D48"/>
    <w:rsid w:val="002B475B"/>
    <w:rsid w:val="002B4F1D"/>
    <w:rsid w:val="002B508B"/>
    <w:rsid w:val="002B55AB"/>
    <w:rsid w:val="002B586E"/>
    <w:rsid w:val="002B6071"/>
    <w:rsid w:val="002B646E"/>
    <w:rsid w:val="002B79F7"/>
    <w:rsid w:val="002C03D8"/>
    <w:rsid w:val="002C13B6"/>
    <w:rsid w:val="002C26CB"/>
    <w:rsid w:val="002C2887"/>
    <w:rsid w:val="002C29E6"/>
    <w:rsid w:val="002C3ED4"/>
    <w:rsid w:val="002C408D"/>
    <w:rsid w:val="002C4AD7"/>
    <w:rsid w:val="002C4BAD"/>
    <w:rsid w:val="002C611F"/>
    <w:rsid w:val="002C63C9"/>
    <w:rsid w:val="002C6F5D"/>
    <w:rsid w:val="002C7687"/>
    <w:rsid w:val="002D0680"/>
    <w:rsid w:val="002D0A61"/>
    <w:rsid w:val="002D0F61"/>
    <w:rsid w:val="002D135A"/>
    <w:rsid w:val="002D1449"/>
    <w:rsid w:val="002D14EC"/>
    <w:rsid w:val="002D158E"/>
    <w:rsid w:val="002D19F7"/>
    <w:rsid w:val="002D2F86"/>
    <w:rsid w:val="002D3088"/>
    <w:rsid w:val="002D321C"/>
    <w:rsid w:val="002D397B"/>
    <w:rsid w:val="002D6B69"/>
    <w:rsid w:val="002D78C5"/>
    <w:rsid w:val="002E01E1"/>
    <w:rsid w:val="002E0951"/>
    <w:rsid w:val="002E0C49"/>
    <w:rsid w:val="002E1F60"/>
    <w:rsid w:val="002E206D"/>
    <w:rsid w:val="002E2EB2"/>
    <w:rsid w:val="002E370E"/>
    <w:rsid w:val="002E67DD"/>
    <w:rsid w:val="002E6A82"/>
    <w:rsid w:val="002E6D9D"/>
    <w:rsid w:val="002E7305"/>
    <w:rsid w:val="002E780A"/>
    <w:rsid w:val="002E7FA8"/>
    <w:rsid w:val="002F0752"/>
    <w:rsid w:val="002F1FD5"/>
    <w:rsid w:val="002F3FD3"/>
    <w:rsid w:val="002F4D6B"/>
    <w:rsid w:val="002F4E0C"/>
    <w:rsid w:val="002F4FD5"/>
    <w:rsid w:val="002F5C07"/>
    <w:rsid w:val="002F5E93"/>
    <w:rsid w:val="002F6863"/>
    <w:rsid w:val="002F68A5"/>
    <w:rsid w:val="002F6DC8"/>
    <w:rsid w:val="002F6E22"/>
    <w:rsid w:val="002F791E"/>
    <w:rsid w:val="002F7EB0"/>
    <w:rsid w:val="002F7EF9"/>
    <w:rsid w:val="00301131"/>
    <w:rsid w:val="00301173"/>
    <w:rsid w:val="003016AC"/>
    <w:rsid w:val="003019FF"/>
    <w:rsid w:val="00302142"/>
    <w:rsid w:val="003032E1"/>
    <w:rsid w:val="00303EB7"/>
    <w:rsid w:val="0030410B"/>
    <w:rsid w:val="00305B01"/>
    <w:rsid w:val="0030622A"/>
    <w:rsid w:val="003067D2"/>
    <w:rsid w:val="003067D5"/>
    <w:rsid w:val="003076B8"/>
    <w:rsid w:val="00307862"/>
    <w:rsid w:val="00307E47"/>
    <w:rsid w:val="003103B4"/>
    <w:rsid w:val="003115C6"/>
    <w:rsid w:val="00311CFB"/>
    <w:rsid w:val="003132A8"/>
    <w:rsid w:val="003135E7"/>
    <w:rsid w:val="00313813"/>
    <w:rsid w:val="00313AA6"/>
    <w:rsid w:val="003141DC"/>
    <w:rsid w:val="003149E5"/>
    <w:rsid w:val="0031577D"/>
    <w:rsid w:val="00316EE7"/>
    <w:rsid w:val="0031778A"/>
    <w:rsid w:val="00317AA1"/>
    <w:rsid w:val="003203B3"/>
    <w:rsid w:val="00321D24"/>
    <w:rsid w:val="00321D8F"/>
    <w:rsid w:val="003222C8"/>
    <w:rsid w:val="00322848"/>
    <w:rsid w:val="00322904"/>
    <w:rsid w:val="00322AF1"/>
    <w:rsid w:val="00324D99"/>
    <w:rsid w:val="00325526"/>
    <w:rsid w:val="00325A1A"/>
    <w:rsid w:val="003273FB"/>
    <w:rsid w:val="0032777B"/>
    <w:rsid w:val="003314BE"/>
    <w:rsid w:val="00332547"/>
    <w:rsid w:val="00332934"/>
    <w:rsid w:val="00332BE5"/>
    <w:rsid w:val="003332AF"/>
    <w:rsid w:val="0033371E"/>
    <w:rsid w:val="00334275"/>
    <w:rsid w:val="00334865"/>
    <w:rsid w:val="00334B32"/>
    <w:rsid w:val="00334E81"/>
    <w:rsid w:val="00335069"/>
    <w:rsid w:val="00336C62"/>
    <w:rsid w:val="0034140D"/>
    <w:rsid w:val="003414D1"/>
    <w:rsid w:val="00341B4C"/>
    <w:rsid w:val="00343E08"/>
    <w:rsid w:val="0034417A"/>
    <w:rsid w:val="0034427B"/>
    <w:rsid w:val="00345C7C"/>
    <w:rsid w:val="003466FC"/>
    <w:rsid w:val="00346CEE"/>
    <w:rsid w:val="00350143"/>
    <w:rsid w:val="00350DFE"/>
    <w:rsid w:val="003517A7"/>
    <w:rsid w:val="00351FDF"/>
    <w:rsid w:val="0035212D"/>
    <w:rsid w:val="00352646"/>
    <w:rsid w:val="003531E3"/>
    <w:rsid w:val="00353762"/>
    <w:rsid w:val="00353903"/>
    <w:rsid w:val="00355174"/>
    <w:rsid w:val="00356108"/>
    <w:rsid w:val="003605F4"/>
    <w:rsid w:val="00361007"/>
    <w:rsid w:val="0036160A"/>
    <w:rsid w:val="003616FC"/>
    <w:rsid w:val="00361DAB"/>
    <w:rsid w:val="00362A40"/>
    <w:rsid w:val="00362BFF"/>
    <w:rsid w:val="003630EF"/>
    <w:rsid w:val="00363D07"/>
    <w:rsid w:val="00364A5F"/>
    <w:rsid w:val="00364CAB"/>
    <w:rsid w:val="00364F00"/>
    <w:rsid w:val="003653A4"/>
    <w:rsid w:val="00365B51"/>
    <w:rsid w:val="003672B7"/>
    <w:rsid w:val="003678D8"/>
    <w:rsid w:val="00367D58"/>
    <w:rsid w:val="00370609"/>
    <w:rsid w:val="003707E2"/>
    <w:rsid w:val="00370BFF"/>
    <w:rsid w:val="00371369"/>
    <w:rsid w:val="00371434"/>
    <w:rsid w:val="00371FCC"/>
    <w:rsid w:val="0037278B"/>
    <w:rsid w:val="003729FC"/>
    <w:rsid w:val="003738BF"/>
    <w:rsid w:val="00373F64"/>
    <w:rsid w:val="00374D72"/>
    <w:rsid w:val="003755E9"/>
    <w:rsid w:val="0037595C"/>
    <w:rsid w:val="003761A6"/>
    <w:rsid w:val="003767D1"/>
    <w:rsid w:val="00376B61"/>
    <w:rsid w:val="00376F4D"/>
    <w:rsid w:val="003770DC"/>
    <w:rsid w:val="00377172"/>
    <w:rsid w:val="003772FC"/>
    <w:rsid w:val="003773BF"/>
    <w:rsid w:val="00377919"/>
    <w:rsid w:val="00377E41"/>
    <w:rsid w:val="00381523"/>
    <w:rsid w:val="003817FC"/>
    <w:rsid w:val="00382378"/>
    <w:rsid w:val="0038271E"/>
    <w:rsid w:val="00382AF6"/>
    <w:rsid w:val="0038304A"/>
    <w:rsid w:val="00383C05"/>
    <w:rsid w:val="00384C22"/>
    <w:rsid w:val="003874BE"/>
    <w:rsid w:val="00387855"/>
    <w:rsid w:val="00387E46"/>
    <w:rsid w:val="00390702"/>
    <w:rsid w:val="00391A18"/>
    <w:rsid w:val="00391DEA"/>
    <w:rsid w:val="00391EF0"/>
    <w:rsid w:val="003923BB"/>
    <w:rsid w:val="00392C9D"/>
    <w:rsid w:val="00393370"/>
    <w:rsid w:val="003933E4"/>
    <w:rsid w:val="00393508"/>
    <w:rsid w:val="00393644"/>
    <w:rsid w:val="00393D72"/>
    <w:rsid w:val="00394618"/>
    <w:rsid w:val="003961CA"/>
    <w:rsid w:val="00396364"/>
    <w:rsid w:val="003965A1"/>
    <w:rsid w:val="003968E7"/>
    <w:rsid w:val="003968F6"/>
    <w:rsid w:val="0039699F"/>
    <w:rsid w:val="00396B5B"/>
    <w:rsid w:val="003A07AD"/>
    <w:rsid w:val="003A1105"/>
    <w:rsid w:val="003A14E8"/>
    <w:rsid w:val="003A158C"/>
    <w:rsid w:val="003A1A11"/>
    <w:rsid w:val="003A2827"/>
    <w:rsid w:val="003A3B2D"/>
    <w:rsid w:val="003A3B84"/>
    <w:rsid w:val="003A5472"/>
    <w:rsid w:val="003A73E7"/>
    <w:rsid w:val="003A7488"/>
    <w:rsid w:val="003A7C88"/>
    <w:rsid w:val="003A7FA7"/>
    <w:rsid w:val="003B0798"/>
    <w:rsid w:val="003B088A"/>
    <w:rsid w:val="003B0909"/>
    <w:rsid w:val="003B09F5"/>
    <w:rsid w:val="003B0C81"/>
    <w:rsid w:val="003B1247"/>
    <w:rsid w:val="003B2753"/>
    <w:rsid w:val="003B2975"/>
    <w:rsid w:val="003B2BDC"/>
    <w:rsid w:val="003B42E9"/>
    <w:rsid w:val="003B4687"/>
    <w:rsid w:val="003B4C6C"/>
    <w:rsid w:val="003B5047"/>
    <w:rsid w:val="003B52C4"/>
    <w:rsid w:val="003B5829"/>
    <w:rsid w:val="003B631B"/>
    <w:rsid w:val="003B63A4"/>
    <w:rsid w:val="003B68CA"/>
    <w:rsid w:val="003B725D"/>
    <w:rsid w:val="003B753C"/>
    <w:rsid w:val="003B75F4"/>
    <w:rsid w:val="003B7B82"/>
    <w:rsid w:val="003C09BA"/>
    <w:rsid w:val="003C0EDD"/>
    <w:rsid w:val="003C17FB"/>
    <w:rsid w:val="003C1C1C"/>
    <w:rsid w:val="003C308C"/>
    <w:rsid w:val="003C33D9"/>
    <w:rsid w:val="003C4781"/>
    <w:rsid w:val="003C5517"/>
    <w:rsid w:val="003C563D"/>
    <w:rsid w:val="003C5E35"/>
    <w:rsid w:val="003C6C7C"/>
    <w:rsid w:val="003C7571"/>
    <w:rsid w:val="003C7CFC"/>
    <w:rsid w:val="003D02A7"/>
    <w:rsid w:val="003D0689"/>
    <w:rsid w:val="003D07AE"/>
    <w:rsid w:val="003D1085"/>
    <w:rsid w:val="003D111D"/>
    <w:rsid w:val="003D2098"/>
    <w:rsid w:val="003D2276"/>
    <w:rsid w:val="003D2685"/>
    <w:rsid w:val="003D306F"/>
    <w:rsid w:val="003D3334"/>
    <w:rsid w:val="003D3414"/>
    <w:rsid w:val="003D3763"/>
    <w:rsid w:val="003D392A"/>
    <w:rsid w:val="003D3C8B"/>
    <w:rsid w:val="003D3D05"/>
    <w:rsid w:val="003D4754"/>
    <w:rsid w:val="003D4FCA"/>
    <w:rsid w:val="003D5A06"/>
    <w:rsid w:val="003D5C75"/>
    <w:rsid w:val="003D5D4A"/>
    <w:rsid w:val="003D6829"/>
    <w:rsid w:val="003E0082"/>
    <w:rsid w:val="003E06BE"/>
    <w:rsid w:val="003E0907"/>
    <w:rsid w:val="003E0E7D"/>
    <w:rsid w:val="003E14BA"/>
    <w:rsid w:val="003E1995"/>
    <w:rsid w:val="003E1A2F"/>
    <w:rsid w:val="003E29ED"/>
    <w:rsid w:val="003E2B64"/>
    <w:rsid w:val="003E2F60"/>
    <w:rsid w:val="003E3269"/>
    <w:rsid w:val="003E45B9"/>
    <w:rsid w:val="003E4E6A"/>
    <w:rsid w:val="003E4FA5"/>
    <w:rsid w:val="003E54FA"/>
    <w:rsid w:val="003E5C7D"/>
    <w:rsid w:val="003E6645"/>
    <w:rsid w:val="003E6B85"/>
    <w:rsid w:val="003E6F26"/>
    <w:rsid w:val="003E70EB"/>
    <w:rsid w:val="003E759A"/>
    <w:rsid w:val="003F02FC"/>
    <w:rsid w:val="003F03E9"/>
    <w:rsid w:val="003F11E8"/>
    <w:rsid w:val="003F1A29"/>
    <w:rsid w:val="003F1C56"/>
    <w:rsid w:val="003F1F7A"/>
    <w:rsid w:val="003F2323"/>
    <w:rsid w:val="003F3049"/>
    <w:rsid w:val="003F3980"/>
    <w:rsid w:val="003F3C49"/>
    <w:rsid w:val="003F3E41"/>
    <w:rsid w:val="003F5363"/>
    <w:rsid w:val="003F6C6C"/>
    <w:rsid w:val="003F6F01"/>
    <w:rsid w:val="003F723D"/>
    <w:rsid w:val="003F73FC"/>
    <w:rsid w:val="003F75CB"/>
    <w:rsid w:val="00400017"/>
    <w:rsid w:val="00400280"/>
    <w:rsid w:val="0040077B"/>
    <w:rsid w:val="004008D1"/>
    <w:rsid w:val="00400912"/>
    <w:rsid w:val="0040096C"/>
    <w:rsid w:val="004020C0"/>
    <w:rsid w:val="004029E8"/>
    <w:rsid w:val="00402CD7"/>
    <w:rsid w:val="00402D69"/>
    <w:rsid w:val="00402F82"/>
    <w:rsid w:val="0040328B"/>
    <w:rsid w:val="00404277"/>
    <w:rsid w:val="004051E1"/>
    <w:rsid w:val="0040666D"/>
    <w:rsid w:val="00406764"/>
    <w:rsid w:val="0040685D"/>
    <w:rsid w:val="004069DB"/>
    <w:rsid w:val="00406BD8"/>
    <w:rsid w:val="004072A9"/>
    <w:rsid w:val="0040735D"/>
    <w:rsid w:val="00407730"/>
    <w:rsid w:val="00407B29"/>
    <w:rsid w:val="00407CA1"/>
    <w:rsid w:val="00410239"/>
    <w:rsid w:val="00410E86"/>
    <w:rsid w:val="0041195B"/>
    <w:rsid w:val="0041296E"/>
    <w:rsid w:val="004129CD"/>
    <w:rsid w:val="00413219"/>
    <w:rsid w:val="00413945"/>
    <w:rsid w:val="004141C4"/>
    <w:rsid w:val="004143BF"/>
    <w:rsid w:val="00414642"/>
    <w:rsid w:val="00414649"/>
    <w:rsid w:val="00414A50"/>
    <w:rsid w:val="0041551E"/>
    <w:rsid w:val="004155D1"/>
    <w:rsid w:val="00415676"/>
    <w:rsid w:val="004157F9"/>
    <w:rsid w:val="00415D8C"/>
    <w:rsid w:val="004162FE"/>
    <w:rsid w:val="00416668"/>
    <w:rsid w:val="00416B10"/>
    <w:rsid w:val="00416CC6"/>
    <w:rsid w:val="004175C8"/>
    <w:rsid w:val="0042017B"/>
    <w:rsid w:val="00420700"/>
    <w:rsid w:val="00420857"/>
    <w:rsid w:val="00420E6E"/>
    <w:rsid w:val="00422A7B"/>
    <w:rsid w:val="00422F25"/>
    <w:rsid w:val="00423414"/>
    <w:rsid w:val="00424627"/>
    <w:rsid w:val="004247A3"/>
    <w:rsid w:val="004248B8"/>
    <w:rsid w:val="004249F7"/>
    <w:rsid w:val="00424A2C"/>
    <w:rsid w:val="00424A58"/>
    <w:rsid w:val="00424B49"/>
    <w:rsid w:val="004252B8"/>
    <w:rsid w:val="004259A1"/>
    <w:rsid w:val="0042683D"/>
    <w:rsid w:val="00426CB9"/>
    <w:rsid w:val="00426F68"/>
    <w:rsid w:val="004277F3"/>
    <w:rsid w:val="0043161B"/>
    <w:rsid w:val="00432492"/>
    <w:rsid w:val="004325A0"/>
    <w:rsid w:val="00433036"/>
    <w:rsid w:val="00433F21"/>
    <w:rsid w:val="004349BB"/>
    <w:rsid w:val="00434EAB"/>
    <w:rsid w:val="004373FD"/>
    <w:rsid w:val="0043762B"/>
    <w:rsid w:val="00441908"/>
    <w:rsid w:val="00441B14"/>
    <w:rsid w:val="004434DD"/>
    <w:rsid w:val="00443780"/>
    <w:rsid w:val="0044414F"/>
    <w:rsid w:val="0044432D"/>
    <w:rsid w:val="004447B6"/>
    <w:rsid w:val="00444CEB"/>
    <w:rsid w:val="004458A7"/>
    <w:rsid w:val="00445B82"/>
    <w:rsid w:val="00445B93"/>
    <w:rsid w:val="00445C80"/>
    <w:rsid w:val="0044741A"/>
    <w:rsid w:val="00447ED4"/>
    <w:rsid w:val="00450F8A"/>
    <w:rsid w:val="00452791"/>
    <w:rsid w:val="00453CA0"/>
    <w:rsid w:val="00453EB3"/>
    <w:rsid w:val="00454208"/>
    <w:rsid w:val="004543E5"/>
    <w:rsid w:val="00454A5A"/>
    <w:rsid w:val="0045541C"/>
    <w:rsid w:val="00456042"/>
    <w:rsid w:val="0045659C"/>
    <w:rsid w:val="00456679"/>
    <w:rsid w:val="0045797E"/>
    <w:rsid w:val="00457A3D"/>
    <w:rsid w:val="004603EB"/>
    <w:rsid w:val="00460998"/>
    <w:rsid w:val="00461016"/>
    <w:rsid w:val="00463D1A"/>
    <w:rsid w:val="0046681F"/>
    <w:rsid w:val="00466E1B"/>
    <w:rsid w:val="00470234"/>
    <w:rsid w:val="00470B2F"/>
    <w:rsid w:val="00470BBB"/>
    <w:rsid w:val="0047175B"/>
    <w:rsid w:val="00472CF2"/>
    <w:rsid w:val="00475140"/>
    <w:rsid w:val="00475538"/>
    <w:rsid w:val="0047567F"/>
    <w:rsid w:val="00475BC3"/>
    <w:rsid w:val="004765A7"/>
    <w:rsid w:val="00476C48"/>
    <w:rsid w:val="00476D77"/>
    <w:rsid w:val="00476E4C"/>
    <w:rsid w:val="004772B0"/>
    <w:rsid w:val="00477421"/>
    <w:rsid w:val="00477984"/>
    <w:rsid w:val="00477D79"/>
    <w:rsid w:val="00481785"/>
    <w:rsid w:val="004819DE"/>
    <w:rsid w:val="00481FAD"/>
    <w:rsid w:val="004822C6"/>
    <w:rsid w:val="004822D8"/>
    <w:rsid w:val="00482D85"/>
    <w:rsid w:val="00483171"/>
    <w:rsid w:val="00483A77"/>
    <w:rsid w:val="004840F7"/>
    <w:rsid w:val="0048417C"/>
    <w:rsid w:val="00484520"/>
    <w:rsid w:val="004846AD"/>
    <w:rsid w:val="00484CBD"/>
    <w:rsid w:val="00486485"/>
    <w:rsid w:val="00486499"/>
    <w:rsid w:val="0048661D"/>
    <w:rsid w:val="00486BA0"/>
    <w:rsid w:val="00486E3A"/>
    <w:rsid w:val="004870C7"/>
    <w:rsid w:val="00487197"/>
    <w:rsid w:val="00487EF7"/>
    <w:rsid w:val="00490235"/>
    <w:rsid w:val="00490434"/>
    <w:rsid w:val="00490965"/>
    <w:rsid w:val="00491A2B"/>
    <w:rsid w:val="0049256E"/>
    <w:rsid w:val="004928B4"/>
    <w:rsid w:val="00494C07"/>
    <w:rsid w:val="00495C9F"/>
    <w:rsid w:val="00496AF6"/>
    <w:rsid w:val="00496EBA"/>
    <w:rsid w:val="00497425"/>
    <w:rsid w:val="0049783E"/>
    <w:rsid w:val="00497AC5"/>
    <w:rsid w:val="004A0106"/>
    <w:rsid w:val="004A0782"/>
    <w:rsid w:val="004A0BC3"/>
    <w:rsid w:val="004A0DEF"/>
    <w:rsid w:val="004A1027"/>
    <w:rsid w:val="004A16DE"/>
    <w:rsid w:val="004A1B94"/>
    <w:rsid w:val="004A1D1E"/>
    <w:rsid w:val="004A279D"/>
    <w:rsid w:val="004A3542"/>
    <w:rsid w:val="004A47D6"/>
    <w:rsid w:val="004A4A78"/>
    <w:rsid w:val="004A4BE9"/>
    <w:rsid w:val="004A4CC3"/>
    <w:rsid w:val="004A5966"/>
    <w:rsid w:val="004A6027"/>
    <w:rsid w:val="004A6B6B"/>
    <w:rsid w:val="004B03F4"/>
    <w:rsid w:val="004B06D6"/>
    <w:rsid w:val="004B1B04"/>
    <w:rsid w:val="004B1E6A"/>
    <w:rsid w:val="004B3CF3"/>
    <w:rsid w:val="004B4128"/>
    <w:rsid w:val="004B458A"/>
    <w:rsid w:val="004B554E"/>
    <w:rsid w:val="004B5BF2"/>
    <w:rsid w:val="004B72EE"/>
    <w:rsid w:val="004B7522"/>
    <w:rsid w:val="004B78EC"/>
    <w:rsid w:val="004B7ABF"/>
    <w:rsid w:val="004B7E00"/>
    <w:rsid w:val="004B7E65"/>
    <w:rsid w:val="004C045B"/>
    <w:rsid w:val="004C047A"/>
    <w:rsid w:val="004C16CE"/>
    <w:rsid w:val="004C1813"/>
    <w:rsid w:val="004C230D"/>
    <w:rsid w:val="004C3413"/>
    <w:rsid w:val="004C4239"/>
    <w:rsid w:val="004C4C2B"/>
    <w:rsid w:val="004C568E"/>
    <w:rsid w:val="004C56D3"/>
    <w:rsid w:val="004C6BF4"/>
    <w:rsid w:val="004C6EAE"/>
    <w:rsid w:val="004C7566"/>
    <w:rsid w:val="004C7FEB"/>
    <w:rsid w:val="004D052B"/>
    <w:rsid w:val="004D07A9"/>
    <w:rsid w:val="004D07C3"/>
    <w:rsid w:val="004D0851"/>
    <w:rsid w:val="004D09F6"/>
    <w:rsid w:val="004D0E1C"/>
    <w:rsid w:val="004D0E23"/>
    <w:rsid w:val="004D1361"/>
    <w:rsid w:val="004D1E2B"/>
    <w:rsid w:val="004D1EDC"/>
    <w:rsid w:val="004D26BA"/>
    <w:rsid w:val="004D2780"/>
    <w:rsid w:val="004D3DF7"/>
    <w:rsid w:val="004D41DA"/>
    <w:rsid w:val="004D44A1"/>
    <w:rsid w:val="004D4A8D"/>
    <w:rsid w:val="004D56DC"/>
    <w:rsid w:val="004D5CEC"/>
    <w:rsid w:val="004D6806"/>
    <w:rsid w:val="004D72BB"/>
    <w:rsid w:val="004D7462"/>
    <w:rsid w:val="004D75AE"/>
    <w:rsid w:val="004D7854"/>
    <w:rsid w:val="004E0225"/>
    <w:rsid w:val="004E0B23"/>
    <w:rsid w:val="004E1691"/>
    <w:rsid w:val="004E21C4"/>
    <w:rsid w:val="004E4403"/>
    <w:rsid w:val="004E4AB6"/>
    <w:rsid w:val="004E4B83"/>
    <w:rsid w:val="004E525C"/>
    <w:rsid w:val="004E563E"/>
    <w:rsid w:val="004E5F45"/>
    <w:rsid w:val="004E66A1"/>
    <w:rsid w:val="004E67EB"/>
    <w:rsid w:val="004E6930"/>
    <w:rsid w:val="004E72E7"/>
    <w:rsid w:val="004F004D"/>
    <w:rsid w:val="004F015B"/>
    <w:rsid w:val="004F0FD2"/>
    <w:rsid w:val="004F1009"/>
    <w:rsid w:val="004F1012"/>
    <w:rsid w:val="004F1F2B"/>
    <w:rsid w:val="004F1FDE"/>
    <w:rsid w:val="004F2073"/>
    <w:rsid w:val="004F211F"/>
    <w:rsid w:val="004F2361"/>
    <w:rsid w:val="004F27EE"/>
    <w:rsid w:val="004F32E2"/>
    <w:rsid w:val="004F33E1"/>
    <w:rsid w:val="004F5135"/>
    <w:rsid w:val="004F5732"/>
    <w:rsid w:val="004F5749"/>
    <w:rsid w:val="004F6C3E"/>
    <w:rsid w:val="004F6FD0"/>
    <w:rsid w:val="004F7803"/>
    <w:rsid w:val="004F7AC3"/>
    <w:rsid w:val="005000F8"/>
    <w:rsid w:val="0050037E"/>
    <w:rsid w:val="00500436"/>
    <w:rsid w:val="0050057C"/>
    <w:rsid w:val="00500B14"/>
    <w:rsid w:val="00500E35"/>
    <w:rsid w:val="00500E6E"/>
    <w:rsid w:val="00500F85"/>
    <w:rsid w:val="00501259"/>
    <w:rsid w:val="00502BA0"/>
    <w:rsid w:val="00502E32"/>
    <w:rsid w:val="00502EAA"/>
    <w:rsid w:val="00502F1A"/>
    <w:rsid w:val="00502F48"/>
    <w:rsid w:val="0050390A"/>
    <w:rsid w:val="005039EE"/>
    <w:rsid w:val="00504397"/>
    <w:rsid w:val="00504B2C"/>
    <w:rsid w:val="00504EE1"/>
    <w:rsid w:val="00505548"/>
    <w:rsid w:val="00506432"/>
    <w:rsid w:val="00506A21"/>
    <w:rsid w:val="005077C2"/>
    <w:rsid w:val="005104F3"/>
    <w:rsid w:val="00510771"/>
    <w:rsid w:val="005110B9"/>
    <w:rsid w:val="00511B72"/>
    <w:rsid w:val="005138F7"/>
    <w:rsid w:val="00514855"/>
    <w:rsid w:val="005154F9"/>
    <w:rsid w:val="005163E2"/>
    <w:rsid w:val="0051658E"/>
    <w:rsid w:val="00516789"/>
    <w:rsid w:val="005168FA"/>
    <w:rsid w:val="00516E13"/>
    <w:rsid w:val="00517CE6"/>
    <w:rsid w:val="00517E42"/>
    <w:rsid w:val="00517EB4"/>
    <w:rsid w:val="00521F45"/>
    <w:rsid w:val="00522154"/>
    <w:rsid w:val="0052224B"/>
    <w:rsid w:val="00522E32"/>
    <w:rsid w:val="00523162"/>
    <w:rsid w:val="00526760"/>
    <w:rsid w:val="00526C59"/>
    <w:rsid w:val="00526CC3"/>
    <w:rsid w:val="005271BF"/>
    <w:rsid w:val="0052729A"/>
    <w:rsid w:val="00527C20"/>
    <w:rsid w:val="0053042B"/>
    <w:rsid w:val="005304C1"/>
    <w:rsid w:val="0053074E"/>
    <w:rsid w:val="00530EB7"/>
    <w:rsid w:val="00531788"/>
    <w:rsid w:val="00531798"/>
    <w:rsid w:val="00533408"/>
    <w:rsid w:val="005336C9"/>
    <w:rsid w:val="00533A71"/>
    <w:rsid w:val="00533DCD"/>
    <w:rsid w:val="00534121"/>
    <w:rsid w:val="00534C26"/>
    <w:rsid w:val="005355D7"/>
    <w:rsid w:val="00535EB6"/>
    <w:rsid w:val="00536E75"/>
    <w:rsid w:val="00537044"/>
    <w:rsid w:val="005371C0"/>
    <w:rsid w:val="00537484"/>
    <w:rsid w:val="005374A5"/>
    <w:rsid w:val="00537B82"/>
    <w:rsid w:val="0054048A"/>
    <w:rsid w:val="00540A1F"/>
    <w:rsid w:val="00540FDC"/>
    <w:rsid w:val="005424F9"/>
    <w:rsid w:val="00542583"/>
    <w:rsid w:val="0054474F"/>
    <w:rsid w:val="00544EC2"/>
    <w:rsid w:val="005453B7"/>
    <w:rsid w:val="00545A57"/>
    <w:rsid w:val="00545DFE"/>
    <w:rsid w:val="005461B2"/>
    <w:rsid w:val="00546BAC"/>
    <w:rsid w:val="00547879"/>
    <w:rsid w:val="00547915"/>
    <w:rsid w:val="00547A60"/>
    <w:rsid w:val="00550587"/>
    <w:rsid w:val="00550FD7"/>
    <w:rsid w:val="00551BCF"/>
    <w:rsid w:val="00552D4B"/>
    <w:rsid w:val="00552FB1"/>
    <w:rsid w:val="0055393B"/>
    <w:rsid w:val="00554861"/>
    <w:rsid w:val="00555ADE"/>
    <w:rsid w:val="00555C0F"/>
    <w:rsid w:val="00555D76"/>
    <w:rsid w:val="00556AB9"/>
    <w:rsid w:val="00561561"/>
    <w:rsid w:val="005637FC"/>
    <w:rsid w:val="00563E46"/>
    <w:rsid w:val="00564438"/>
    <w:rsid w:val="00565BF2"/>
    <w:rsid w:val="00565DDB"/>
    <w:rsid w:val="005660D9"/>
    <w:rsid w:val="00566205"/>
    <w:rsid w:val="0056637F"/>
    <w:rsid w:val="005714F8"/>
    <w:rsid w:val="00571645"/>
    <w:rsid w:val="00572071"/>
    <w:rsid w:val="00572186"/>
    <w:rsid w:val="00572ABD"/>
    <w:rsid w:val="0057349C"/>
    <w:rsid w:val="00574AC5"/>
    <w:rsid w:val="00574EED"/>
    <w:rsid w:val="00574F4E"/>
    <w:rsid w:val="00576910"/>
    <w:rsid w:val="00576A9F"/>
    <w:rsid w:val="00576D3F"/>
    <w:rsid w:val="00577286"/>
    <w:rsid w:val="00577795"/>
    <w:rsid w:val="00580076"/>
    <w:rsid w:val="0058055A"/>
    <w:rsid w:val="005808C9"/>
    <w:rsid w:val="00580D91"/>
    <w:rsid w:val="00580E6D"/>
    <w:rsid w:val="00581183"/>
    <w:rsid w:val="00582108"/>
    <w:rsid w:val="005827D8"/>
    <w:rsid w:val="00582EA0"/>
    <w:rsid w:val="005837E4"/>
    <w:rsid w:val="00583C83"/>
    <w:rsid w:val="00584228"/>
    <w:rsid w:val="00584D0E"/>
    <w:rsid w:val="00585256"/>
    <w:rsid w:val="005852BB"/>
    <w:rsid w:val="005852C8"/>
    <w:rsid w:val="005853BB"/>
    <w:rsid w:val="00585CA6"/>
    <w:rsid w:val="00585D71"/>
    <w:rsid w:val="00586EA7"/>
    <w:rsid w:val="005875E7"/>
    <w:rsid w:val="00587A37"/>
    <w:rsid w:val="00590A30"/>
    <w:rsid w:val="0059135A"/>
    <w:rsid w:val="00591696"/>
    <w:rsid w:val="0059186B"/>
    <w:rsid w:val="005919CD"/>
    <w:rsid w:val="00591B6F"/>
    <w:rsid w:val="0059201D"/>
    <w:rsid w:val="0059233F"/>
    <w:rsid w:val="00592FDC"/>
    <w:rsid w:val="005934C5"/>
    <w:rsid w:val="00594A8D"/>
    <w:rsid w:val="0059552B"/>
    <w:rsid w:val="00596245"/>
    <w:rsid w:val="005964C1"/>
    <w:rsid w:val="00596592"/>
    <w:rsid w:val="00596F3B"/>
    <w:rsid w:val="00597481"/>
    <w:rsid w:val="00597B92"/>
    <w:rsid w:val="00597F63"/>
    <w:rsid w:val="005A004B"/>
    <w:rsid w:val="005A0532"/>
    <w:rsid w:val="005A0C21"/>
    <w:rsid w:val="005A0CFA"/>
    <w:rsid w:val="005A0EB9"/>
    <w:rsid w:val="005A1036"/>
    <w:rsid w:val="005A10ED"/>
    <w:rsid w:val="005A16B9"/>
    <w:rsid w:val="005A1AEA"/>
    <w:rsid w:val="005A1BFD"/>
    <w:rsid w:val="005A24A6"/>
    <w:rsid w:val="005A2D5C"/>
    <w:rsid w:val="005A300F"/>
    <w:rsid w:val="005A30F5"/>
    <w:rsid w:val="005A37B8"/>
    <w:rsid w:val="005A3D88"/>
    <w:rsid w:val="005A4B88"/>
    <w:rsid w:val="005A5AB1"/>
    <w:rsid w:val="005A6576"/>
    <w:rsid w:val="005A6F30"/>
    <w:rsid w:val="005A73CE"/>
    <w:rsid w:val="005B001F"/>
    <w:rsid w:val="005B018F"/>
    <w:rsid w:val="005B02C3"/>
    <w:rsid w:val="005B0424"/>
    <w:rsid w:val="005B0602"/>
    <w:rsid w:val="005B176A"/>
    <w:rsid w:val="005B19D2"/>
    <w:rsid w:val="005B1A4E"/>
    <w:rsid w:val="005B25FE"/>
    <w:rsid w:val="005B3E2A"/>
    <w:rsid w:val="005B4F91"/>
    <w:rsid w:val="005B684F"/>
    <w:rsid w:val="005B717D"/>
    <w:rsid w:val="005B7264"/>
    <w:rsid w:val="005B7813"/>
    <w:rsid w:val="005C0909"/>
    <w:rsid w:val="005C0E0C"/>
    <w:rsid w:val="005C1463"/>
    <w:rsid w:val="005C2F9E"/>
    <w:rsid w:val="005C379E"/>
    <w:rsid w:val="005C39FE"/>
    <w:rsid w:val="005C506E"/>
    <w:rsid w:val="005C55C6"/>
    <w:rsid w:val="005C5B18"/>
    <w:rsid w:val="005C66CD"/>
    <w:rsid w:val="005C7C0D"/>
    <w:rsid w:val="005C7E4B"/>
    <w:rsid w:val="005C7F39"/>
    <w:rsid w:val="005D1258"/>
    <w:rsid w:val="005D1F05"/>
    <w:rsid w:val="005D2CEC"/>
    <w:rsid w:val="005D391A"/>
    <w:rsid w:val="005D405B"/>
    <w:rsid w:val="005D471A"/>
    <w:rsid w:val="005D4EBA"/>
    <w:rsid w:val="005D585A"/>
    <w:rsid w:val="005D60D9"/>
    <w:rsid w:val="005D63ED"/>
    <w:rsid w:val="005D6445"/>
    <w:rsid w:val="005D7587"/>
    <w:rsid w:val="005D79CA"/>
    <w:rsid w:val="005D7EF6"/>
    <w:rsid w:val="005E046A"/>
    <w:rsid w:val="005E0A82"/>
    <w:rsid w:val="005E0BB7"/>
    <w:rsid w:val="005E1458"/>
    <w:rsid w:val="005E17C6"/>
    <w:rsid w:val="005E1870"/>
    <w:rsid w:val="005E2973"/>
    <w:rsid w:val="005E35F9"/>
    <w:rsid w:val="005E38E3"/>
    <w:rsid w:val="005E43C1"/>
    <w:rsid w:val="005E445B"/>
    <w:rsid w:val="005E471A"/>
    <w:rsid w:val="005E4ED9"/>
    <w:rsid w:val="005E6428"/>
    <w:rsid w:val="005E70B3"/>
    <w:rsid w:val="005E7117"/>
    <w:rsid w:val="005E768C"/>
    <w:rsid w:val="005F01EA"/>
    <w:rsid w:val="005F17B2"/>
    <w:rsid w:val="005F1E56"/>
    <w:rsid w:val="005F1EBB"/>
    <w:rsid w:val="005F23A3"/>
    <w:rsid w:val="005F378D"/>
    <w:rsid w:val="005F4408"/>
    <w:rsid w:val="005F62D4"/>
    <w:rsid w:val="005F6A02"/>
    <w:rsid w:val="005F74B1"/>
    <w:rsid w:val="005F7909"/>
    <w:rsid w:val="005F7950"/>
    <w:rsid w:val="005F7A03"/>
    <w:rsid w:val="005F7F44"/>
    <w:rsid w:val="00600322"/>
    <w:rsid w:val="0060047D"/>
    <w:rsid w:val="00600FA5"/>
    <w:rsid w:val="00601C3C"/>
    <w:rsid w:val="0060258F"/>
    <w:rsid w:val="00602A05"/>
    <w:rsid w:val="00602EC8"/>
    <w:rsid w:val="00603BCB"/>
    <w:rsid w:val="00604FF9"/>
    <w:rsid w:val="006052B1"/>
    <w:rsid w:val="00605363"/>
    <w:rsid w:val="006055B4"/>
    <w:rsid w:val="0060567C"/>
    <w:rsid w:val="006059A9"/>
    <w:rsid w:val="006067A5"/>
    <w:rsid w:val="00606955"/>
    <w:rsid w:val="0060778A"/>
    <w:rsid w:val="00610690"/>
    <w:rsid w:val="006109F3"/>
    <w:rsid w:val="00611538"/>
    <w:rsid w:val="00611E97"/>
    <w:rsid w:val="00614514"/>
    <w:rsid w:val="006152DC"/>
    <w:rsid w:val="006159D7"/>
    <w:rsid w:val="00615B9E"/>
    <w:rsid w:val="00615C3F"/>
    <w:rsid w:val="00615FBD"/>
    <w:rsid w:val="0061616A"/>
    <w:rsid w:val="00616570"/>
    <w:rsid w:val="0061754A"/>
    <w:rsid w:val="00617678"/>
    <w:rsid w:val="0061771B"/>
    <w:rsid w:val="00617E6B"/>
    <w:rsid w:val="00620158"/>
    <w:rsid w:val="00621E92"/>
    <w:rsid w:val="006223E4"/>
    <w:rsid w:val="006233E6"/>
    <w:rsid w:val="006239CF"/>
    <w:rsid w:val="00623A51"/>
    <w:rsid w:val="00623DBE"/>
    <w:rsid w:val="00624022"/>
    <w:rsid w:val="006260FB"/>
    <w:rsid w:val="006268AA"/>
    <w:rsid w:val="00630381"/>
    <w:rsid w:val="00630BCA"/>
    <w:rsid w:val="006316DD"/>
    <w:rsid w:val="00631A47"/>
    <w:rsid w:val="00631E9D"/>
    <w:rsid w:val="00632471"/>
    <w:rsid w:val="006324C1"/>
    <w:rsid w:val="006324EB"/>
    <w:rsid w:val="00632C5E"/>
    <w:rsid w:val="00633DF6"/>
    <w:rsid w:val="00634C2F"/>
    <w:rsid w:val="00634FBC"/>
    <w:rsid w:val="00636403"/>
    <w:rsid w:val="00636F0F"/>
    <w:rsid w:val="006415F7"/>
    <w:rsid w:val="0064195C"/>
    <w:rsid w:val="00642112"/>
    <w:rsid w:val="00642845"/>
    <w:rsid w:val="00642A77"/>
    <w:rsid w:val="00643ED2"/>
    <w:rsid w:val="006442E6"/>
    <w:rsid w:val="0064638E"/>
    <w:rsid w:val="00646395"/>
    <w:rsid w:val="00646CE5"/>
    <w:rsid w:val="006470AE"/>
    <w:rsid w:val="006476C1"/>
    <w:rsid w:val="006477E8"/>
    <w:rsid w:val="00647DE0"/>
    <w:rsid w:val="00651286"/>
    <w:rsid w:val="00651A4D"/>
    <w:rsid w:val="00651B61"/>
    <w:rsid w:val="006522C7"/>
    <w:rsid w:val="00652775"/>
    <w:rsid w:val="00652DFC"/>
    <w:rsid w:val="006534FD"/>
    <w:rsid w:val="006541B5"/>
    <w:rsid w:val="0065484B"/>
    <w:rsid w:val="00655214"/>
    <w:rsid w:val="00655799"/>
    <w:rsid w:val="006562E4"/>
    <w:rsid w:val="00657026"/>
    <w:rsid w:val="0065754B"/>
    <w:rsid w:val="0066019A"/>
    <w:rsid w:val="00660B2A"/>
    <w:rsid w:val="00660CB1"/>
    <w:rsid w:val="00661589"/>
    <w:rsid w:val="00662164"/>
    <w:rsid w:val="006623F2"/>
    <w:rsid w:val="0066280F"/>
    <w:rsid w:val="00663538"/>
    <w:rsid w:val="00663A11"/>
    <w:rsid w:val="00663E3C"/>
    <w:rsid w:val="006643CA"/>
    <w:rsid w:val="0066492A"/>
    <w:rsid w:val="00664DD8"/>
    <w:rsid w:val="00664F73"/>
    <w:rsid w:val="00666165"/>
    <w:rsid w:val="00666AC2"/>
    <w:rsid w:val="006674E3"/>
    <w:rsid w:val="0067017E"/>
    <w:rsid w:val="00671052"/>
    <w:rsid w:val="006712AE"/>
    <w:rsid w:val="006717ED"/>
    <w:rsid w:val="00671927"/>
    <w:rsid w:val="006724B0"/>
    <w:rsid w:val="00672EE1"/>
    <w:rsid w:val="00673CDD"/>
    <w:rsid w:val="00673CF3"/>
    <w:rsid w:val="006741EB"/>
    <w:rsid w:val="00674329"/>
    <w:rsid w:val="006748A4"/>
    <w:rsid w:val="00674A4D"/>
    <w:rsid w:val="00674DDC"/>
    <w:rsid w:val="00675CFD"/>
    <w:rsid w:val="006769EC"/>
    <w:rsid w:val="00677283"/>
    <w:rsid w:val="00677D3E"/>
    <w:rsid w:val="00680ACF"/>
    <w:rsid w:val="006829F4"/>
    <w:rsid w:val="0068350D"/>
    <w:rsid w:val="00684073"/>
    <w:rsid w:val="0068495B"/>
    <w:rsid w:val="00684A82"/>
    <w:rsid w:val="00684B8C"/>
    <w:rsid w:val="00686302"/>
    <w:rsid w:val="0068650B"/>
    <w:rsid w:val="00686CFE"/>
    <w:rsid w:val="006874B7"/>
    <w:rsid w:val="00690410"/>
    <w:rsid w:val="00690F5A"/>
    <w:rsid w:val="00691AA0"/>
    <w:rsid w:val="00691AE5"/>
    <w:rsid w:val="00692846"/>
    <w:rsid w:val="00693231"/>
    <w:rsid w:val="0069340A"/>
    <w:rsid w:val="0069474D"/>
    <w:rsid w:val="006979AF"/>
    <w:rsid w:val="006A0185"/>
    <w:rsid w:val="006A0209"/>
    <w:rsid w:val="006A0EB0"/>
    <w:rsid w:val="006A0F02"/>
    <w:rsid w:val="006A1528"/>
    <w:rsid w:val="006A1CF8"/>
    <w:rsid w:val="006A34A9"/>
    <w:rsid w:val="006A4187"/>
    <w:rsid w:val="006A466E"/>
    <w:rsid w:val="006A52DE"/>
    <w:rsid w:val="006A56A0"/>
    <w:rsid w:val="006A5B77"/>
    <w:rsid w:val="006A5EBD"/>
    <w:rsid w:val="006A66F6"/>
    <w:rsid w:val="006A681E"/>
    <w:rsid w:val="006A70DA"/>
    <w:rsid w:val="006A73A7"/>
    <w:rsid w:val="006A7583"/>
    <w:rsid w:val="006A7598"/>
    <w:rsid w:val="006B05B6"/>
    <w:rsid w:val="006B0EC2"/>
    <w:rsid w:val="006B1078"/>
    <w:rsid w:val="006B1573"/>
    <w:rsid w:val="006B1CD5"/>
    <w:rsid w:val="006B296C"/>
    <w:rsid w:val="006B2E91"/>
    <w:rsid w:val="006B2F59"/>
    <w:rsid w:val="006B3245"/>
    <w:rsid w:val="006B3C39"/>
    <w:rsid w:val="006B3E02"/>
    <w:rsid w:val="006B4C8B"/>
    <w:rsid w:val="006B4DC4"/>
    <w:rsid w:val="006B61BF"/>
    <w:rsid w:val="006B61D1"/>
    <w:rsid w:val="006B644E"/>
    <w:rsid w:val="006B64E0"/>
    <w:rsid w:val="006B6670"/>
    <w:rsid w:val="006B7157"/>
    <w:rsid w:val="006B78FF"/>
    <w:rsid w:val="006C039F"/>
    <w:rsid w:val="006C0688"/>
    <w:rsid w:val="006C0AD6"/>
    <w:rsid w:val="006C0AFA"/>
    <w:rsid w:val="006C0D23"/>
    <w:rsid w:val="006C0F3C"/>
    <w:rsid w:val="006C191F"/>
    <w:rsid w:val="006C1E1F"/>
    <w:rsid w:val="006C2493"/>
    <w:rsid w:val="006C3758"/>
    <w:rsid w:val="006C3AA9"/>
    <w:rsid w:val="006C5393"/>
    <w:rsid w:val="006C5E23"/>
    <w:rsid w:val="006C6936"/>
    <w:rsid w:val="006C7029"/>
    <w:rsid w:val="006C74C6"/>
    <w:rsid w:val="006C77A6"/>
    <w:rsid w:val="006C7885"/>
    <w:rsid w:val="006C7F78"/>
    <w:rsid w:val="006D0510"/>
    <w:rsid w:val="006D125F"/>
    <w:rsid w:val="006D127E"/>
    <w:rsid w:val="006D1B72"/>
    <w:rsid w:val="006D2445"/>
    <w:rsid w:val="006D32A2"/>
    <w:rsid w:val="006D3BB3"/>
    <w:rsid w:val="006D48A6"/>
    <w:rsid w:val="006D59DA"/>
    <w:rsid w:val="006D5E21"/>
    <w:rsid w:val="006D63C6"/>
    <w:rsid w:val="006D6957"/>
    <w:rsid w:val="006D6AF5"/>
    <w:rsid w:val="006D7234"/>
    <w:rsid w:val="006D7DF9"/>
    <w:rsid w:val="006E02D0"/>
    <w:rsid w:val="006E1D46"/>
    <w:rsid w:val="006E2A89"/>
    <w:rsid w:val="006E324A"/>
    <w:rsid w:val="006E3F66"/>
    <w:rsid w:val="006E41CA"/>
    <w:rsid w:val="006E465A"/>
    <w:rsid w:val="006E47A4"/>
    <w:rsid w:val="006E4A09"/>
    <w:rsid w:val="006E4A9D"/>
    <w:rsid w:val="006E51D2"/>
    <w:rsid w:val="006E64CD"/>
    <w:rsid w:val="006E7F6A"/>
    <w:rsid w:val="006F10CC"/>
    <w:rsid w:val="006F11A2"/>
    <w:rsid w:val="006F1601"/>
    <w:rsid w:val="006F198F"/>
    <w:rsid w:val="006F2ED5"/>
    <w:rsid w:val="006F3798"/>
    <w:rsid w:val="006F3C32"/>
    <w:rsid w:val="006F3DEB"/>
    <w:rsid w:val="006F4457"/>
    <w:rsid w:val="006F461C"/>
    <w:rsid w:val="006F495A"/>
    <w:rsid w:val="006F4965"/>
    <w:rsid w:val="006F4CA6"/>
    <w:rsid w:val="006F51DC"/>
    <w:rsid w:val="006F53DF"/>
    <w:rsid w:val="006F5C44"/>
    <w:rsid w:val="006F5D02"/>
    <w:rsid w:val="006F64DA"/>
    <w:rsid w:val="006F6990"/>
    <w:rsid w:val="006F69DC"/>
    <w:rsid w:val="006F7A53"/>
    <w:rsid w:val="00700BB3"/>
    <w:rsid w:val="00700CCE"/>
    <w:rsid w:val="00700D89"/>
    <w:rsid w:val="0070138D"/>
    <w:rsid w:val="007013EA"/>
    <w:rsid w:val="00701465"/>
    <w:rsid w:val="0070157A"/>
    <w:rsid w:val="00703FAE"/>
    <w:rsid w:val="00703FC3"/>
    <w:rsid w:val="007043A7"/>
    <w:rsid w:val="007045C4"/>
    <w:rsid w:val="007050C8"/>
    <w:rsid w:val="007052EE"/>
    <w:rsid w:val="00705BEF"/>
    <w:rsid w:val="00705F1B"/>
    <w:rsid w:val="00706054"/>
    <w:rsid w:val="0070639A"/>
    <w:rsid w:val="00706E4E"/>
    <w:rsid w:val="00706E7F"/>
    <w:rsid w:val="00706ED4"/>
    <w:rsid w:val="00707913"/>
    <w:rsid w:val="00707B29"/>
    <w:rsid w:val="00707F9E"/>
    <w:rsid w:val="007100CE"/>
    <w:rsid w:val="00710981"/>
    <w:rsid w:val="007116F6"/>
    <w:rsid w:val="00712B6E"/>
    <w:rsid w:val="007135EE"/>
    <w:rsid w:val="00713716"/>
    <w:rsid w:val="00713809"/>
    <w:rsid w:val="007140D8"/>
    <w:rsid w:val="00714149"/>
    <w:rsid w:val="00714434"/>
    <w:rsid w:val="0071524D"/>
    <w:rsid w:val="0071555E"/>
    <w:rsid w:val="0071598C"/>
    <w:rsid w:val="00715C33"/>
    <w:rsid w:val="00715E26"/>
    <w:rsid w:val="007165BF"/>
    <w:rsid w:val="00716D72"/>
    <w:rsid w:val="00717181"/>
    <w:rsid w:val="0071772C"/>
    <w:rsid w:val="0072133F"/>
    <w:rsid w:val="00721406"/>
    <w:rsid w:val="00721560"/>
    <w:rsid w:val="00721B6E"/>
    <w:rsid w:val="00722121"/>
    <w:rsid w:val="00723453"/>
    <w:rsid w:val="00723EE4"/>
    <w:rsid w:val="00725B9F"/>
    <w:rsid w:val="00726799"/>
    <w:rsid w:val="0072753F"/>
    <w:rsid w:val="007304A1"/>
    <w:rsid w:val="007305A9"/>
    <w:rsid w:val="00730DFB"/>
    <w:rsid w:val="00731A9E"/>
    <w:rsid w:val="0073221A"/>
    <w:rsid w:val="007324C7"/>
    <w:rsid w:val="00732B1B"/>
    <w:rsid w:val="00733263"/>
    <w:rsid w:val="007337B1"/>
    <w:rsid w:val="0073513B"/>
    <w:rsid w:val="00736BE1"/>
    <w:rsid w:val="00736F39"/>
    <w:rsid w:val="00736F47"/>
    <w:rsid w:val="007370A7"/>
    <w:rsid w:val="007378CA"/>
    <w:rsid w:val="00737A53"/>
    <w:rsid w:val="00740EC0"/>
    <w:rsid w:val="0074139D"/>
    <w:rsid w:val="00741831"/>
    <w:rsid w:val="0074350D"/>
    <w:rsid w:val="00743E46"/>
    <w:rsid w:val="00743FAB"/>
    <w:rsid w:val="00744129"/>
    <w:rsid w:val="00744677"/>
    <w:rsid w:val="00745885"/>
    <w:rsid w:val="0074628D"/>
    <w:rsid w:val="00746615"/>
    <w:rsid w:val="00746B3C"/>
    <w:rsid w:val="00746E59"/>
    <w:rsid w:val="00746EE4"/>
    <w:rsid w:val="007500A9"/>
    <w:rsid w:val="007502E4"/>
    <w:rsid w:val="007503C3"/>
    <w:rsid w:val="00750838"/>
    <w:rsid w:val="00750D5B"/>
    <w:rsid w:val="00750F7C"/>
    <w:rsid w:val="00751427"/>
    <w:rsid w:val="00752049"/>
    <w:rsid w:val="0075239B"/>
    <w:rsid w:val="0075297D"/>
    <w:rsid w:val="007531BD"/>
    <w:rsid w:val="00753419"/>
    <w:rsid w:val="007538E5"/>
    <w:rsid w:val="007544E0"/>
    <w:rsid w:val="00754B9E"/>
    <w:rsid w:val="0075597B"/>
    <w:rsid w:val="00755D1D"/>
    <w:rsid w:val="007570F6"/>
    <w:rsid w:val="007604C4"/>
    <w:rsid w:val="007610F1"/>
    <w:rsid w:val="0076124E"/>
    <w:rsid w:val="00761A13"/>
    <w:rsid w:val="00762207"/>
    <w:rsid w:val="007628B4"/>
    <w:rsid w:val="00762CBE"/>
    <w:rsid w:val="00763526"/>
    <w:rsid w:val="00763884"/>
    <w:rsid w:val="0076427A"/>
    <w:rsid w:val="007649EA"/>
    <w:rsid w:val="00766F24"/>
    <w:rsid w:val="00767215"/>
    <w:rsid w:val="00771301"/>
    <w:rsid w:val="00771A4C"/>
    <w:rsid w:val="0077202A"/>
    <w:rsid w:val="007720D1"/>
    <w:rsid w:val="007722CA"/>
    <w:rsid w:val="007727C4"/>
    <w:rsid w:val="00772F0B"/>
    <w:rsid w:val="007732A5"/>
    <w:rsid w:val="00773A54"/>
    <w:rsid w:val="00773DBD"/>
    <w:rsid w:val="0077463C"/>
    <w:rsid w:val="00774B62"/>
    <w:rsid w:val="00774E43"/>
    <w:rsid w:val="0077507B"/>
    <w:rsid w:val="007753C1"/>
    <w:rsid w:val="00775A5E"/>
    <w:rsid w:val="00775FDF"/>
    <w:rsid w:val="00776278"/>
    <w:rsid w:val="007775AD"/>
    <w:rsid w:val="007775E5"/>
    <w:rsid w:val="00780CC8"/>
    <w:rsid w:val="007827CB"/>
    <w:rsid w:val="007829AC"/>
    <w:rsid w:val="00782CC0"/>
    <w:rsid w:val="007833A5"/>
    <w:rsid w:val="00783DE1"/>
    <w:rsid w:val="00784E8B"/>
    <w:rsid w:val="00785CC5"/>
    <w:rsid w:val="00790770"/>
    <w:rsid w:val="007909D6"/>
    <w:rsid w:val="007929F6"/>
    <w:rsid w:val="00793A5C"/>
    <w:rsid w:val="007940B4"/>
    <w:rsid w:val="007943E9"/>
    <w:rsid w:val="007952DE"/>
    <w:rsid w:val="00795414"/>
    <w:rsid w:val="00797468"/>
    <w:rsid w:val="007A044A"/>
    <w:rsid w:val="007A0E33"/>
    <w:rsid w:val="007A102A"/>
    <w:rsid w:val="007A134F"/>
    <w:rsid w:val="007A17FF"/>
    <w:rsid w:val="007A24D9"/>
    <w:rsid w:val="007A2AE5"/>
    <w:rsid w:val="007A2B59"/>
    <w:rsid w:val="007A2C4D"/>
    <w:rsid w:val="007A383C"/>
    <w:rsid w:val="007A4A4C"/>
    <w:rsid w:val="007A52F2"/>
    <w:rsid w:val="007A5334"/>
    <w:rsid w:val="007A57E3"/>
    <w:rsid w:val="007A5B17"/>
    <w:rsid w:val="007A5BA8"/>
    <w:rsid w:val="007A5D7B"/>
    <w:rsid w:val="007A61C3"/>
    <w:rsid w:val="007A64D7"/>
    <w:rsid w:val="007A674E"/>
    <w:rsid w:val="007A70F7"/>
    <w:rsid w:val="007A7657"/>
    <w:rsid w:val="007A7C50"/>
    <w:rsid w:val="007A7DBE"/>
    <w:rsid w:val="007B068A"/>
    <w:rsid w:val="007B0B70"/>
    <w:rsid w:val="007B0C58"/>
    <w:rsid w:val="007B13F2"/>
    <w:rsid w:val="007B1769"/>
    <w:rsid w:val="007B266E"/>
    <w:rsid w:val="007B3334"/>
    <w:rsid w:val="007B33DA"/>
    <w:rsid w:val="007B3ED9"/>
    <w:rsid w:val="007B4502"/>
    <w:rsid w:val="007B451E"/>
    <w:rsid w:val="007B4632"/>
    <w:rsid w:val="007B4C50"/>
    <w:rsid w:val="007B50CB"/>
    <w:rsid w:val="007B5367"/>
    <w:rsid w:val="007B5C57"/>
    <w:rsid w:val="007B5E06"/>
    <w:rsid w:val="007B6AF9"/>
    <w:rsid w:val="007B6B0E"/>
    <w:rsid w:val="007B6D21"/>
    <w:rsid w:val="007B71A1"/>
    <w:rsid w:val="007B7F86"/>
    <w:rsid w:val="007C05B8"/>
    <w:rsid w:val="007C0A38"/>
    <w:rsid w:val="007C0C47"/>
    <w:rsid w:val="007C1068"/>
    <w:rsid w:val="007C18B4"/>
    <w:rsid w:val="007C1943"/>
    <w:rsid w:val="007C25EB"/>
    <w:rsid w:val="007C34A7"/>
    <w:rsid w:val="007C3917"/>
    <w:rsid w:val="007C44DB"/>
    <w:rsid w:val="007C490E"/>
    <w:rsid w:val="007C4CDD"/>
    <w:rsid w:val="007C57B0"/>
    <w:rsid w:val="007C6086"/>
    <w:rsid w:val="007C6DE1"/>
    <w:rsid w:val="007C7756"/>
    <w:rsid w:val="007C7822"/>
    <w:rsid w:val="007C7AD4"/>
    <w:rsid w:val="007D0068"/>
    <w:rsid w:val="007D00AD"/>
    <w:rsid w:val="007D01D2"/>
    <w:rsid w:val="007D056B"/>
    <w:rsid w:val="007D1E7C"/>
    <w:rsid w:val="007D2ECA"/>
    <w:rsid w:val="007D3367"/>
    <w:rsid w:val="007D34C9"/>
    <w:rsid w:val="007D39FB"/>
    <w:rsid w:val="007D5114"/>
    <w:rsid w:val="007D515B"/>
    <w:rsid w:val="007D539B"/>
    <w:rsid w:val="007D53B8"/>
    <w:rsid w:val="007D71DC"/>
    <w:rsid w:val="007D792F"/>
    <w:rsid w:val="007D7BCD"/>
    <w:rsid w:val="007E020B"/>
    <w:rsid w:val="007E065A"/>
    <w:rsid w:val="007E0755"/>
    <w:rsid w:val="007E1C9F"/>
    <w:rsid w:val="007E227D"/>
    <w:rsid w:val="007E2460"/>
    <w:rsid w:val="007E297B"/>
    <w:rsid w:val="007E2E6C"/>
    <w:rsid w:val="007E34E6"/>
    <w:rsid w:val="007E3987"/>
    <w:rsid w:val="007E3DD8"/>
    <w:rsid w:val="007E4E10"/>
    <w:rsid w:val="007E5FC1"/>
    <w:rsid w:val="007E62EF"/>
    <w:rsid w:val="007E6598"/>
    <w:rsid w:val="007E67D6"/>
    <w:rsid w:val="007F025B"/>
    <w:rsid w:val="007F0565"/>
    <w:rsid w:val="007F0A50"/>
    <w:rsid w:val="007F154D"/>
    <w:rsid w:val="007F1A40"/>
    <w:rsid w:val="007F2270"/>
    <w:rsid w:val="007F2389"/>
    <w:rsid w:val="007F2BD4"/>
    <w:rsid w:val="007F3653"/>
    <w:rsid w:val="007F4468"/>
    <w:rsid w:val="007F44E7"/>
    <w:rsid w:val="007F478B"/>
    <w:rsid w:val="007F47E9"/>
    <w:rsid w:val="007F4AD2"/>
    <w:rsid w:val="007F4C45"/>
    <w:rsid w:val="007F5E9F"/>
    <w:rsid w:val="007F6749"/>
    <w:rsid w:val="007F692B"/>
    <w:rsid w:val="007F7262"/>
    <w:rsid w:val="007F7412"/>
    <w:rsid w:val="008003BC"/>
    <w:rsid w:val="008005D5"/>
    <w:rsid w:val="00800FA0"/>
    <w:rsid w:val="00801748"/>
    <w:rsid w:val="008026F6"/>
    <w:rsid w:val="00802FA4"/>
    <w:rsid w:val="0080411B"/>
    <w:rsid w:val="00804CCF"/>
    <w:rsid w:val="00805547"/>
    <w:rsid w:val="008058F6"/>
    <w:rsid w:val="00805D79"/>
    <w:rsid w:val="00806749"/>
    <w:rsid w:val="0080682B"/>
    <w:rsid w:val="008069D2"/>
    <w:rsid w:val="008069E1"/>
    <w:rsid w:val="008077D5"/>
    <w:rsid w:val="00807915"/>
    <w:rsid w:val="00807998"/>
    <w:rsid w:val="00807B8B"/>
    <w:rsid w:val="00811889"/>
    <w:rsid w:val="00811E53"/>
    <w:rsid w:val="008124CC"/>
    <w:rsid w:val="00813049"/>
    <w:rsid w:val="008142CB"/>
    <w:rsid w:val="008146F4"/>
    <w:rsid w:val="00814879"/>
    <w:rsid w:val="00814C7F"/>
    <w:rsid w:val="008155DA"/>
    <w:rsid w:val="00816316"/>
    <w:rsid w:val="00817474"/>
    <w:rsid w:val="0081759C"/>
    <w:rsid w:val="00817AF3"/>
    <w:rsid w:val="00817BFD"/>
    <w:rsid w:val="00817FFD"/>
    <w:rsid w:val="00820194"/>
    <w:rsid w:val="0082133F"/>
    <w:rsid w:val="0082174C"/>
    <w:rsid w:val="00821FA0"/>
    <w:rsid w:val="00822420"/>
    <w:rsid w:val="00822690"/>
    <w:rsid w:val="00822C97"/>
    <w:rsid w:val="00825380"/>
    <w:rsid w:val="00825AD1"/>
    <w:rsid w:val="00825D5F"/>
    <w:rsid w:val="00825D61"/>
    <w:rsid w:val="00826E4D"/>
    <w:rsid w:val="00826F29"/>
    <w:rsid w:val="00827275"/>
    <w:rsid w:val="0083013A"/>
    <w:rsid w:val="00830DD5"/>
    <w:rsid w:val="00830F15"/>
    <w:rsid w:val="00831152"/>
    <w:rsid w:val="00832073"/>
    <w:rsid w:val="008320DE"/>
    <w:rsid w:val="00832AC9"/>
    <w:rsid w:val="008337F2"/>
    <w:rsid w:val="00833D3C"/>
    <w:rsid w:val="00834C9B"/>
    <w:rsid w:val="00834FB6"/>
    <w:rsid w:val="00835502"/>
    <w:rsid w:val="0083707D"/>
    <w:rsid w:val="0083753A"/>
    <w:rsid w:val="008376E1"/>
    <w:rsid w:val="0084051A"/>
    <w:rsid w:val="00840636"/>
    <w:rsid w:val="008407C4"/>
    <w:rsid w:val="00840D97"/>
    <w:rsid w:val="00841024"/>
    <w:rsid w:val="008412BC"/>
    <w:rsid w:val="008417CD"/>
    <w:rsid w:val="0084213C"/>
    <w:rsid w:val="00842B0E"/>
    <w:rsid w:val="008430FE"/>
    <w:rsid w:val="00843437"/>
    <w:rsid w:val="00843972"/>
    <w:rsid w:val="00843A4C"/>
    <w:rsid w:val="00843D7E"/>
    <w:rsid w:val="00844D3C"/>
    <w:rsid w:val="00844E9F"/>
    <w:rsid w:val="00845441"/>
    <w:rsid w:val="00845A19"/>
    <w:rsid w:val="008464BE"/>
    <w:rsid w:val="0084675A"/>
    <w:rsid w:val="00847074"/>
    <w:rsid w:val="00847422"/>
    <w:rsid w:val="008503C9"/>
    <w:rsid w:val="0085094B"/>
    <w:rsid w:val="00851140"/>
    <w:rsid w:val="00851270"/>
    <w:rsid w:val="00851323"/>
    <w:rsid w:val="00851B54"/>
    <w:rsid w:val="00853203"/>
    <w:rsid w:val="00853727"/>
    <w:rsid w:val="008559A7"/>
    <w:rsid w:val="00855AAE"/>
    <w:rsid w:val="00855B7B"/>
    <w:rsid w:val="00857566"/>
    <w:rsid w:val="00857AD2"/>
    <w:rsid w:val="00857C6C"/>
    <w:rsid w:val="00857E42"/>
    <w:rsid w:val="00857F7E"/>
    <w:rsid w:val="00857FA5"/>
    <w:rsid w:val="00861294"/>
    <w:rsid w:val="008615C7"/>
    <w:rsid w:val="00861735"/>
    <w:rsid w:val="00861BB2"/>
    <w:rsid w:val="00862032"/>
    <w:rsid w:val="0086207F"/>
    <w:rsid w:val="00862D76"/>
    <w:rsid w:val="00865552"/>
    <w:rsid w:val="0086563B"/>
    <w:rsid w:val="00865912"/>
    <w:rsid w:val="00866440"/>
    <w:rsid w:val="008669F2"/>
    <w:rsid w:val="00866A1C"/>
    <w:rsid w:val="00867133"/>
    <w:rsid w:val="00867639"/>
    <w:rsid w:val="00867B93"/>
    <w:rsid w:val="00867BF9"/>
    <w:rsid w:val="00870BD6"/>
    <w:rsid w:val="00871B9D"/>
    <w:rsid w:val="00871D58"/>
    <w:rsid w:val="00872542"/>
    <w:rsid w:val="008735B9"/>
    <w:rsid w:val="00874931"/>
    <w:rsid w:val="0087499B"/>
    <w:rsid w:val="00874F0C"/>
    <w:rsid w:val="008753BC"/>
    <w:rsid w:val="00875784"/>
    <w:rsid w:val="00875B2A"/>
    <w:rsid w:val="008765F9"/>
    <w:rsid w:val="0087679B"/>
    <w:rsid w:val="00876F1F"/>
    <w:rsid w:val="00877EEC"/>
    <w:rsid w:val="008802C8"/>
    <w:rsid w:val="008804EC"/>
    <w:rsid w:val="008808FC"/>
    <w:rsid w:val="00880ACD"/>
    <w:rsid w:val="00880D2A"/>
    <w:rsid w:val="00880D7F"/>
    <w:rsid w:val="00882106"/>
    <w:rsid w:val="00882289"/>
    <w:rsid w:val="00882DFE"/>
    <w:rsid w:val="00883B66"/>
    <w:rsid w:val="00884DE1"/>
    <w:rsid w:val="00884E2C"/>
    <w:rsid w:val="00885658"/>
    <w:rsid w:val="00885704"/>
    <w:rsid w:val="0088595A"/>
    <w:rsid w:val="008865E4"/>
    <w:rsid w:val="0088689D"/>
    <w:rsid w:val="0088695F"/>
    <w:rsid w:val="0088707C"/>
    <w:rsid w:val="00890CC1"/>
    <w:rsid w:val="00891658"/>
    <w:rsid w:val="00892446"/>
    <w:rsid w:val="00894103"/>
    <w:rsid w:val="00894497"/>
    <w:rsid w:val="00895186"/>
    <w:rsid w:val="0089526B"/>
    <w:rsid w:val="00895616"/>
    <w:rsid w:val="0089589A"/>
    <w:rsid w:val="008965BA"/>
    <w:rsid w:val="00896E82"/>
    <w:rsid w:val="00897BC1"/>
    <w:rsid w:val="00897E62"/>
    <w:rsid w:val="008A0411"/>
    <w:rsid w:val="008A0EAE"/>
    <w:rsid w:val="008A1BA2"/>
    <w:rsid w:val="008A2259"/>
    <w:rsid w:val="008A265D"/>
    <w:rsid w:val="008A3632"/>
    <w:rsid w:val="008A3A3E"/>
    <w:rsid w:val="008A3F55"/>
    <w:rsid w:val="008A4739"/>
    <w:rsid w:val="008A49A1"/>
    <w:rsid w:val="008A57DB"/>
    <w:rsid w:val="008A612B"/>
    <w:rsid w:val="008A67AF"/>
    <w:rsid w:val="008A6BA6"/>
    <w:rsid w:val="008A6BAB"/>
    <w:rsid w:val="008A6D3C"/>
    <w:rsid w:val="008A6EB1"/>
    <w:rsid w:val="008A76F7"/>
    <w:rsid w:val="008A7921"/>
    <w:rsid w:val="008A7954"/>
    <w:rsid w:val="008B094A"/>
    <w:rsid w:val="008B0FEC"/>
    <w:rsid w:val="008B11C0"/>
    <w:rsid w:val="008B1B68"/>
    <w:rsid w:val="008B1E15"/>
    <w:rsid w:val="008B1EE7"/>
    <w:rsid w:val="008B2836"/>
    <w:rsid w:val="008B2C8A"/>
    <w:rsid w:val="008B38E7"/>
    <w:rsid w:val="008B3BEB"/>
    <w:rsid w:val="008B51E2"/>
    <w:rsid w:val="008B542B"/>
    <w:rsid w:val="008B560D"/>
    <w:rsid w:val="008B5D7A"/>
    <w:rsid w:val="008B6793"/>
    <w:rsid w:val="008B6A93"/>
    <w:rsid w:val="008B7E47"/>
    <w:rsid w:val="008C01C1"/>
    <w:rsid w:val="008C1630"/>
    <w:rsid w:val="008C2F79"/>
    <w:rsid w:val="008C4956"/>
    <w:rsid w:val="008C4E9D"/>
    <w:rsid w:val="008C56C9"/>
    <w:rsid w:val="008C5AEC"/>
    <w:rsid w:val="008C6441"/>
    <w:rsid w:val="008C7774"/>
    <w:rsid w:val="008D0489"/>
    <w:rsid w:val="008D0A5B"/>
    <w:rsid w:val="008D0BE6"/>
    <w:rsid w:val="008D107A"/>
    <w:rsid w:val="008D149E"/>
    <w:rsid w:val="008D19EA"/>
    <w:rsid w:val="008D1B5D"/>
    <w:rsid w:val="008D1B64"/>
    <w:rsid w:val="008D1C84"/>
    <w:rsid w:val="008D1EE4"/>
    <w:rsid w:val="008D1F13"/>
    <w:rsid w:val="008D290D"/>
    <w:rsid w:val="008D2CDC"/>
    <w:rsid w:val="008D2F92"/>
    <w:rsid w:val="008D4301"/>
    <w:rsid w:val="008D5212"/>
    <w:rsid w:val="008D549B"/>
    <w:rsid w:val="008D63FE"/>
    <w:rsid w:val="008D641B"/>
    <w:rsid w:val="008D6BA5"/>
    <w:rsid w:val="008D6E27"/>
    <w:rsid w:val="008D713B"/>
    <w:rsid w:val="008D75F5"/>
    <w:rsid w:val="008E03C0"/>
    <w:rsid w:val="008E0A2F"/>
    <w:rsid w:val="008E14EE"/>
    <w:rsid w:val="008E1850"/>
    <w:rsid w:val="008E25E7"/>
    <w:rsid w:val="008E2A85"/>
    <w:rsid w:val="008E32C9"/>
    <w:rsid w:val="008E3EB0"/>
    <w:rsid w:val="008E54F2"/>
    <w:rsid w:val="008E6912"/>
    <w:rsid w:val="008F0268"/>
    <w:rsid w:val="008F060C"/>
    <w:rsid w:val="008F0C9D"/>
    <w:rsid w:val="008F1507"/>
    <w:rsid w:val="008F21E3"/>
    <w:rsid w:val="008F21F1"/>
    <w:rsid w:val="008F235D"/>
    <w:rsid w:val="008F3057"/>
    <w:rsid w:val="008F32BC"/>
    <w:rsid w:val="008F35BC"/>
    <w:rsid w:val="008F36B3"/>
    <w:rsid w:val="008F3794"/>
    <w:rsid w:val="008F4048"/>
    <w:rsid w:val="008F450D"/>
    <w:rsid w:val="008F4580"/>
    <w:rsid w:val="008F4598"/>
    <w:rsid w:val="008F4684"/>
    <w:rsid w:val="008F5151"/>
    <w:rsid w:val="008F51B5"/>
    <w:rsid w:val="008F58EE"/>
    <w:rsid w:val="008F5C8C"/>
    <w:rsid w:val="008F6F83"/>
    <w:rsid w:val="008F746F"/>
    <w:rsid w:val="008F7CA7"/>
    <w:rsid w:val="00900E02"/>
    <w:rsid w:val="00900E53"/>
    <w:rsid w:val="009021D1"/>
    <w:rsid w:val="0090258E"/>
    <w:rsid w:val="00902F5F"/>
    <w:rsid w:val="00903765"/>
    <w:rsid w:val="00903E16"/>
    <w:rsid w:val="0090433B"/>
    <w:rsid w:val="00904CB1"/>
    <w:rsid w:val="00904FB6"/>
    <w:rsid w:val="009058C9"/>
    <w:rsid w:val="00905A85"/>
    <w:rsid w:val="00906503"/>
    <w:rsid w:val="00906924"/>
    <w:rsid w:val="00906B5B"/>
    <w:rsid w:val="0090769D"/>
    <w:rsid w:val="00911259"/>
    <w:rsid w:val="009113FA"/>
    <w:rsid w:val="00912555"/>
    <w:rsid w:val="00912761"/>
    <w:rsid w:val="00912FA7"/>
    <w:rsid w:val="00913347"/>
    <w:rsid w:val="00913923"/>
    <w:rsid w:val="00915924"/>
    <w:rsid w:val="00915D45"/>
    <w:rsid w:val="00916975"/>
    <w:rsid w:val="00917118"/>
    <w:rsid w:val="00917E44"/>
    <w:rsid w:val="00920007"/>
    <w:rsid w:val="00921AFF"/>
    <w:rsid w:val="00923298"/>
    <w:rsid w:val="0092369F"/>
    <w:rsid w:val="00923886"/>
    <w:rsid w:val="00923C00"/>
    <w:rsid w:val="00924C52"/>
    <w:rsid w:val="00924D95"/>
    <w:rsid w:val="009253E6"/>
    <w:rsid w:val="00925F35"/>
    <w:rsid w:val="00926008"/>
    <w:rsid w:val="009263ED"/>
    <w:rsid w:val="009264BF"/>
    <w:rsid w:val="00926944"/>
    <w:rsid w:val="00926C1A"/>
    <w:rsid w:val="00926D4E"/>
    <w:rsid w:val="00930790"/>
    <w:rsid w:val="00930AE4"/>
    <w:rsid w:val="00931029"/>
    <w:rsid w:val="0093222B"/>
    <w:rsid w:val="0093226A"/>
    <w:rsid w:val="0093289D"/>
    <w:rsid w:val="00932AF2"/>
    <w:rsid w:val="00932FE9"/>
    <w:rsid w:val="00933996"/>
    <w:rsid w:val="00934990"/>
    <w:rsid w:val="009349EE"/>
    <w:rsid w:val="00934E42"/>
    <w:rsid w:val="00935009"/>
    <w:rsid w:val="009355F1"/>
    <w:rsid w:val="00936000"/>
    <w:rsid w:val="00936C34"/>
    <w:rsid w:val="0093703B"/>
    <w:rsid w:val="00937370"/>
    <w:rsid w:val="00937D49"/>
    <w:rsid w:val="009407DB"/>
    <w:rsid w:val="00940AA5"/>
    <w:rsid w:val="00940EE1"/>
    <w:rsid w:val="00943A3A"/>
    <w:rsid w:val="00943D16"/>
    <w:rsid w:val="00944045"/>
    <w:rsid w:val="009440DF"/>
    <w:rsid w:val="00944AA9"/>
    <w:rsid w:val="00945655"/>
    <w:rsid w:val="00945FB7"/>
    <w:rsid w:val="0094621F"/>
    <w:rsid w:val="00946DF2"/>
    <w:rsid w:val="0094783E"/>
    <w:rsid w:val="00950C25"/>
    <w:rsid w:val="00950C3C"/>
    <w:rsid w:val="00951313"/>
    <w:rsid w:val="009518CA"/>
    <w:rsid w:val="00951FE8"/>
    <w:rsid w:val="00952306"/>
    <w:rsid w:val="009536F5"/>
    <w:rsid w:val="00953788"/>
    <w:rsid w:val="00953A50"/>
    <w:rsid w:val="00954625"/>
    <w:rsid w:val="00955035"/>
    <w:rsid w:val="0095557D"/>
    <w:rsid w:val="00956BF1"/>
    <w:rsid w:val="0095747D"/>
    <w:rsid w:val="00960534"/>
    <w:rsid w:val="00960671"/>
    <w:rsid w:val="00961BF6"/>
    <w:rsid w:val="00962BD2"/>
    <w:rsid w:val="009631B5"/>
    <w:rsid w:val="00963EEB"/>
    <w:rsid w:val="009644C6"/>
    <w:rsid w:val="00964547"/>
    <w:rsid w:val="00964CF2"/>
    <w:rsid w:val="00964DD6"/>
    <w:rsid w:val="0096771F"/>
    <w:rsid w:val="00967F52"/>
    <w:rsid w:val="00967FC1"/>
    <w:rsid w:val="0097252E"/>
    <w:rsid w:val="00972CF6"/>
    <w:rsid w:val="009739CC"/>
    <w:rsid w:val="00974F3B"/>
    <w:rsid w:val="009767E3"/>
    <w:rsid w:val="009776BA"/>
    <w:rsid w:val="00977FE9"/>
    <w:rsid w:val="00980266"/>
    <w:rsid w:val="00980463"/>
    <w:rsid w:val="00981F06"/>
    <w:rsid w:val="00982754"/>
    <w:rsid w:val="00982B6E"/>
    <w:rsid w:val="00982CF0"/>
    <w:rsid w:val="00982EEC"/>
    <w:rsid w:val="009832B8"/>
    <w:rsid w:val="009849B0"/>
    <w:rsid w:val="00984B20"/>
    <w:rsid w:val="00984D7E"/>
    <w:rsid w:val="009851FA"/>
    <w:rsid w:val="00985550"/>
    <w:rsid w:val="00985A90"/>
    <w:rsid w:val="009870E7"/>
    <w:rsid w:val="00987124"/>
    <w:rsid w:val="00987575"/>
    <w:rsid w:val="0098784D"/>
    <w:rsid w:val="00987B2D"/>
    <w:rsid w:val="00987D6C"/>
    <w:rsid w:val="009900F5"/>
    <w:rsid w:val="00990F69"/>
    <w:rsid w:val="0099147E"/>
    <w:rsid w:val="00991AEB"/>
    <w:rsid w:val="009920A1"/>
    <w:rsid w:val="009941DE"/>
    <w:rsid w:val="00994A57"/>
    <w:rsid w:val="009954CB"/>
    <w:rsid w:val="009955DB"/>
    <w:rsid w:val="00996D2C"/>
    <w:rsid w:val="00996FDA"/>
    <w:rsid w:val="00997E57"/>
    <w:rsid w:val="009A1573"/>
    <w:rsid w:val="009A4198"/>
    <w:rsid w:val="009A4A3E"/>
    <w:rsid w:val="009A55FB"/>
    <w:rsid w:val="009A5ACC"/>
    <w:rsid w:val="009A6C1A"/>
    <w:rsid w:val="009A6D13"/>
    <w:rsid w:val="009A7B2A"/>
    <w:rsid w:val="009A7C0E"/>
    <w:rsid w:val="009A7E6D"/>
    <w:rsid w:val="009B00C7"/>
    <w:rsid w:val="009B0DF7"/>
    <w:rsid w:val="009B15F1"/>
    <w:rsid w:val="009B188A"/>
    <w:rsid w:val="009B2522"/>
    <w:rsid w:val="009B3517"/>
    <w:rsid w:val="009B39C1"/>
    <w:rsid w:val="009B406A"/>
    <w:rsid w:val="009B40C8"/>
    <w:rsid w:val="009B4859"/>
    <w:rsid w:val="009B51CE"/>
    <w:rsid w:val="009B5A15"/>
    <w:rsid w:val="009B5A2C"/>
    <w:rsid w:val="009B5EA5"/>
    <w:rsid w:val="009B6B20"/>
    <w:rsid w:val="009B7C4B"/>
    <w:rsid w:val="009B7F3E"/>
    <w:rsid w:val="009C10F3"/>
    <w:rsid w:val="009C1CB0"/>
    <w:rsid w:val="009C2247"/>
    <w:rsid w:val="009C22FC"/>
    <w:rsid w:val="009C391C"/>
    <w:rsid w:val="009C3EB5"/>
    <w:rsid w:val="009C4217"/>
    <w:rsid w:val="009C46B7"/>
    <w:rsid w:val="009C49C5"/>
    <w:rsid w:val="009C49D4"/>
    <w:rsid w:val="009C674C"/>
    <w:rsid w:val="009C68D0"/>
    <w:rsid w:val="009C69D8"/>
    <w:rsid w:val="009C729F"/>
    <w:rsid w:val="009D03FC"/>
    <w:rsid w:val="009D18F4"/>
    <w:rsid w:val="009D1C8B"/>
    <w:rsid w:val="009D2EA1"/>
    <w:rsid w:val="009D3CF2"/>
    <w:rsid w:val="009D3D67"/>
    <w:rsid w:val="009D4553"/>
    <w:rsid w:val="009D5158"/>
    <w:rsid w:val="009D53E2"/>
    <w:rsid w:val="009D5B14"/>
    <w:rsid w:val="009D63EC"/>
    <w:rsid w:val="009D6D9F"/>
    <w:rsid w:val="009D6F6C"/>
    <w:rsid w:val="009D7BAA"/>
    <w:rsid w:val="009E0DDB"/>
    <w:rsid w:val="009E1550"/>
    <w:rsid w:val="009E1E11"/>
    <w:rsid w:val="009E2081"/>
    <w:rsid w:val="009E38C1"/>
    <w:rsid w:val="009E3D0E"/>
    <w:rsid w:val="009E3D55"/>
    <w:rsid w:val="009E42C5"/>
    <w:rsid w:val="009E451C"/>
    <w:rsid w:val="009E56AC"/>
    <w:rsid w:val="009E5F52"/>
    <w:rsid w:val="009E5FA3"/>
    <w:rsid w:val="009E7858"/>
    <w:rsid w:val="009F01F2"/>
    <w:rsid w:val="009F02EC"/>
    <w:rsid w:val="009F0896"/>
    <w:rsid w:val="009F0C8C"/>
    <w:rsid w:val="009F0CB3"/>
    <w:rsid w:val="009F1782"/>
    <w:rsid w:val="009F1B2C"/>
    <w:rsid w:val="009F1F79"/>
    <w:rsid w:val="009F2462"/>
    <w:rsid w:val="009F367E"/>
    <w:rsid w:val="009F38A7"/>
    <w:rsid w:val="009F3B5A"/>
    <w:rsid w:val="009F3E85"/>
    <w:rsid w:val="009F4216"/>
    <w:rsid w:val="009F4272"/>
    <w:rsid w:val="009F44D3"/>
    <w:rsid w:val="009F460A"/>
    <w:rsid w:val="009F4A55"/>
    <w:rsid w:val="009F4F0E"/>
    <w:rsid w:val="009F59CC"/>
    <w:rsid w:val="009F59DC"/>
    <w:rsid w:val="009F5A6D"/>
    <w:rsid w:val="009F6690"/>
    <w:rsid w:val="009F68EB"/>
    <w:rsid w:val="009F7DE3"/>
    <w:rsid w:val="00A00CF5"/>
    <w:rsid w:val="00A014CA"/>
    <w:rsid w:val="00A01E6D"/>
    <w:rsid w:val="00A021CE"/>
    <w:rsid w:val="00A0229B"/>
    <w:rsid w:val="00A02FBF"/>
    <w:rsid w:val="00A030CC"/>
    <w:rsid w:val="00A034B4"/>
    <w:rsid w:val="00A03F08"/>
    <w:rsid w:val="00A04AFD"/>
    <w:rsid w:val="00A04FB4"/>
    <w:rsid w:val="00A050B9"/>
    <w:rsid w:val="00A05133"/>
    <w:rsid w:val="00A05212"/>
    <w:rsid w:val="00A05D30"/>
    <w:rsid w:val="00A061D9"/>
    <w:rsid w:val="00A06255"/>
    <w:rsid w:val="00A0725C"/>
    <w:rsid w:val="00A076D4"/>
    <w:rsid w:val="00A10D34"/>
    <w:rsid w:val="00A10E9D"/>
    <w:rsid w:val="00A117FE"/>
    <w:rsid w:val="00A1184E"/>
    <w:rsid w:val="00A11D25"/>
    <w:rsid w:val="00A12D5C"/>
    <w:rsid w:val="00A132EC"/>
    <w:rsid w:val="00A13A42"/>
    <w:rsid w:val="00A140B3"/>
    <w:rsid w:val="00A142D0"/>
    <w:rsid w:val="00A158EB"/>
    <w:rsid w:val="00A15AEC"/>
    <w:rsid w:val="00A17244"/>
    <w:rsid w:val="00A174CB"/>
    <w:rsid w:val="00A205C7"/>
    <w:rsid w:val="00A20832"/>
    <w:rsid w:val="00A20837"/>
    <w:rsid w:val="00A20B21"/>
    <w:rsid w:val="00A21C09"/>
    <w:rsid w:val="00A21E51"/>
    <w:rsid w:val="00A22AEF"/>
    <w:rsid w:val="00A22B4A"/>
    <w:rsid w:val="00A24398"/>
    <w:rsid w:val="00A279D2"/>
    <w:rsid w:val="00A27D0F"/>
    <w:rsid w:val="00A27E84"/>
    <w:rsid w:val="00A31AF4"/>
    <w:rsid w:val="00A31D17"/>
    <w:rsid w:val="00A32111"/>
    <w:rsid w:val="00A32E34"/>
    <w:rsid w:val="00A34995"/>
    <w:rsid w:val="00A349F3"/>
    <w:rsid w:val="00A352B0"/>
    <w:rsid w:val="00A35AEB"/>
    <w:rsid w:val="00A36820"/>
    <w:rsid w:val="00A37A27"/>
    <w:rsid w:val="00A37A74"/>
    <w:rsid w:val="00A37E91"/>
    <w:rsid w:val="00A40000"/>
    <w:rsid w:val="00A403A0"/>
    <w:rsid w:val="00A40C29"/>
    <w:rsid w:val="00A40D8D"/>
    <w:rsid w:val="00A4110B"/>
    <w:rsid w:val="00A4261E"/>
    <w:rsid w:val="00A4273D"/>
    <w:rsid w:val="00A42837"/>
    <w:rsid w:val="00A42F44"/>
    <w:rsid w:val="00A43002"/>
    <w:rsid w:val="00A44107"/>
    <w:rsid w:val="00A44254"/>
    <w:rsid w:val="00A44472"/>
    <w:rsid w:val="00A448AE"/>
    <w:rsid w:val="00A449B2"/>
    <w:rsid w:val="00A452A4"/>
    <w:rsid w:val="00A45321"/>
    <w:rsid w:val="00A45755"/>
    <w:rsid w:val="00A458B9"/>
    <w:rsid w:val="00A45BFC"/>
    <w:rsid w:val="00A4606D"/>
    <w:rsid w:val="00A4648F"/>
    <w:rsid w:val="00A504A0"/>
    <w:rsid w:val="00A504A5"/>
    <w:rsid w:val="00A50926"/>
    <w:rsid w:val="00A51519"/>
    <w:rsid w:val="00A51850"/>
    <w:rsid w:val="00A53B4B"/>
    <w:rsid w:val="00A53CDB"/>
    <w:rsid w:val="00A54426"/>
    <w:rsid w:val="00A55521"/>
    <w:rsid w:val="00A55B4B"/>
    <w:rsid w:val="00A55C06"/>
    <w:rsid w:val="00A560BA"/>
    <w:rsid w:val="00A56255"/>
    <w:rsid w:val="00A567E3"/>
    <w:rsid w:val="00A575E3"/>
    <w:rsid w:val="00A5790A"/>
    <w:rsid w:val="00A57BAC"/>
    <w:rsid w:val="00A61034"/>
    <w:rsid w:val="00A61A34"/>
    <w:rsid w:val="00A61E7B"/>
    <w:rsid w:val="00A625E3"/>
    <w:rsid w:val="00A62C7A"/>
    <w:rsid w:val="00A63189"/>
    <w:rsid w:val="00A64249"/>
    <w:rsid w:val="00A64717"/>
    <w:rsid w:val="00A64ED0"/>
    <w:rsid w:val="00A6559E"/>
    <w:rsid w:val="00A65878"/>
    <w:rsid w:val="00A658E7"/>
    <w:rsid w:val="00A65981"/>
    <w:rsid w:val="00A65E9B"/>
    <w:rsid w:val="00A6779B"/>
    <w:rsid w:val="00A71079"/>
    <w:rsid w:val="00A71186"/>
    <w:rsid w:val="00A713E9"/>
    <w:rsid w:val="00A71C8B"/>
    <w:rsid w:val="00A7376F"/>
    <w:rsid w:val="00A73C95"/>
    <w:rsid w:val="00A73FF3"/>
    <w:rsid w:val="00A75415"/>
    <w:rsid w:val="00A75DA5"/>
    <w:rsid w:val="00A75E99"/>
    <w:rsid w:val="00A75F38"/>
    <w:rsid w:val="00A75F9B"/>
    <w:rsid w:val="00A76ECD"/>
    <w:rsid w:val="00A77673"/>
    <w:rsid w:val="00A77901"/>
    <w:rsid w:val="00A801A4"/>
    <w:rsid w:val="00A80CFC"/>
    <w:rsid w:val="00A80DAD"/>
    <w:rsid w:val="00A8192F"/>
    <w:rsid w:val="00A81A6D"/>
    <w:rsid w:val="00A81CA7"/>
    <w:rsid w:val="00A81E11"/>
    <w:rsid w:val="00A821EB"/>
    <w:rsid w:val="00A82383"/>
    <w:rsid w:val="00A82C29"/>
    <w:rsid w:val="00A8314D"/>
    <w:rsid w:val="00A836C7"/>
    <w:rsid w:val="00A847D4"/>
    <w:rsid w:val="00A84917"/>
    <w:rsid w:val="00A84B02"/>
    <w:rsid w:val="00A84CD0"/>
    <w:rsid w:val="00A84CF2"/>
    <w:rsid w:val="00A84DE1"/>
    <w:rsid w:val="00A84F0B"/>
    <w:rsid w:val="00A85836"/>
    <w:rsid w:val="00A85AD5"/>
    <w:rsid w:val="00A8785E"/>
    <w:rsid w:val="00A87DFD"/>
    <w:rsid w:val="00A87FC5"/>
    <w:rsid w:val="00A901F9"/>
    <w:rsid w:val="00A90B27"/>
    <w:rsid w:val="00A90E0B"/>
    <w:rsid w:val="00A9114A"/>
    <w:rsid w:val="00A916DC"/>
    <w:rsid w:val="00A919E1"/>
    <w:rsid w:val="00A92005"/>
    <w:rsid w:val="00A924D3"/>
    <w:rsid w:val="00A92E02"/>
    <w:rsid w:val="00A92E5F"/>
    <w:rsid w:val="00A93580"/>
    <w:rsid w:val="00A9442E"/>
    <w:rsid w:val="00A94AB4"/>
    <w:rsid w:val="00A94BC5"/>
    <w:rsid w:val="00A95C1B"/>
    <w:rsid w:val="00A95D6F"/>
    <w:rsid w:val="00A96BF3"/>
    <w:rsid w:val="00A97273"/>
    <w:rsid w:val="00A972F3"/>
    <w:rsid w:val="00A97596"/>
    <w:rsid w:val="00A97601"/>
    <w:rsid w:val="00A97E57"/>
    <w:rsid w:val="00AA0B4B"/>
    <w:rsid w:val="00AA0C83"/>
    <w:rsid w:val="00AA197E"/>
    <w:rsid w:val="00AA2F40"/>
    <w:rsid w:val="00AA3370"/>
    <w:rsid w:val="00AA367D"/>
    <w:rsid w:val="00AA389A"/>
    <w:rsid w:val="00AA3B32"/>
    <w:rsid w:val="00AA3BB9"/>
    <w:rsid w:val="00AA3DB3"/>
    <w:rsid w:val="00AA3E64"/>
    <w:rsid w:val="00AA3E80"/>
    <w:rsid w:val="00AA4410"/>
    <w:rsid w:val="00AA45BA"/>
    <w:rsid w:val="00AA4BEE"/>
    <w:rsid w:val="00AA4C6D"/>
    <w:rsid w:val="00AA515E"/>
    <w:rsid w:val="00AA72A6"/>
    <w:rsid w:val="00AA7AE3"/>
    <w:rsid w:val="00AA7F5F"/>
    <w:rsid w:val="00AB04F6"/>
    <w:rsid w:val="00AB0842"/>
    <w:rsid w:val="00AB3E92"/>
    <w:rsid w:val="00AB4839"/>
    <w:rsid w:val="00AB4CF7"/>
    <w:rsid w:val="00AB4F61"/>
    <w:rsid w:val="00AB5DCD"/>
    <w:rsid w:val="00AB6E02"/>
    <w:rsid w:val="00AB7E09"/>
    <w:rsid w:val="00AC05D9"/>
    <w:rsid w:val="00AC1395"/>
    <w:rsid w:val="00AC1A51"/>
    <w:rsid w:val="00AC208A"/>
    <w:rsid w:val="00AC225A"/>
    <w:rsid w:val="00AC2635"/>
    <w:rsid w:val="00AC319F"/>
    <w:rsid w:val="00AC4358"/>
    <w:rsid w:val="00AC658B"/>
    <w:rsid w:val="00AC67ED"/>
    <w:rsid w:val="00AC6E5C"/>
    <w:rsid w:val="00AC760B"/>
    <w:rsid w:val="00AC7BA9"/>
    <w:rsid w:val="00AC7C56"/>
    <w:rsid w:val="00AC7FD5"/>
    <w:rsid w:val="00AD023A"/>
    <w:rsid w:val="00AD0476"/>
    <w:rsid w:val="00AD04AB"/>
    <w:rsid w:val="00AD0F3E"/>
    <w:rsid w:val="00AD0FA2"/>
    <w:rsid w:val="00AD304C"/>
    <w:rsid w:val="00AD341C"/>
    <w:rsid w:val="00AD5A3C"/>
    <w:rsid w:val="00AD5E43"/>
    <w:rsid w:val="00AD601A"/>
    <w:rsid w:val="00AD6463"/>
    <w:rsid w:val="00AD651E"/>
    <w:rsid w:val="00AD6C0F"/>
    <w:rsid w:val="00AD7B25"/>
    <w:rsid w:val="00AD7BA9"/>
    <w:rsid w:val="00AD7DC3"/>
    <w:rsid w:val="00AE0206"/>
    <w:rsid w:val="00AE09F9"/>
    <w:rsid w:val="00AE148E"/>
    <w:rsid w:val="00AE1C45"/>
    <w:rsid w:val="00AE1C5E"/>
    <w:rsid w:val="00AE1D50"/>
    <w:rsid w:val="00AE2118"/>
    <w:rsid w:val="00AE24FA"/>
    <w:rsid w:val="00AE253F"/>
    <w:rsid w:val="00AE29E4"/>
    <w:rsid w:val="00AE2D07"/>
    <w:rsid w:val="00AE2EEA"/>
    <w:rsid w:val="00AE320B"/>
    <w:rsid w:val="00AE52AE"/>
    <w:rsid w:val="00AE5F86"/>
    <w:rsid w:val="00AE69C3"/>
    <w:rsid w:val="00AF08FB"/>
    <w:rsid w:val="00AF09D6"/>
    <w:rsid w:val="00AF1AF1"/>
    <w:rsid w:val="00AF2C29"/>
    <w:rsid w:val="00AF2CC5"/>
    <w:rsid w:val="00AF3127"/>
    <w:rsid w:val="00AF3171"/>
    <w:rsid w:val="00AF4555"/>
    <w:rsid w:val="00AF45C5"/>
    <w:rsid w:val="00AF50EA"/>
    <w:rsid w:val="00AF5875"/>
    <w:rsid w:val="00AF5A3B"/>
    <w:rsid w:val="00AF5F59"/>
    <w:rsid w:val="00AF6785"/>
    <w:rsid w:val="00B00580"/>
    <w:rsid w:val="00B009BE"/>
    <w:rsid w:val="00B00A43"/>
    <w:rsid w:val="00B00E28"/>
    <w:rsid w:val="00B010F3"/>
    <w:rsid w:val="00B02390"/>
    <w:rsid w:val="00B02560"/>
    <w:rsid w:val="00B02679"/>
    <w:rsid w:val="00B02D40"/>
    <w:rsid w:val="00B03452"/>
    <w:rsid w:val="00B03A24"/>
    <w:rsid w:val="00B042CF"/>
    <w:rsid w:val="00B04E20"/>
    <w:rsid w:val="00B04FEC"/>
    <w:rsid w:val="00B0538A"/>
    <w:rsid w:val="00B06295"/>
    <w:rsid w:val="00B0664B"/>
    <w:rsid w:val="00B0698E"/>
    <w:rsid w:val="00B069A3"/>
    <w:rsid w:val="00B069FE"/>
    <w:rsid w:val="00B071BE"/>
    <w:rsid w:val="00B07930"/>
    <w:rsid w:val="00B10162"/>
    <w:rsid w:val="00B10E22"/>
    <w:rsid w:val="00B11A0C"/>
    <w:rsid w:val="00B11F2C"/>
    <w:rsid w:val="00B12BE0"/>
    <w:rsid w:val="00B13E8D"/>
    <w:rsid w:val="00B14437"/>
    <w:rsid w:val="00B15C39"/>
    <w:rsid w:val="00B16478"/>
    <w:rsid w:val="00B16797"/>
    <w:rsid w:val="00B16DAF"/>
    <w:rsid w:val="00B16DD4"/>
    <w:rsid w:val="00B16DF1"/>
    <w:rsid w:val="00B20D64"/>
    <w:rsid w:val="00B20DDF"/>
    <w:rsid w:val="00B21487"/>
    <w:rsid w:val="00B216A7"/>
    <w:rsid w:val="00B216F1"/>
    <w:rsid w:val="00B22260"/>
    <w:rsid w:val="00B22563"/>
    <w:rsid w:val="00B22938"/>
    <w:rsid w:val="00B23E3C"/>
    <w:rsid w:val="00B24B07"/>
    <w:rsid w:val="00B254A6"/>
    <w:rsid w:val="00B25A39"/>
    <w:rsid w:val="00B26BFF"/>
    <w:rsid w:val="00B26DDA"/>
    <w:rsid w:val="00B2714B"/>
    <w:rsid w:val="00B277E4"/>
    <w:rsid w:val="00B306F6"/>
    <w:rsid w:val="00B3151E"/>
    <w:rsid w:val="00B31854"/>
    <w:rsid w:val="00B3320E"/>
    <w:rsid w:val="00B332D5"/>
    <w:rsid w:val="00B33945"/>
    <w:rsid w:val="00B33B45"/>
    <w:rsid w:val="00B33E02"/>
    <w:rsid w:val="00B350CD"/>
    <w:rsid w:val="00B351FB"/>
    <w:rsid w:val="00B40E67"/>
    <w:rsid w:val="00B411B0"/>
    <w:rsid w:val="00B42284"/>
    <w:rsid w:val="00B42D41"/>
    <w:rsid w:val="00B43070"/>
    <w:rsid w:val="00B43901"/>
    <w:rsid w:val="00B4426D"/>
    <w:rsid w:val="00B4436F"/>
    <w:rsid w:val="00B44432"/>
    <w:rsid w:val="00B44462"/>
    <w:rsid w:val="00B4498A"/>
    <w:rsid w:val="00B4531B"/>
    <w:rsid w:val="00B45489"/>
    <w:rsid w:val="00B45D1C"/>
    <w:rsid w:val="00B46CAC"/>
    <w:rsid w:val="00B4700B"/>
    <w:rsid w:val="00B4760C"/>
    <w:rsid w:val="00B47762"/>
    <w:rsid w:val="00B5025E"/>
    <w:rsid w:val="00B50CD7"/>
    <w:rsid w:val="00B51566"/>
    <w:rsid w:val="00B51CD6"/>
    <w:rsid w:val="00B52AC9"/>
    <w:rsid w:val="00B52E7F"/>
    <w:rsid w:val="00B5412F"/>
    <w:rsid w:val="00B54769"/>
    <w:rsid w:val="00B54C67"/>
    <w:rsid w:val="00B54E17"/>
    <w:rsid w:val="00B55601"/>
    <w:rsid w:val="00B5573F"/>
    <w:rsid w:val="00B5591F"/>
    <w:rsid w:val="00B55A81"/>
    <w:rsid w:val="00B55CE0"/>
    <w:rsid w:val="00B567BB"/>
    <w:rsid w:val="00B56F86"/>
    <w:rsid w:val="00B57ACC"/>
    <w:rsid w:val="00B57AF0"/>
    <w:rsid w:val="00B60868"/>
    <w:rsid w:val="00B61698"/>
    <w:rsid w:val="00B61A9B"/>
    <w:rsid w:val="00B62033"/>
    <w:rsid w:val="00B629E1"/>
    <w:rsid w:val="00B62D1B"/>
    <w:rsid w:val="00B62FDA"/>
    <w:rsid w:val="00B644C4"/>
    <w:rsid w:val="00B64BAF"/>
    <w:rsid w:val="00B6598A"/>
    <w:rsid w:val="00B659A7"/>
    <w:rsid w:val="00B6693C"/>
    <w:rsid w:val="00B66DB4"/>
    <w:rsid w:val="00B66F66"/>
    <w:rsid w:val="00B67318"/>
    <w:rsid w:val="00B674A7"/>
    <w:rsid w:val="00B7067C"/>
    <w:rsid w:val="00B707EC"/>
    <w:rsid w:val="00B70842"/>
    <w:rsid w:val="00B7197A"/>
    <w:rsid w:val="00B71FAC"/>
    <w:rsid w:val="00B721AD"/>
    <w:rsid w:val="00B72633"/>
    <w:rsid w:val="00B73DFD"/>
    <w:rsid w:val="00B74BCA"/>
    <w:rsid w:val="00B76782"/>
    <w:rsid w:val="00B76976"/>
    <w:rsid w:val="00B80FD7"/>
    <w:rsid w:val="00B8201E"/>
    <w:rsid w:val="00B826A1"/>
    <w:rsid w:val="00B83A4D"/>
    <w:rsid w:val="00B843CF"/>
    <w:rsid w:val="00B84BAF"/>
    <w:rsid w:val="00B854CC"/>
    <w:rsid w:val="00B857B4"/>
    <w:rsid w:val="00B85B63"/>
    <w:rsid w:val="00B8637A"/>
    <w:rsid w:val="00B87848"/>
    <w:rsid w:val="00B8791B"/>
    <w:rsid w:val="00B90F57"/>
    <w:rsid w:val="00B91A3B"/>
    <w:rsid w:val="00B91DBA"/>
    <w:rsid w:val="00B92E27"/>
    <w:rsid w:val="00B93168"/>
    <w:rsid w:val="00B938C9"/>
    <w:rsid w:val="00B942DB"/>
    <w:rsid w:val="00B94392"/>
    <w:rsid w:val="00B94F4E"/>
    <w:rsid w:val="00B95590"/>
    <w:rsid w:val="00B95D21"/>
    <w:rsid w:val="00B965B7"/>
    <w:rsid w:val="00B9674B"/>
    <w:rsid w:val="00B96B34"/>
    <w:rsid w:val="00B96FEF"/>
    <w:rsid w:val="00B9704F"/>
    <w:rsid w:val="00B9715A"/>
    <w:rsid w:val="00B97635"/>
    <w:rsid w:val="00B97DDE"/>
    <w:rsid w:val="00B97F56"/>
    <w:rsid w:val="00BA0E0C"/>
    <w:rsid w:val="00BA0FC2"/>
    <w:rsid w:val="00BA1299"/>
    <w:rsid w:val="00BA2407"/>
    <w:rsid w:val="00BA2D1F"/>
    <w:rsid w:val="00BA2E2E"/>
    <w:rsid w:val="00BA321C"/>
    <w:rsid w:val="00BA3C88"/>
    <w:rsid w:val="00BA3CE8"/>
    <w:rsid w:val="00BA421E"/>
    <w:rsid w:val="00BA4387"/>
    <w:rsid w:val="00BA4407"/>
    <w:rsid w:val="00BA4C33"/>
    <w:rsid w:val="00BA4EB9"/>
    <w:rsid w:val="00BA529C"/>
    <w:rsid w:val="00BA5478"/>
    <w:rsid w:val="00BA5983"/>
    <w:rsid w:val="00BA61E9"/>
    <w:rsid w:val="00BA7226"/>
    <w:rsid w:val="00BB0947"/>
    <w:rsid w:val="00BB0B1D"/>
    <w:rsid w:val="00BB0CBF"/>
    <w:rsid w:val="00BB13C9"/>
    <w:rsid w:val="00BB1899"/>
    <w:rsid w:val="00BB289C"/>
    <w:rsid w:val="00BB28B3"/>
    <w:rsid w:val="00BB2D3F"/>
    <w:rsid w:val="00BB3823"/>
    <w:rsid w:val="00BB3C14"/>
    <w:rsid w:val="00BB5AAD"/>
    <w:rsid w:val="00BB5FF8"/>
    <w:rsid w:val="00BB618D"/>
    <w:rsid w:val="00BB68E7"/>
    <w:rsid w:val="00BB7B26"/>
    <w:rsid w:val="00BB7C7D"/>
    <w:rsid w:val="00BB7D9E"/>
    <w:rsid w:val="00BC0571"/>
    <w:rsid w:val="00BC0914"/>
    <w:rsid w:val="00BC0FE1"/>
    <w:rsid w:val="00BC1CAB"/>
    <w:rsid w:val="00BC246C"/>
    <w:rsid w:val="00BC2DB7"/>
    <w:rsid w:val="00BC3485"/>
    <w:rsid w:val="00BC37B6"/>
    <w:rsid w:val="00BC436D"/>
    <w:rsid w:val="00BC46F9"/>
    <w:rsid w:val="00BC49F9"/>
    <w:rsid w:val="00BC5448"/>
    <w:rsid w:val="00BC5705"/>
    <w:rsid w:val="00BC5FDB"/>
    <w:rsid w:val="00BC6060"/>
    <w:rsid w:val="00BC6277"/>
    <w:rsid w:val="00BC657A"/>
    <w:rsid w:val="00BC6599"/>
    <w:rsid w:val="00BC66B9"/>
    <w:rsid w:val="00BC6713"/>
    <w:rsid w:val="00BC7173"/>
    <w:rsid w:val="00BD0054"/>
    <w:rsid w:val="00BD0311"/>
    <w:rsid w:val="00BD0405"/>
    <w:rsid w:val="00BD04FF"/>
    <w:rsid w:val="00BD074E"/>
    <w:rsid w:val="00BD08C0"/>
    <w:rsid w:val="00BD1DD2"/>
    <w:rsid w:val="00BD1F26"/>
    <w:rsid w:val="00BD2562"/>
    <w:rsid w:val="00BD2CB3"/>
    <w:rsid w:val="00BD2D34"/>
    <w:rsid w:val="00BD33DF"/>
    <w:rsid w:val="00BD37A6"/>
    <w:rsid w:val="00BD505C"/>
    <w:rsid w:val="00BD6BDE"/>
    <w:rsid w:val="00BD72AC"/>
    <w:rsid w:val="00BD7E31"/>
    <w:rsid w:val="00BE042D"/>
    <w:rsid w:val="00BE1474"/>
    <w:rsid w:val="00BE21AA"/>
    <w:rsid w:val="00BE2C47"/>
    <w:rsid w:val="00BE2FBF"/>
    <w:rsid w:val="00BE35E3"/>
    <w:rsid w:val="00BE37FE"/>
    <w:rsid w:val="00BE3880"/>
    <w:rsid w:val="00BE3891"/>
    <w:rsid w:val="00BE43C1"/>
    <w:rsid w:val="00BE477A"/>
    <w:rsid w:val="00BE478D"/>
    <w:rsid w:val="00BE71D2"/>
    <w:rsid w:val="00BE754C"/>
    <w:rsid w:val="00BE7770"/>
    <w:rsid w:val="00BF0948"/>
    <w:rsid w:val="00BF0BCE"/>
    <w:rsid w:val="00BF0CC0"/>
    <w:rsid w:val="00BF1699"/>
    <w:rsid w:val="00BF1D89"/>
    <w:rsid w:val="00BF32EA"/>
    <w:rsid w:val="00BF3320"/>
    <w:rsid w:val="00BF36BE"/>
    <w:rsid w:val="00BF4B31"/>
    <w:rsid w:val="00BF52BA"/>
    <w:rsid w:val="00BF5453"/>
    <w:rsid w:val="00BF5C36"/>
    <w:rsid w:val="00BF64EC"/>
    <w:rsid w:val="00BF6A28"/>
    <w:rsid w:val="00BF738A"/>
    <w:rsid w:val="00C00171"/>
    <w:rsid w:val="00C00522"/>
    <w:rsid w:val="00C00CDA"/>
    <w:rsid w:val="00C01152"/>
    <w:rsid w:val="00C02596"/>
    <w:rsid w:val="00C02935"/>
    <w:rsid w:val="00C032DB"/>
    <w:rsid w:val="00C03B9E"/>
    <w:rsid w:val="00C03BB1"/>
    <w:rsid w:val="00C04200"/>
    <w:rsid w:val="00C042DF"/>
    <w:rsid w:val="00C044D1"/>
    <w:rsid w:val="00C0659C"/>
    <w:rsid w:val="00C07122"/>
    <w:rsid w:val="00C078B9"/>
    <w:rsid w:val="00C101B4"/>
    <w:rsid w:val="00C107EC"/>
    <w:rsid w:val="00C109D6"/>
    <w:rsid w:val="00C11EEE"/>
    <w:rsid w:val="00C1287D"/>
    <w:rsid w:val="00C12BF5"/>
    <w:rsid w:val="00C138F5"/>
    <w:rsid w:val="00C13A48"/>
    <w:rsid w:val="00C14AB2"/>
    <w:rsid w:val="00C15F7D"/>
    <w:rsid w:val="00C16176"/>
    <w:rsid w:val="00C17283"/>
    <w:rsid w:val="00C1750C"/>
    <w:rsid w:val="00C17A5B"/>
    <w:rsid w:val="00C20CA9"/>
    <w:rsid w:val="00C216B3"/>
    <w:rsid w:val="00C21CED"/>
    <w:rsid w:val="00C22056"/>
    <w:rsid w:val="00C2253D"/>
    <w:rsid w:val="00C22AB1"/>
    <w:rsid w:val="00C232E1"/>
    <w:rsid w:val="00C234FD"/>
    <w:rsid w:val="00C23687"/>
    <w:rsid w:val="00C23F99"/>
    <w:rsid w:val="00C240A8"/>
    <w:rsid w:val="00C2414B"/>
    <w:rsid w:val="00C245D8"/>
    <w:rsid w:val="00C263B8"/>
    <w:rsid w:val="00C26487"/>
    <w:rsid w:val="00C26B98"/>
    <w:rsid w:val="00C277A8"/>
    <w:rsid w:val="00C3149E"/>
    <w:rsid w:val="00C31574"/>
    <w:rsid w:val="00C32676"/>
    <w:rsid w:val="00C3273D"/>
    <w:rsid w:val="00C330B9"/>
    <w:rsid w:val="00C335CA"/>
    <w:rsid w:val="00C34938"/>
    <w:rsid w:val="00C34DB7"/>
    <w:rsid w:val="00C35BBA"/>
    <w:rsid w:val="00C36DAC"/>
    <w:rsid w:val="00C37049"/>
    <w:rsid w:val="00C41372"/>
    <w:rsid w:val="00C460BE"/>
    <w:rsid w:val="00C4613F"/>
    <w:rsid w:val="00C46308"/>
    <w:rsid w:val="00C4663B"/>
    <w:rsid w:val="00C46CB2"/>
    <w:rsid w:val="00C4754C"/>
    <w:rsid w:val="00C47F02"/>
    <w:rsid w:val="00C50698"/>
    <w:rsid w:val="00C50D70"/>
    <w:rsid w:val="00C51693"/>
    <w:rsid w:val="00C516F1"/>
    <w:rsid w:val="00C524C3"/>
    <w:rsid w:val="00C5252D"/>
    <w:rsid w:val="00C52BA1"/>
    <w:rsid w:val="00C52BBA"/>
    <w:rsid w:val="00C533C8"/>
    <w:rsid w:val="00C53BE1"/>
    <w:rsid w:val="00C550D3"/>
    <w:rsid w:val="00C55CE9"/>
    <w:rsid w:val="00C55DD9"/>
    <w:rsid w:val="00C5655F"/>
    <w:rsid w:val="00C56D6A"/>
    <w:rsid w:val="00C570BE"/>
    <w:rsid w:val="00C57291"/>
    <w:rsid w:val="00C60055"/>
    <w:rsid w:val="00C616BC"/>
    <w:rsid w:val="00C61DB5"/>
    <w:rsid w:val="00C62587"/>
    <w:rsid w:val="00C63B12"/>
    <w:rsid w:val="00C63F95"/>
    <w:rsid w:val="00C6427B"/>
    <w:rsid w:val="00C64AC6"/>
    <w:rsid w:val="00C64D9D"/>
    <w:rsid w:val="00C6530F"/>
    <w:rsid w:val="00C65568"/>
    <w:rsid w:val="00C65667"/>
    <w:rsid w:val="00C6662E"/>
    <w:rsid w:val="00C67C30"/>
    <w:rsid w:val="00C67E15"/>
    <w:rsid w:val="00C67FDF"/>
    <w:rsid w:val="00C7016A"/>
    <w:rsid w:val="00C71659"/>
    <w:rsid w:val="00C71C73"/>
    <w:rsid w:val="00C71F42"/>
    <w:rsid w:val="00C7296D"/>
    <w:rsid w:val="00C72BE1"/>
    <w:rsid w:val="00C72F2D"/>
    <w:rsid w:val="00C73295"/>
    <w:rsid w:val="00C7338E"/>
    <w:rsid w:val="00C73539"/>
    <w:rsid w:val="00C73C90"/>
    <w:rsid w:val="00C74E62"/>
    <w:rsid w:val="00C752C0"/>
    <w:rsid w:val="00C7530D"/>
    <w:rsid w:val="00C757BA"/>
    <w:rsid w:val="00C75884"/>
    <w:rsid w:val="00C763A2"/>
    <w:rsid w:val="00C7657E"/>
    <w:rsid w:val="00C76D36"/>
    <w:rsid w:val="00C7729A"/>
    <w:rsid w:val="00C77B68"/>
    <w:rsid w:val="00C80162"/>
    <w:rsid w:val="00C80BB9"/>
    <w:rsid w:val="00C81B3A"/>
    <w:rsid w:val="00C822C3"/>
    <w:rsid w:val="00C82FC3"/>
    <w:rsid w:val="00C83104"/>
    <w:rsid w:val="00C83947"/>
    <w:rsid w:val="00C84011"/>
    <w:rsid w:val="00C845E5"/>
    <w:rsid w:val="00C84691"/>
    <w:rsid w:val="00C8586E"/>
    <w:rsid w:val="00C86201"/>
    <w:rsid w:val="00C8690C"/>
    <w:rsid w:val="00C9045E"/>
    <w:rsid w:val="00C90BC3"/>
    <w:rsid w:val="00C9123C"/>
    <w:rsid w:val="00C91706"/>
    <w:rsid w:val="00C95524"/>
    <w:rsid w:val="00C96965"/>
    <w:rsid w:val="00C96C57"/>
    <w:rsid w:val="00C972AD"/>
    <w:rsid w:val="00C978F7"/>
    <w:rsid w:val="00C9797F"/>
    <w:rsid w:val="00CA1465"/>
    <w:rsid w:val="00CA1A50"/>
    <w:rsid w:val="00CA227A"/>
    <w:rsid w:val="00CA2774"/>
    <w:rsid w:val="00CA27F7"/>
    <w:rsid w:val="00CA3073"/>
    <w:rsid w:val="00CA3151"/>
    <w:rsid w:val="00CA3563"/>
    <w:rsid w:val="00CA3587"/>
    <w:rsid w:val="00CA3E6F"/>
    <w:rsid w:val="00CA5434"/>
    <w:rsid w:val="00CA54D1"/>
    <w:rsid w:val="00CA55A6"/>
    <w:rsid w:val="00CA6100"/>
    <w:rsid w:val="00CA6594"/>
    <w:rsid w:val="00CA68AB"/>
    <w:rsid w:val="00CB0562"/>
    <w:rsid w:val="00CB09C8"/>
    <w:rsid w:val="00CB15CB"/>
    <w:rsid w:val="00CB1824"/>
    <w:rsid w:val="00CB1E90"/>
    <w:rsid w:val="00CB1EC4"/>
    <w:rsid w:val="00CB2A50"/>
    <w:rsid w:val="00CB3014"/>
    <w:rsid w:val="00CB36F1"/>
    <w:rsid w:val="00CB376F"/>
    <w:rsid w:val="00CB44E3"/>
    <w:rsid w:val="00CB5989"/>
    <w:rsid w:val="00CB5A13"/>
    <w:rsid w:val="00CB5A93"/>
    <w:rsid w:val="00CB6BA5"/>
    <w:rsid w:val="00CB79A8"/>
    <w:rsid w:val="00CC0200"/>
    <w:rsid w:val="00CC0A14"/>
    <w:rsid w:val="00CC0F0F"/>
    <w:rsid w:val="00CC2D23"/>
    <w:rsid w:val="00CC3248"/>
    <w:rsid w:val="00CC3EBB"/>
    <w:rsid w:val="00CC47A8"/>
    <w:rsid w:val="00CC4EE4"/>
    <w:rsid w:val="00CC57CD"/>
    <w:rsid w:val="00CC58C5"/>
    <w:rsid w:val="00CC5B0A"/>
    <w:rsid w:val="00CC5F44"/>
    <w:rsid w:val="00CC6214"/>
    <w:rsid w:val="00CC6B65"/>
    <w:rsid w:val="00CC7C9B"/>
    <w:rsid w:val="00CD041D"/>
    <w:rsid w:val="00CD091C"/>
    <w:rsid w:val="00CD0D30"/>
    <w:rsid w:val="00CD1727"/>
    <w:rsid w:val="00CD2808"/>
    <w:rsid w:val="00CD3219"/>
    <w:rsid w:val="00CD338A"/>
    <w:rsid w:val="00CD3776"/>
    <w:rsid w:val="00CD446A"/>
    <w:rsid w:val="00CD4F29"/>
    <w:rsid w:val="00CD58AA"/>
    <w:rsid w:val="00CD627A"/>
    <w:rsid w:val="00CD7171"/>
    <w:rsid w:val="00CE09C1"/>
    <w:rsid w:val="00CE0CBA"/>
    <w:rsid w:val="00CE1192"/>
    <w:rsid w:val="00CE11CF"/>
    <w:rsid w:val="00CE1426"/>
    <w:rsid w:val="00CE1436"/>
    <w:rsid w:val="00CE162B"/>
    <w:rsid w:val="00CE2127"/>
    <w:rsid w:val="00CE2E05"/>
    <w:rsid w:val="00CE2E96"/>
    <w:rsid w:val="00CE3176"/>
    <w:rsid w:val="00CE3DEA"/>
    <w:rsid w:val="00CE3E4C"/>
    <w:rsid w:val="00CE3FCC"/>
    <w:rsid w:val="00CE410A"/>
    <w:rsid w:val="00CE41E8"/>
    <w:rsid w:val="00CE4F61"/>
    <w:rsid w:val="00CE58C4"/>
    <w:rsid w:val="00CE5BB9"/>
    <w:rsid w:val="00CE6229"/>
    <w:rsid w:val="00CE656C"/>
    <w:rsid w:val="00CE6AED"/>
    <w:rsid w:val="00CE6FC5"/>
    <w:rsid w:val="00CE77EE"/>
    <w:rsid w:val="00CE7823"/>
    <w:rsid w:val="00CE7B88"/>
    <w:rsid w:val="00CE7C45"/>
    <w:rsid w:val="00CE7D49"/>
    <w:rsid w:val="00CF00B1"/>
    <w:rsid w:val="00CF07F4"/>
    <w:rsid w:val="00CF0A23"/>
    <w:rsid w:val="00CF157C"/>
    <w:rsid w:val="00CF1699"/>
    <w:rsid w:val="00CF1C41"/>
    <w:rsid w:val="00CF20CA"/>
    <w:rsid w:val="00CF21E8"/>
    <w:rsid w:val="00CF22B5"/>
    <w:rsid w:val="00CF22C3"/>
    <w:rsid w:val="00CF237B"/>
    <w:rsid w:val="00CF2756"/>
    <w:rsid w:val="00CF32E9"/>
    <w:rsid w:val="00CF389F"/>
    <w:rsid w:val="00CF47C8"/>
    <w:rsid w:val="00CF520A"/>
    <w:rsid w:val="00CF5238"/>
    <w:rsid w:val="00CF5566"/>
    <w:rsid w:val="00CF586E"/>
    <w:rsid w:val="00CF78B2"/>
    <w:rsid w:val="00CF7B30"/>
    <w:rsid w:val="00D00296"/>
    <w:rsid w:val="00D006D3"/>
    <w:rsid w:val="00D00BAB"/>
    <w:rsid w:val="00D00FE7"/>
    <w:rsid w:val="00D01000"/>
    <w:rsid w:val="00D02311"/>
    <w:rsid w:val="00D02644"/>
    <w:rsid w:val="00D02F3E"/>
    <w:rsid w:val="00D0309C"/>
    <w:rsid w:val="00D0349C"/>
    <w:rsid w:val="00D03DE5"/>
    <w:rsid w:val="00D040E3"/>
    <w:rsid w:val="00D04357"/>
    <w:rsid w:val="00D04FA4"/>
    <w:rsid w:val="00D05C13"/>
    <w:rsid w:val="00D05E8B"/>
    <w:rsid w:val="00D06E87"/>
    <w:rsid w:val="00D07E31"/>
    <w:rsid w:val="00D10F3D"/>
    <w:rsid w:val="00D116BB"/>
    <w:rsid w:val="00D117BE"/>
    <w:rsid w:val="00D12638"/>
    <w:rsid w:val="00D128FE"/>
    <w:rsid w:val="00D1349F"/>
    <w:rsid w:val="00D14B77"/>
    <w:rsid w:val="00D14F9D"/>
    <w:rsid w:val="00D154EB"/>
    <w:rsid w:val="00D15CA9"/>
    <w:rsid w:val="00D161AC"/>
    <w:rsid w:val="00D16207"/>
    <w:rsid w:val="00D16E5F"/>
    <w:rsid w:val="00D17D45"/>
    <w:rsid w:val="00D21883"/>
    <w:rsid w:val="00D21958"/>
    <w:rsid w:val="00D23113"/>
    <w:rsid w:val="00D234C3"/>
    <w:rsid w:val="00D237D2"/>
    <w:rsid w:val="00D241F8"/>
    <w:rsid w:val="00D24E06"/>
    <w:rsid w:val="00D259CD"/>
    <w:rsid w:val="00D265AD"/>
    <w:rsid w:val="00D2679B"/>
    <w:rsid w:val="00D26F65"/>
    <w:rsid w:val="00D26FC4"/>
    <w:rsid w:val="00D275F3"/>
    <w:rsid w:val="00D3003D"/>
    <w:rsid w:val="00D30A9B"/>
    <w:rsid w:val="00D311FC"/>
    <w:rsid w:val="00D3175B"/>
    <w:rsid w:val="00D321B6"/>
    <w:rsid w:val="00D32B3A"/>
    <w:rsid w:val="00D339CE"/>
    <w:rsid w:val="00D34864"/>
    <w:rsid w:val="00D35126"/>
    <w:rsid w:val="00D3563F"/>
    <w:rsid w:val="00D36477"/>
    <w:rsid w:val="00D3765B"/>
    <w:rsid w:val="00D37F84"/>
    <w:rsid w:val="00D40018"/>
    <w:rsid w:val="00D40204"/>
    <w:rsid w:val="00D402F7"/>
    <w:rsid w:val="00D40520"/>
    <w:rsid w:val="00D4240D"/>
    <w:rsid w:val="00D4243B"/>
    <w:rsid w:val="00D42572"/>
    <w:rsid w:val="00D4277C"/>
    <w:rsid w:val="00D43E9F"/>
    <w:rsid w:val="00D43F9C"/>
    <w:rsid w:val="00D43FC3"/>
    <w:rsid w:val="00D440E0"/>
    <w:rsid w:val="00D446F4"/>
    <w:rsid w:val="00D4485B"/>
    <w:rsid w:val="00D45334"/>
    <w:rsid w:val="00D45828"/>
    <w:rsid w:val="00D4597F"/>
    <w:rsid w:val="00D45ECE"/>
    <w:rsid w:val="00D46FA9"/>
    <w:rsid w:val="00D50640"/>
    <w:rsid w:val="00D51535"/>
    <w:rsid w:val="00D52B7A"/>
    <w:rsid w:val="00D5429F"/>
    <w:rsid w:val="00D55041"/>
    <w:rsid w:val="00D55F05"/>
    <w:rsid w:val="00D5711A"/>
    <w:rsid w:val="00D5761E"/>
    <w:rsid w:val="00D61510"/>
    <w:rsid w:val="00D61579"/>
    <w:rsid w:val="00D621CE"/>
    <w:rsid w:val="00D62CC5"/>
    <w:rsid w:val="00D63A6B"/>
    <w:rsid w:val="00D63B86"/>
    <w:rsid w:val="00D63C4C"/>
    <w:rsid w:val="00D63C5C"/>
    <w:rsid w:val="00D63F27"/>
    <w:rsid w:val="00D64076"/>
    <w:rsid w:val="00D643F7"/>
    <w:rsid w:val="00D65AE4"/>
    <w:rsid w:val="00D65CA8"/>
    <w:rsid w:val="00D66D0B"/>
    <w:rsid w:val="00D6744F"/>
    <w:rsid w:val="00D6790D"/>
    <w:rsid w:val="00D70AF7"/>
    <w:rsid w:val="00D71ADB"/>
    <w:rsid w:val="00D71D53"/>
    <w:rsid w:val="00D7206E"/>
    <w:rsid w:val="00D72368"/>
    <w:rsid w:val="00D72D46"/>
    <w:rsid w:val="00D73AFD"/>
    <w:rsid w:val="00D748D4"/>
    <w:rsid w:val="00D74E0E"/>
    <w:rsid w:val="00D75B5A"/>
    <w:rsid w:val="00D763DE"/>
    <w:rsid w:val="00D76BE7"/>
    <w:rsid w:val="00D76F9B"/>
    <w:rsid w:val="00D77110"/>
    <w:rsid w:val="00D77240"/>
    <w:rsid w:val="00D77DB7"/>
    <w:rsid w:val="00D80398"/>
    <w:rsid w:val="00D80E1E"/>
    <w:rsid w:val="00D80E60"/>
    <w:rsid w:val="00D81522"/>
    <w:rsid w:val="00D81923"/>
    <w:rsid w:val="00D81A94"/>
    <w:rsid w:val="00D81AED"/>
    <w:rsid w:val="00D81E6C"/>
    <w:rsid w:val="00D8211A"/>
    <w:rsid w:val="00D82569"/>
    <w:rsid w:val="00D8292F"/>
    <w:rsid w:val="00D82B7C"/>
    <w:rsid w:val="00D82FFC"/>
    <w:rsid w:val="00D839CB"/>
    <w:rsid w:val="00D83E90"/>
    <w:rsid w:val="00D840AA"/>
    <w:rsid w:val="00D84193"/>
    <w:rsid w:val="00D8530E"/>
    <w:rsid w:val="00D85D4B"/>
    <w:rsid w:val="00D85DBA"/>
    <w:rsid w:val="00D85E61"/>
    <w:rsid w:val="00D87E78"/>
    <w:rsid w:val="00D87FAC"/>
    <w:rsid w:val="00D90BF6"/>
    <w:rsid w:val="00D9136A"/>
    <w:rsid w:val="00D913AD"/>
    <w:rsid w:val="00D9166B"/>
    <w:rsid w:val="00D9175C"/>
    <w:rsid w:val="00D92D31"/>
    <w:rsid w:val="00D93671"/>
    <w:rsid w:val="00D93AAC"/>
    <w:rsid w:val="00D940B9"/>
    <w:rsid w:val="00D95AC3"/>
    <w:rsid w:val="00D95DD8"/>
    <w:rsid w:val="00D96CBB"/>
    <w:rsid w:val="00D96FC9"/>
    <w:rsid w:val="00D971C6"/>
    <w:rsid w:val="00D972A9"/>
    <w:rsid w:val="00DA031B"/>
    <w:rsid w:val="00DA0931"/>
    <w:rsid w:val="00DA0CD5"/>
    <w:rsid w:val="00DA1B6D"/>
    <w:rsid w:val="00DA1E39"/>
    <w:rsid w:val="00DA1F1E"/>
    <w:rsid w:val="00DA3281"/>
    <w:rsid w:val="00DA445F"/>
    <w:rsid w:val="00DA562D"/>
    <w:rsid w:val="00DA5633"/>
    <w:rsid w:val="00DA65F3"/>
    <w:rsid w:val="00DA6F46"/>
    <w:rsid w:val="00DA75CF"/>
    <w:rsid w:val="00DB0123"/>
    <w:rsid w:val="00DB05BA"/>
    <w:rsid w:val="00DB1515"/>
    <w:rsid w:val="00DB2B95"/>
    <w:rsid w:val="00DB3401"/>
    <w:rsid w:val="00DB3867"/>
    <w:rsid w:val="00DB403D"/>
    <w:rsid w:val="00DB44A3"/>
    <w:rsid w:val="00DB5237"/>
    <w:rsid w:val="00DB52A0"/>
    <w:rsid w:val="00DB6CDA"/>
    <w:rsid w:val="00DB7407"/>
    <w:rsid w:val="00DB7CF1"/>
    <w:rsid w:val="00DB7E27"/>
    <w:rsid w:val="00DC0366"/>
    <w:rsid w:val="00DC11E2"/>
    <w:rsid w:val="00DC2116"/>
    <w:rsid w:val="00DC21E5"/>
    <w:rsid w:val="00DC2F7A"/>
    <w:rsid w:val="00DC35D5"/>
    <w:rsid w:val="00DC42B6"/>
    <w:rsid w:val="00DC44CE"/>
    <w:rsid w:val="00DC4A24"/>
    <w:rsid w:val="00DC5A3B"/>
    <w:rsid w:val="00DC5B4C"/>
    <w:rsid w:val="00DC64D7"/>
    <w:rsid w:val="00DC7A0C"/>
    <w:rsid w:val="00DC7F34"/>
    <w:rsid w:val="00DD00D3"/>
    <w:rsid w:val="00DD075B"/>
    <w:rsid w:val="00DD1026"/>
    <w:rsid w:val="00DD17E0"/>
    <w:rsid w:val="00DD2190"/>
    <w:rsid w:val="00DD241A"/>
    <w:rsid w:val="00DD4DC0"/>
    <w:rsid w:val="00DD56EA"/>
    <w:rsid w:val="00DD5D0C"/>
    <w:rsid w:val="00DD6E78"/>
    <w:rsid w:val="00DD7274"/>
    <w:rsid w:val="00DD763D"/>
    <w:rsid w:val="00DD7715"/>
    <w:rsid w:val="00DE014D"/>
    <w:rsid w:val="00DE02EA"/>
    <w:rsid w:val="00DE03E4"/>
    <w:rsid w:val="00DE0CDB"/>
    <w:rsid w:val="00DE24C7"/>
    <w:rsid w:val="00DE34B2"/>
    <w:rsid w:val="00DE37FA"/>
    <w:rsid w:val="00DE3BBC"/>
    <w:rsid w:val="00DE49E3"/>
    <w:rsid w:val="00DE4ABD"/>
    <w:rsid w:val="00DE4B58"/>
    <w:rsid w:val="00DE5579"/>
    <w:rsid w:val="00DE5B11"/>
    <w:rsid w:val="00DE5D4F"/>
    <w:rsid w:val="00DE629D"/>
    <w:rsid w:val="00DE6385"/>
    <w:rsid w:val="00DE685A"/>
    <w:rsid w:val="00DE7F7C"/>
    <w:rsid w:val="00DF04C5"/>
    <w:rsid w:val="00DF0BDF"/>
    <w:rsid w:val="00DF1948"/>
    <w:rsid w:val="00DF1ADC"/>
    <w:rsid w:val="00DF1F4E"/>
    <w:rsid w:val="00DF1FD1"/>
    <w:rsid w:val="00DF2C7A"/>
    <w:rsid w:val="00DF3A2F"/>
    <w:rsid w:val="00DF3E12"/>
    <w:rsid w:val="00DF4F20"/>
    <w:rsid w:val="00DF5493"/>
    <w:rsid w:val="00DF62A5"/>
    <w:rsid w:val="00DF7106"/>
    <w:rsid w:val="00DF72CC"/>
    <w:rsid w:val="00E00417"/>
    <w:rsid w:val="00E00617"/>
    <w:rsid w:val="00E00B49"/>
    <w:rsid w:val="00E00F0C"/>
    <w:rsid w:val="00E012BF"/>
    <w:rsid w:val="00E0144C"/>
    <w:rsid w:val="00E01D3A"/>
    <w:rsid w:val="00E02408"/>
    <w:rsid w:val="00E02A05"/>
    <w:rsid w:val="00E02EE7"/>
    <w:rsid w:val="00E03789"/>
    <w:rsid w:val="00E03BDC"/>
    <w:rsid w:val="00E04A54"/>
    <w:rsid w:val="00E04C8A"/>
    <w:rsid w:val="00E05012"/>
    <w:rsid w:val="00E0514F"/>
    <w:rsid w:val="00E0589D"/>
    <w:rsid w:val="00E06739"/>
    <w:rsid w:val="00E070A7"/>
    <w:rsid w:val="00E074A9"/>
    <w:rsid w:val="00E074EF"/>
    <w:rsid w:val="00E07F0E"/>
    <w:rsid w:val="00E10DAC"/>
    <w:rsid w:val="00E11C23"/>
    <w:rsid w:val="00E1282B"/>
    <w:rsid w:val="00E12A6F"/>
    <w:rsid w:val="00E13C5F"/>
    <w:rsid w:val="00E14483"/>
    <w:rsid w:val="00E15442"/>
    <w:rsid w:val="00E15F1D"/>
    <w:rsid w:val="00E16808"/>
    <w:rsid w:val="00E16ACE"/>
    <w:rsid w:val="00E16C0F"/>
    <w:rsid w:val="00E175BE"/>
    <w:rsid w:val="00E205F8"/>
    <w:rsid w:val="00E20E15"/>
    <w:rsid w:val="00E20E5D"/>
    <w:rsid w:val="00E214BA"/>
    <w:rsid w:val="00E221BD"/>
    <w:rsid w:val="00E22217"/>
    <w:rsid w:val="00E22773"/>
    <w:rsid w:val="00E22E66"/>
    <w:rsid w:val="00E23614"/>
    <w:rsid w:val="00E2398F"/>
    <w:rsid w:val="00E23B6B"/>
    <w:rsid w:val="00E2433D"/>
    <w:rsid w:val="00E24580"/>
    <w:rsid w:val="00E248B9"/>
    <w:rsid w:val="00E24A7C"/>
    <w:rsid w:val="00E255C7"/>
    <w:rsid w:val="00E26A1E"/>
    <w:rsid w:val="00E26C8C"/>
    <w:rsid w:val="00E27460"/>
    <w:rsid w:val="00E27A0F"/>
    <w:rsid w:val="00E27D59"/>
    <w:rsid w:val="00E3120F"/>
    <w:rsid w:val="00E319F0"/>
    <w:rsid w:val="00E337F6"/>
    <w:rsid w:val="00E3437C"/>
    <w:rsid w:val="00E346B1"/>
    <w:rsid w:val="00E35775"/>
    <w:rsid w:val="00E35B8E"/>
    <w:rsid w:val="00E363B9"/>
    <w:rsid w:val="00E36468"/>
    <w:rsid w:val="00E36A7A"/>
    <w:rsid w:val="00E374A1"/>
    <w:rsid w:val="00E3760C"/>
    <w:rsid w:val="00E37F30"/>
    <w:rsid w:val="00E41D81"/>
    <w:rsid w:val="00E421C1"/>
    <w:rsid w:val="00E42294"/>
    <w:rsid w:val="00E4259C"/>
    <w:rsid w:val="00E42D23"/>
    <w:rsid w:val="00E43CA1"/>
    <w:rsid w:val="00E46A72"/>
    <w:rsid w:val="00E47098"/>
    <w:rsid w:val="00E47125"/>
    <w:rsid w:val="00E47143"/>
    <w:rsid w:val="00E47ACA"/>
    <w:rsid w:val="00E50027"/>
    <w:rsid w:val="00E51ED3"/>
    <w:rsid w:val="00E52255"/>
    <w:rsid w:val="00E52258"/>
    <w:rsid w:val="00E52E6F"/>
    <w:rsid w:val="00E53944"/>
    <w:rsid w:val="00E53C72"/>
    <w:rsid w:val="00E53DD1"/>
    <w:rsid w:val="00E53E90"/>
    <w:rsid w:val="00E54895"/>
    <w:rsid w:val="00E548E5"/>
    <w:rsid w:val="00E549F9"/>
    <w:rsid w:val="00E54C41"/>
    <w:rsid w:val="00E54EB8"/>
    <w:rsid w:val="00E5543C"/>
    <w:rsid w:val="00E55BC4"/>
    <w:rsid w:val="00E56A26"/>
    <w:rsid w:val="00E57087"/>
    <w:rsid w:val="00E572FF"/>
    <w:rsid w:val="00E5751C"/>
    <w:rsid w:val="00E57823"/>
    <w:rsid w:val="00E57DAC"/>
    <w:rsid w:val="00E60AD9"/>
    <w:rsid w:val="00E610FE"/>
    <w:rsid w:val="00E615AA"/>
    <w:rsid w:val="00E61D1D"/>
    <w:rsid w:val="00E61F6E"/>
    <w:rsid w:val="00E62301"/>
    <w:rsid w:val="00E62D81"/>
    <w:rsid w:val="00E62F1B"/>
    <w:rsid w:val="00E62F6E"/>
    <w:rsid w:val="00E63176"/>
    <w:rsid w:val="00E631C6"/>
    <w:rsid w:val="00E640F8"/>
    <w:rsid w:val="00E641C3"/>
    <w:rsid w:val="00E645D5"/>
    <w:rsid w:val="00E649CF"/>
    <w:rsid w:val="00E6537E"/>
    <w:rsid w:val="00E65AC4"/>
    <w:rsid w:val="00E65B6E"/>
    <w:rsid w:val="00E67098"/>
    <w:rsid w:val="00E672D6"/>
    <w:rsid w:val="00E7002A"/>
    <w:rsid w:val="00E70883"/>
    <w:rsid w:val="00E70A97"/>
    <w:rsid w:val="00E71446"/>
    <w:rsid w:val="00E71A77"/>
    <w:rsid w:val="00E71BD3"/>
    <w:rsid w:val="00E72334"/>
    <w:rsid w:val="00E72555"/>
    <w:rsid w:val="00E725EF"/>
    <w:rsid w:val="00E72DCD"/>
    <w:rsid w:val="00E74BB6"/>
    <w:rsid w:val="00E74FEE"/>
    <w:rsid w:val="00E7534A"/>
    <w:rsid w:val="00E757A0"/>
    <w:rsid w:val="00E75830"/>
    <w:rsid w:val="00E75E7A"/>
    <w:rsid w:val="00E76C85"/>
    <w:rsid w:val="00E80522"/>
    <w:rsid w:val="00E805F9"/>
    <w:rsid w:val="00E815D6"/>
    <w:rsid w:val="00E818E4"/>
    <w:rsid w:val="00E819F8"/>
    <w:rsid w:val="00E82852"/>
    <w:rsid w:val="00E82ABC"/>
    <w:rsid w:val="00E83323"/>
    <w:rsid w:val="00E83B0A"/>
    <w:rsid w:val="00E83BA5"/>
    <w:rsid w:val="00E840B1"/>
    <w:rsid w:val="00E84D4D"/>
    <w:rsid w:val="00E85100"/>
    <w:rsid w:val="00E85420"/>
    <w:rsid w:val="00E85449"/>
    <w:rsid w:val="00E85ED1"/>
    <w:rsid w:val="00E860F4"/>
    <w:rsid w:val="00E87A31"/>
    <w:rsid w:val="00E87CF2"/>
    <w:rsid w:val="00E90385"/>
    <w:rsid w:val="00E9068B"/>
    <w:rsid w:val="00E90E8D"/>
    <w:rsid w:val="00E913E2"/>
    <w:rsid w:val="00E914CE"/>
    <w:rsid w:val="00E9170A"/>
    <w:rsid w:val="00E91B35"/>
    <w:rsid w:val="00E91F10"/>
    <w:rsid w:val="00E92402"/>
    <w:rsid w:val="00E9297F"/>
    <w:rsid w:val="00E92B91"/>
    <w:rsid w:val="00E92BEB"/>
    <w:rsid w:val="00E92CB1"/>
    <w:rsid w:val="00E92DAC"/>
    <w:rsid w:val="00E93EE5"/>
    <w:rsid w:val="00E9435D"/>
    <w:rsid w:val="00E94773"/>
    <w:rsid w:val="00E9593E"/>
    <w:rsid w:val="00E97B36"/>
    <w:rsid w:val="00E97D51"/>
    <w:rsid w:val="00E97E67"/>
    <w:rsid w:val="00EA0359"/>
    <w:rsid w:val="00EA08EC"/>
    <w:rsid w:val="00EA0C8E"/>
    <w:rsid w:val="00EA12D7"/>
    <w:rsid w:val="00EA178B"/>
    <w:rsid w:val="00EA2AE0"/>
    <w:rsid w:val="00EA368C"/>
    <w:rsid w:val="00EA3AD9"/>
    <w:rsid w:val="00EA5C7F"/>
    <w:rsid w:val="00EA65F6"/>
    <w:rsid w:val="00EA6B80"/>
    <w:rsid w:val="00EB012F"/>
    <w:rsid w:val="00EB01A6"/>
    <w:rsid w:val="00EB0EF3"/>
    <w:rsid w:val="00EB1014"/>
    <w:rsid w:val="00EB241D"/>
    <w:rsid w:val="00EB252B"/>
    <w:rsid w:val="00EB261F"/>
    <w:rsid w:val="00EB27F4"/>
    <w:rsid w:val="00EB2875"/>
    <w:rsid w:val="00EB573F"/>
    <w:rsid w:val="00EB60AD"/>
    <w:rsid w:val="00EB643A"/>
    <w:rsid w:val="00EB6564"/>
    <w:rsid w:val="00EB6B3B"/>
    <w:rsid w:val="00EB6DE3"/>
    <w:rsid w:val="00EB753A"/>
    <w:rsid w:val="00EB7582"/>
    <w:rsid w:val="00EB783C"/>
    <w:rsid w:val="00EB7912"/>
    <w:rsid w:val="00EC0008"/>
    <w:rsid w:val="00EC1C2D"/>
    <w:rsid w:val="00EC2846"/>
    <w:rsid w:val="00EC3000"/>
    <w:rsid w:val="00EC390E"/>
    <w:rsid w:val="00EC39B0"/>
    <w:rsid w:val="00EC4086"/>
    <w:rsid w:val="00EC4464"/>
    <w:rsid w:val="00EC4AB5"/>
    <w:rsid w:val="00EC4D2E"/>
    <w:rsid w:val="00EC550E"/>
    <w:rsid w:val="00EC5C14"/>
    <w:rsid w:val="00EC6445"/>
    <w:rsid w:val="00EC6ADD"/>
    <w:rsid w:val="00EC75BD"/>
    <w:rsid w:val="00ED01E4"/>
    <w:rsid w:val="00ED0A19"/>
    <w:rsid w:val="00ED19E0"/>
    <w:rsid w:val="00ED1D04"/>
    <w:rsid w:val="00ED22B0"/>
    <w:rsid w:val="00ED24CA"/>
    <w:rsid w:val="00ED273F"/>
    <w:rsid w:val="00ED3B35"/>
    <w:rsid w:val="00ED487A"/>
    <w:rsid w:val="00ED556D"/>
    <w:rsid w:val="00ED5FCE"/>
    <w:rsid w:val="00ED6F77"/>
    <w:rsid w:val="00ED7241"/>
    <w:rsid w:val="00ED738B"/>
    <w:rsid w:val="00ED7B7E"/>
    <w:rsid w:val="00EE0091"/>
    <w:rsid w:val="00EE084E"/>
    <w:rsid w:val="00EE22B1"/>
    <w:rsid w:val="00EE270F"/>
    <w:rsid w:val="00EE3284"/>
    <w:rsid w:val="00EE45F2"/>
    <w:rsid w:val="00EE4737"/>
    <w:rsid w:val="00EE4D88"/>
    <w:rsid w:val="00EE54EC"/>
    <w:rsid w:val="00EE6029"/>
    <w:rsid w:val="00EE6747"/>
    <w:rsid w:val="00EE6E3E"/>
    <w:rsid w:val="00EE7885"/>
    <w:rsid w:val="00EF01BB"/>
    <w:rsid w:val="00EF032A"/>
    <w:rsid w:val="00EF0D2E"/>
    <w:rsid w:val="00EF1074"/>
    <w:rsid w:val="00EF11B2"/>
    <w:rsid w:val="00EF172D"/>
    <w:rsid w:val="00EF1BB5"/>
    <w:rsid w:val="00EF1FD3"/>
    <w:rsid w:val="00EF236A"/>
    <w:rsid w:val="00EF2F6E"/>
    <w:rsid w:val="00EF356B"/>
    <w:rsid w:val="00EF5B4C"/>
    <w:rsid w:val="00EF5B7E"/>
    <w:rsid w:val="00EF5E6A"/>
    <w:rsid w:val="00EF61C1"/>
    <w:rsid w:val="00EF6703"/>
    <w:rsid w:val="00EF6DF3"/>
    <w:rsid w:val="00EF7C2A"/>
    <w:rsid w:val="00F006A7"/>
    <w:rsid w:val="00F00A03"/>
    <w:rsid w:val="00F0111F"/>
    <w:rsid w:val="00F0248A"/>
    <w:rsid w:val="00F0396F"/>
    <w:rsid w:val="00F03B85"/>
    <w:rsid w:val="00F03BB3"/>
    <w:rsid w:val="00F048C1"/>
    <w:rsid w:val="00F061F7"/>
    <w:rsid w:val="00F06653"/>
    <w:rsid w:val="00F10482"/>
    <w:rsid w:val="00F10BCC"/>
    <w:rsid w:val="00F111A9"/>
    <w:rsid w:val="00F11564"/>
    <w:rsid w:val="00F117BF"/>
    <w:rsid w:val="00F11837"/>
    <w:rsid w:val="00F12163"/>
    <w:rsid w:val="00F12656"/>
    <w:rsid w:val="00F12DCA"/>
    <w:rsid w:val="00F12E9F"/>
    <w:rsid w:val="00F13D89"/>
    <w:rsid w:val="00F149C6"/>
    <w:rsid w:val="00F150C9"/>
    <w:rsid w:val="00F16055"/>
    <w:rsid w:val="00F16E6B"/>
    <w:rsid w:val="00F1771F"/>
    <w:rsid w:val="00F21D0C"/>
    <w:rsid w:val="00F22C07"/>
    <w:rsid w:val="00F233B4"/>
    <w:rsid w:val="00F23DC0"/>
    <w:rsid w:val="00F245D2"/>
    <w:rsid w:val="00F24B23"/>
    <w:rsid w:val="00F254B5"/>
    <w:rsid w:val="00F262D9"/>
    <w:rsid w:val="00F26E6E"/>
    <w:rsid w:val="00F300E2"/>
    <w:rsid w:val="00F3061F"/>
    <w:rsid w:val="00F307D6"/>
    <w:rsid w:val="00F314D8"/>
    <w:rsid w:val="00F317E0"/>
    <w:rsid w:val="00F31CEA"/>
    <w:rsid w:val="00F32276"/>
    <w:rsid w:val="00F32A5A"/>
    <w:rsid w:val="00F32C09"/>
    <w:rsid w:val="00F33F61"/>
    <w:rsid w:val="00F34118"/>
    <w:rsid w:val="00F345EA"/>
    <w:rsid w:val="00F35685"/>
    <w:rsid w:val="00F35C39"/>
    <w:rsid w:val="00F36FB8"/>
    <w:rsid w:val="00F370DF"/>
    <w:rsid w:val="00F372C8"/>
    <w:rsid w:val="00F37673"/>
    <w:rsid w:val="00F40E79"/>
    <w:rsid w:val="00F4182F"/>
    <w:rsid w:val="00F4231A"/>
    <w:rsid w:val="00F426CE"/>
    <w:rsid w:val="00F42750"/>
    <w:rsid w:val="00F42A16"/>
    <w:rsid w:val="00F42CA4"/>
    <w:rsid w:val="00F43060"/>
    <w:rsid w:val="00F441F1"/>
    <w:rsid w:val="00F444E2"/>
    <w:rsid w:val="00F44615"/>
    <w:rsid w:val="00F44DA1"/>
    <w:rsid w:val="00F45515"/>
    <w:rsid w:val="00F456CE"/>
    <w:rsid w:val="00F470A3"/>
    <w:rsid w:val="00F47F9A"/>
    <w:rsid w:val="00F50496"/>
    <w:rsid w:val="00F504ED"/>
    <w:rsid w:val="00F508E2"/>
    <w:rsid w:val="00F50E6D"/>
    <w:rsid w:val="00F51D99"/>
    <w:rsid w:val="00F541FA"/>
    <w:rsid w:val="00F54345"/>
    <w:rsid w:val="00F55B70"/>
    <w:rsid w:val="00F55BB9"/>
    <w:rsid w:val="00F55E63"/>
    <w:rsid w:val="00F56008"/>
    <w:rsid w:val="00F5626F"/>
    <w:rsid w:val="00F5663D"/>
    <w:rsid w:val="00F566BC"/>
    <w:rsid w:val="00F5673B"/>
    <w:rsid w:val="00F569C0"/>
    <w:rsid w:val="00F56A94"/>
    <w:rsid w:val="00F56CD9"/>
    <w:rsid w:val="00F60045"/>
    <w:rsid w:val="00F6025A"/>
    <w:rsid w:val="00F60DF0"/>
    <w:rsid w:val="00F61042"/>
    <w:rsid w:val="00F6157B"/>
    <w:rsid w:val="00F62551"/>
    <w:rsid w:val="00F62C8D"/>
    <w:rsid w:val="00F63563"/>
    <w:rsid w:val="00F63580"/>
    <w:rsid w:val="00F63B1B"/>
    <w:rsid w:val="00F64897"/>
    <w:rsid w:val="00F64C7A"/>
    <w:rsid w:val="00F65F59"/>
    <w:rsid w:val="00F662B7"/>
    <w:rsid w:val="00F7099D"/>
    <w:rsid w:val="00F71266"/>
    <w:rsid w:val="00F714B1"/>
    <w:rsid w:val="00F719D7"/>
    <w:rsid w:val="00F71C5A"/>
    <w:rsid w:val="00F730B7"/>
    <w:rsid w:val="00F734CF"/>
    <w:rsid w:val="00F73503"/>
    <w:rsid w:val="00F74830"/>
    <w:rsid w:val="00F74CCE"/>
    <w:rsid w:val="00F75427"/>
    <w:rsid w:val="00F770E0"/>
    <w:rsid w:val="00F77A99"/>
    <w:rsid w:val="00F80AE9"/>
    <w:rsid w:val="00F81012"/>
    <w:rsid w:val="00F812A8"/>
    <w:rsid w:val="00F81696"/>
    <w:rsid w:val="00F82403"/>
    <w:rsid w:val="00F82644"/>
    <w:rsid w:val="00F82C78"/>
    <w:rsid w:val="00F83141"/>
    <w:rsid w:val="00F84377"/>
    <w:rsid w:val="00F85566"/>
    <w:rsid w:val="00F857A3"/>
    <w:rsid w:val="00F8722D"/>
    <w:rsid w:val="00F879C5"/>
    <w:rsid w:val="00F90248"/>
    <w:rsid w:val="00F90A12"/>
    <w:rsid w:val="00F912CC"/>
    <w:rsid w:val="00F92856"/>
    <w:rsid w:val="00F92B3E"/>
    <w:rsid w:val="00F92F1F"/>
    <w:rsid w:val="00F93958"/>
    <w:rsid w:val="00F94F12"/>
    <w:rsid w:val="00F94F1D"/>
    <w:rsid w:val="00F96708"/>
    <w:rsid w:val="00F9676A"/>
    <w:rsid w:val="00F96CFF"/>
    <w:rsid w:val="00F97455"/>
    <w:rsid w:val="00F97D62"/>
    <w:rsid w:val="00F97DC7"/>
    <w:rsid w:val="00FA06F4"/>
    <w:rsid w:val="00FA1068"/>
    <w:rsid w:val="00FA1F40"/>
    <w:rsid w:val="00FA225F"/>
    <w:rsid w:val="00FA235B"/>
    <w:rsid w:val="00FA29C8"/>
    <w:rsid w:val="00FA2E3E"/>
    <w:rsid w:val="00FA3173"/>
    <w:rsid w:val="00FA3A01"/>
    <w:rsid w:val="00FA410E"/>
    <w:rsid w:val="00FA446E"/>
    <w:rsid w:val="00FA4472"/>
    <w:rsid w:val="00FA4E87"/>
    <w:rsid w:val="00FA4EA6"/>
    <w:rsid w:val="00FA4EF9"/>
    <w:rsid w:val="00FA5C91"/>
    <w:rsid w:val="00FA6A01"/>
    <w:rsid w:val="00FA74BB"/>
    <w:rsid w:val="00FA78D8"/>
    <w:rsid w:val="00FA7D15"/>
    <w:rsid w:val="00FA7F6F"/>
    <w:rsid w:val="00FB055A"/>
    <w:rsid w:val="00FB060D"/>
    <w:rsid w:val="00FB07D4"/>
    <w:rsid w:val="00FB0EA7"/>
    <w:rsid w:val="00FB12B1"/>
    <w:rsid w:val="00FB15A4"/>
    <w:rsid w:val="00FB163C"/>
    <w:rsid w:val="00FB2599"/>
    <w:rsid w:val="00FB2A9D"/>
    <w:rsid w:val="00FB2B60"/>
    <w:rsid w:val="00FB33FA"/>
    <w:rsid w:val="00FB375E"/>
    <w:rsid w:val="00FB3D19"/>
    <w:rsid w:val="00FB3D62"/>
    <w:rsid w:val="00FB3F40"/>
    <w:rsid w:val="00FB590B"/>
    <w:rsid w:val="00FB66FE"/>
    <w:rsid w:val="00FB75EE"/>
    <w:rsid w:val="00FC01A4"/>
    <w:rsid w:val="00FC0717"/>
    <w:rsid w:val="00FC13DD"/>
    <w:rsid w:val="00FC1DB2"/>
    <w:rsid w:val="00FC2A1E"/>
    <w:rsid w:val="00FC2AFA"/>
    <w:rsid w:val="00FC38CD"/>
    <w:rsid w:val="00FC3D3B"/>
    <w:rsid w:val="00FC463F"/>
    <w:rsid w:val="00FC4B38"/>
    <w:rsid w:val="00FC4C5F"/>
    <w:rsid w:val="00FC4C91"/>
    <w:rsid w:val="00FC5B6E"/>
    <w:rsid w:val="00FC619D"/>
    <w:rsid w:val="00FC7286"/>
    <w:rsid w:val="00FD04C7"/>
    <w:rsid w:val="00FD13B3"/>
    <w:rsid w:val="00FD2B07"/>
    <w:rsid w:val="00FD32F8"/>
    <w:rsid w:val="00FD352E"/>
    <w:rsid w:val="00FD3534"/>
    <w:rsid w:val="00FD4505"/>
    <w:rsid w:val="00FD551F"/>
    <w:rsid w:val="00FD637F"/>
    <w:rsid w:val="00FD70E3"/>
    <w:rsid w:val="00FD77A7"/>
    <w:rsid w:val="00FD7CB8"/>
    <w:rsid w:val="00FE0123"/>
    <w:rsid w:val="00FE052A"/>
    <w:rsid w:val="00FE1153"/>
    <w:rsid w:val="00FE15A1"/>
    <w:rsid w:val="00FE16F5"/>
    <w:rsid w:val="00FE1ED3"/>
    <w:rsid w:val="00FE2DC5"/>
    <w:rsid w:val="00FE39F2"/>
    <w:rsid w:val="00FE3DA2"/>
    <w:rsid w:val="00FE4122"/>
    <w:rsid w:val="00FE4EC5"/>
    <w:rsid w:val="00FE4F98"/>
    <w:rsid w:val="00FE5C1C"/>
    <w:rsid w:val="00FF0010"/>
    <w:rsid w:val="00FF0A66"/>
    <w:rsid w:val="00FF0ADC"/>
    <w:rsid w:val="00FF0D1E"/>
    <w:rsid w:val="00FF10B7"/>
    <w:rsid w:val="00FF19B5"/>
    <w:rsid w:val="00FF1E5D"/>
    <w:rsid w:val="00FF2B5B"/>
    <w:rsid w:val="00FF2F49"/>
    <w:rsid w:val="00FF3B0D"/>
    <w:rsid w:val="00FF3E06"/>
    <w:rsid w:val="00FF3FDF"/>
    <w:rsid w:val="00FF4D28"/>
    <w:rsid w:val="00FF51A2"/>
    <w:rsid w:val="00FF5492"/>
    <w:rsid w:val="00FF59C3"/>
    <w:rsid w:val="00FF5EC0"/>
    <w:rsid w:val="00FF5F61"/>
    <w:rsid w:val="00FF5FD5"/>
    <w:rsid w:val="00FF6540"/>
    <w:rsid w:val="047AB9CD"/>
    <w:rsid w:val="08C6D745"/>
    <w:rsid w:val="0E0AEF92"/>
    <w:rsid w:val="146CF22B"/>
    <w:rsid w:val="15165502"/>
    <w:rsid w:val="17A99A72"/>
    <w:rsid w:val="1913AFFC"/>
    <w:rsid w:val="1A7D66DC"/>
    <w:rsid w:val="1B825836"/>
    <w:rsid w:val="1CB1F5A2"/>
    <w:rsid w:val="2061D6AC"/>
    <w:rsid w:val="20FDBEBB"/>
    <w:rsid w:val="2AED0946"/>
    <w:rsid w:val="31627696"/>
    <w:rsid w:val="333BBA58"/>
    <w:rsid w:val="3467D903"/>
    <w:rsid w:val="346C9DE8"/>
    <w:rsid w:val="36C6A555"/>
    <w:rsid w:val="3A9ACEF9"/>
    <w:rsid w:val="3E838C1A"/>
    <w:rsid w:val="40B49E15"/>
    <w:rsid w:val="4517F3ED"/>
    <w:rsid w:val="45CBD737"/>
    <w:rsid w:val="48FF73FC"/>
    <w:rsid w:val="4CC3A4D8"/>
    <w:rsid w:val="590F5158"/>
    <w:rsid w:val="5DF8858C"/>
    <w:rsid w:val="60216CB8"/>
    <w:rsid w:val="64809518"/>
    <w:rsid w:val="667EAB65"/>
    <w:rsid w:val="6A88372E"/>
    <w:rsid w:val="72FEEC07"/>
    <w:rsid w:val="74F76EA3"/>
    <w:rsid w:val="7599BE6E"/>
    <w:rsid w:val="79904A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1B60EA"/>
  <w14:defaultImageDpi w14:val="96"/>
  <w15:docId w15:val="{7C754776-2B4C-43BA-B4A6-D70F2835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D04AB"/>
  </w:style>
  <w:style w:type="paragraph" w:styleId="Heading1">
    <w:name w:val="heading 1"/>
    <w:basedOn w:val="STPR2Heading1"/>
    <w:next w:val="Normal"/>
    <w:link w:val="Heading1Char"/>
    <w:uiPriority w:val="9"/>
    <w:rsid w:val="00433F21"/>
    <w:pPr>
      <w:numPr>
        <w:numId w:val="44"/>
      </w:numPr>
      <w:outlineLvl w:val="0"/>
    </w:pPr>
    <w:rPr>
      <w:lang w:val="en-GB"/>
    </w:rPr>
  </w:style>
  <w:style w:type="paragraph" w:styleId="Heading2">
    <w:name w:val="heading 2"/>
    <w:basedOn w:val="STPR2Heading2"/>
    <w:next w:val="Normal"/>
    <w:link w:val="Heading2Char"/>
    <w:uiPriority w:val="9"/>
    <w:qFormat/>
    <w:rsid w:val="00433F21"/>
    <w:pPr>
      <w:numPr>
        <w:numId w:val="44"/>
      </w:numPr>
      <w:outlineLvl w:val="1"/>
    </w:pPr>
    <w:rPr>
      <w:color w:val="414144"/>
      <w:lang w:val="en-GB"/>
    </w:rPr>
  </w:style>
  <w:style w:type="paragraph" w:styleId="Heading3">
    <w:name w:val="heading 3"/>
    <w:basedOn w:val="STPR2Heading3"/>
    <w:next w:val="Normal"/>
    <w:link w:val="Heading3Char"/>
    <w:uiPriority w:val="9"/>
    <w:qFormat/>
    <w:rsid w:val="00433F21"/>
    <w:pPr>
      <w:numPr>
        <w:ilvl w:val="2"/>
        <w:numId w:val="44"/>
      </w:numPr>
      <w:spacing w:before="200"/>
      <w:outlineLvl w:val="2"/>
    </w:pPr>
    <w:rPr>
      <w:lang w:val="en-GB"/>
    </w:rPr>
  </w:style>
  <w:style w:type="paragraph" w:styleId="Heading4">
    <w:name w:val="heading 4"/>
    <w:basedOn w:val="Normal"/>
    <w:next w:val="Normal"/>
    <w:link w:val="Heading4Char"/>
    <w:qFormat/>
    <w:rsid w:val="00FD352E"/>
    <w:pPr>
      <w:keepNext/>
      <w:keepLines/>
      <w:spacing w:before="240" w:after="120" w:line="240" w:lineRule="atLeast"/>
      <w:ind w:left="851" w:hanging="851"/>
      <w:outlineLvl w:val="3"/>
    </w:pPr>
    <w:rPr>
      <w:rFonts w:ascii="Arial" w:eastAsiaTheme="majorEastAsia" w:hAnsi="Arial" w:cstheme="majorBidi"/>
      <w:b/>
      <w:bCs/>
      <w:iCs/>
      <w:sz w:val="24"/>
      <w:szCs w:val="24"/>
      <w:lang w:eastAsia="en-US"/>
    </w:rPr>
  </w:style>
  <w:style w:type="paragraph" w:styleId="Heading5">
    <w:name w:val="heading 5"/>
    <w:basedOn w:val="Normal"/>
    <w:next w:val="Normal"/>
    <w:link w:val="Heading5Char"/>
    <w:rsid w:val="000C6958"/>
    <w:pPr>
      <w:keepNext/>
      <w:keepLines/>
      <w:spacing w:before="240" w:after="120" w:line="240" w:lineRule="atLeast"/>
      <w:ind w:left="851" w:hanging="851"/>
      <w:outlineLvl w:val="4"/>
    </w:pPr>
    <w:rPr>
      <w:rFonts w:ascii="Arial" w:eastAsiaTheme="majorEastAsia" w:hAnsi="Arial" w:cstheme="majorBidi"/>
      <w:b/>
      <w:sz w:val="20"/>
      <w:szCs w:val="24"/>
      <w:lang w:eastAsia="en-US"/>
    </w:rPr>
  </w:style>
  <w:style w:type="paragraph" w:styleId="Heading6">
    <w:name w:val="heading 6"/>
    <w:basedOn w:val="Normal"/>
    <w:next w:val="Normal"/>
    <w:link w:val="Heading6Char"/>
    <w:rsid w:val="000C6958"/>
    <w:pPr>
      <w:keepNext/>
      <w:keepLines/>
      <w:spacing w:before="240" w:after="120" w:line="240" w:lineRule="atLeast"/>
      <w:ind w:left="851" w:hanging="851"/>
      <w:outlineLvl w:val="5"/>
    </w:pPr>
    <w:rPr>
      <w:rFonts w:ascii="Arial" w:eastAsiaTheme="majorEastAsia" w:hAnsi="Arial" w:cstheme="majorBidi"/>
      <w:b/>
      <w:iCs/>
      <w:sz w:val="20"/>
      <w:szCs w:val="24"/>
      <w:lang w:eastAsia="en-US"/>
    </w:rPr>
  </w:style>
  <w:style w:type="paragraph" w:styleId="Heading7">
    <w:name w:val="heading 7"/>
    <w:basedOn w:val="Normal"/>
    <w:next w:val="Normal"/>
    <w:link w:val="Heading7Char"/>
    <w:rsid w:val="000C6958"/>
    <w:pPr>
      <w:spacing w:before="240" w:after="120" w:line="360" w:lineRule="exact"/>
      <w:ind w:left="851" w:hanging="851"/>
      <w:outlineLvl w:val="6"/>
    </w:pPr>
    <w:rPr>
      <w:rFonts w:ascii="Arial" w:hAnsi="Arial"/>
      <w:b/>
      <w:color w:val="00338D"/>
      <w:sz w:val="20"/>
      <w:szCs w:val="24"/>
      <w:lang w:eastAsia="en-US"/>
    </w:rPr>
  </w:style>
  <w:style w:type="paragraph" w:styleId="Heading8">
    <w:name w:val="heading 8"/>
    <w:basedOn w:val="Heading2"/>
    <w:next w:val="Normal"/>
    <w:link w:val="Heading8Char"/>
    <w:qFormat/>
    <w:rsid w:val="000C6958"/>
    <w:pPr>
      <w:keepNext/>
      <w:keepLines/>
      <w:widowControl/>
      <w:numPr>
        <w:ilvl w:val="0"/>
        <w:numId w:val="0"/>
      </w:numPr>
      <w:suppressAutoHyphens w:val="0"/>
      <w:autoSpaceDE/>
      <w:autoSpaceDN/>
      <w:adjustRightInd/>
      <w:spacing w:before="240" w:after="120" w:line="240" w:lineRule="atLeast"/>
      <w:ind w:left="851" w:hanging="851"/>
      <w:textAlignment w:val="auto"/>
      <w:outlineLvl w:val="7"/>
    </w:pPr>
    <w:rPr>
      <w:rFonts w:eastAsiaTheme="majorEastAsia" w:cstheme="majorBidi"/>
      <w:color w:val="00338D"/>
      <w:sz w:val="24"/>
      <w:szCs w:val="26"/>
      <w:lang w:eastAsia="en-US"/>
    </w:rPr>
  </w:style>
  <w:style w:type="paragraph" w:styleId="Heading9">
    <w:name w:val="heading 9"/>
    <w:basedOn w:val="Normal"/>
    <w:next w:val="Normal"/>
    <w:link w:val="Heading9Char"/>
    <w:uiPriority w:val="9"/>
    <w:semiHidden/>
    <w:unhideWhenUsed/>
    <w:qFormat/>
    <w:rsid w:val="000C69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uiPriority w:val="24"/>
    <w:rsid w:val="00433F21"/>
    <w:pPr>
      <w:widowControl w:val="0"/>
      <w:autoSpaceDE w:val="0"/>
      <w:autoSpaceDN w:val="0"/>
      <w:adjustRightInd w:val="0"/>
      <w:spacing w:after="0" w:line="288" w:lineRule="auto"/>
      <w:textAlignment w:val="center"/>
    </w:pPr>
    <w:rPr>
      <w:rFonts w:ascii="Yu Mincho Light" w:hAnsi="Yu Mincho Light" w:cs="Yu Mincho Light"/>
      <w:color w:val="000000"/>
      <w:sz w:val="24"/>
      <w:szCs w:val="24"/>
      <w:lang w:val="en-US"/>
    </w:rPr>
  </w:style>
  <w:style w:type="paragraph" w:customStyle="1" w:styleId="STPR2BodyText">
    <w:name w:val="STPR2_Body Text"/>
    <w:basedOn w:val="NoParagraphStyle"/>
    <w:link w:val="STPR2BodyTextChar"/>
    <w:qFormat/>
    <w:rsid w:val="00433F21"/>
    <w:pPr>
      <w:widowControl/>
      <w:suppressAutoHyphens/>
      <w:spacing w:before="200" w:after="160" w:line="240" w:lineRule="auto"/>
    </w:pPr>
    <w:rPr>
      <w:rFonts w:ascii="Arial" w:hAnsi="Arial" w:cs="Arial"/>
      <w:szCs w:val="22"/>
      <w:lang w:val="en-GB"/>
    </w:rPr>
  </w:style>
  <w:style w:type="paragraph" w:customStyle="1" w:styleId="STPR2BodyBold">
    <w:name w:val="STPR2_Body Bold"/>
    <w:basedOn w:val="STPR2BodyText"/>
    <w:uiPriority w:val="1"/>
    <w:rsid w:val="00433F21"/>
    <w:rPr>
      <w:b/>
      <w:bCs/>
    </w:rPr>
  </w:style>
  <w:style w:type="paragraph" w:customStyle="1" w:styleId="STPR2BodyItalics">
    <w:name w:val="STPR2_Body Italics"/>
    <w:basedOn w:val="STPR2BodyText"/>
    <w:uiPriority w:val="2"/>
    <w:rsid w:val="00433F21"/>
    <w:rPr>
      <w:i/>
      <w:iCs/>
    </w:rPr>
  </w:style>
  <w:style w:type="paragraph" w:customStyle="1" w:styleId="STPR2BodyItalicsBold">
    <w:name w:val="STPR2_Body Italics Bold"/>
    <w:basedOn w:val="STPR2BodyItalics"/>
    <w:uiPriority w:val="3"/>
    <w:rsid w:val="00433F21"/>
    <w:rPr>
      <w:b/>
      <w:bCs/>
    </w:rPr>
  </w:style>
  <w:style w:type="paragraph" w:customStyle="1" w:styleId="STPR2Heading1">
    <w:name w:val="STPR2_Heading 1"/>
    <w:basedOn w:val="NoParagraphStyle"/>
    <w:link w:val="STPR2Heading1Char"/>
    <w:uiPriority w:val="4"/>
    <w:qFormat/>
    <w:rsid w:val="00433F21"/>
    <w:p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link w:val="STPR2Heading2Char"/>
    <w:uiPriority w:val="5"/>
    <w:qFormat/>
    <w:rsid w:val="00433F21"/>
    <w:pPr>
      <w:numPr>
        <w:ilvl w:val="1"/>
      </w:numPr>
      <w:spacing w:after="160"/>
    </w:pPr>
    <w:rPr>
      <w:color w:val="626266"/>
      <w:sz w:val="28"/>
      <w:szCs w:val="28"/>
    </w:rPr>
  </w:style>
  <w:style w:type="paragraph" w:customStyle="1" w:styleId="STPR2Heading3">
    <w:name w:val="STPR2_Heading 3"/>
    <w:basedOn w:val="STPR2Heading1"/>
    <w:autoRedefine/>
    <w:uiPriority w:val="6"/>
    <w:rsid w:val="00433F21"/>
    <w:pPr>
      <w:spacing w:after="60"/>
    </w:pPr>
    <w:rPr>
      <w:i/>
      <w:color w:val="626266"/>
      <w:sz w:val="24"/>
      <w:szCs w:val="20"/>
    </w:rPr>
  </w:style>
  <w:style w:type="paragraph" w:customStyle="1" w:styleId="STPR2BulletsLevel1">
    <w:name w:val="STPR2_Bullets Level 1"/>
    <w:basedOn w:val="STPR2BodyText"/>
    <w:uiPriority w:val="7"/>
    <w:qFormat/>
    <w:rsid w:val="00433F21"/>
    <w:pPr>
      <w:numPr>
        <w:numId w:val="38"/>
      </w:numPr>
      <w:contextualSpacing/>
    </w:pPr>
  </w:style>
  <w:style w:type="paragraph" w:customStyle="1" w:styleId="STPR2BulletsLevel2">
    <w:name w:val="STPR2_Bullets Level 2"/>
    <w:basedOn w:val="STPR2BulletsLevel1"/>
    <w:uiPriority w:val="7"/>
    <w:rsid w:val="007100CE"/>
    <w:pPr>
      <w:numPr>
        <w:numId w:val="39"/>
      </w:numPr>
      <w:ind w:left="720"/>
    </w:pPr>
  </w:style>
  <w:style w:type="paragraph" w:customStyle="1" w:styleId="STPR2NumberList">
    <w:name w:val="STPR2_Number List"/>
    <w:basedOn w:val="STPR2BodyText"/>
    <w:uiPriority w:val="9"/>
    <w:rsid w:val="00433F21"/>
    <w:pPr>
      <w:numPr>
        <w:numId w:val="41"/>
      </w:numPr>
      <w:contextualSpacing/>
    </w:pPr>
  </w:style>
  <w:style w:type="paragraph" w:customStyle="1" w:styleId="STPR2LetterList">
    <w:name w:val="STPR2_Letter List"/>
    <w:basedOn w:val="STPR2BodyText"/>
    <w:uiPriority w:val="10"/>
    <w:rsid w:val="00433F21"/>
    <w:pPr>
      <w:numPr>
        <w:numId w:val="40"/>
      </w:numPr>
      <w:tabs>
        <w:tab w:val="left" w:pos="283"/>
      </w:tabs>
      <w:contextualSpacing/>
    </w:pPr>
  </w:style>
  <w:style w:type="paragraph" w:customStyle="1" w:styleId="STPR2TableBody">
    <w:name w:val="STPR2_Table Body"/>
    <w:basedOn w:val="STPR2BodyText"/>
    <w:uiPriority w:val="11"/>
    <w:rsid w:val="00433F21"/>
    <w:pPr>
      <w:spacing w:before="80" w:after="80"/>
    </w:pPr>
    <w:rPr>
      <w:szCs w:val="18"/>
    </w:rPr>
  </w:style>
  <w:style w:type="paragraph" w:customStyle="1" w:styleId="STPR2TableHeading">
    <w:name w:val="STPR2_Table Heading"/>
    <w:basedOn w:val="STPR2TableBody"/>
    <w:uiPriority w:val="12"/>
    <w:rsid w:val="00433F21"/>
    <w:rPr>
      <w:b/>
      <w:bCs/>
      <w:caps/>
      <w:color w:val="000000" w:themeColor="text1"/>
    </w:rPr>
  </w:style>
  <w:style w:type="paragraph" w:customStyle="1" w:styleId="STPR2TableBullets">
    <w:name w:val="STPR2_Table Bullets"/>
    <w:basedOn w:val="STPR2TableBody"/>
    <w:uiPriority w:val="13"/>
    <w:rsid w:val="00433F21"/>
    <w:pPr>
      <w:numPr>
        <w:numId w:val="42"/>
      </w:numPr>
      <w:tabs>
        <w:tab w:val="left" w:pos="170"/>
        <w:tab w:val="left" w:pos="283"/>
      </w:tabs>
      <w:contextualSpacing/>
    </w:pPr>
  </w:style>
  <w:style w:type="paragraph" w:customStyle="1" w:styleId="STPR2TableNumberList">
    <w:name w:val="STPR2_Table Number List"/>
    <w:basedOn w:val="STPR2TableBullets"/>
    <w:uiPriority w:val="14"/>
    <w:rsid w:val="00433F21"/>
    <w:pPr>
      <w:numPr>
        <w:numId w:val="43"/>
      </w:numPr>
    </w:pPr>
  </w:style>
  <w:style w:type="paragraph" w:customStyle="1" w:styleId="STPR2BodyCentred">
    <w:name w:val="STPR2_Body Centred"/>
    <w:basedOn w:val="STPR2BodyText"/>
    <w:uiPriority w:val="16"/>
    <w:rsid w:val="00433F21"/>
    <w:pPr>
      <w:jc w:val="center"/>
    </w:pPr>
  </w:style>
  <w:style w:type="paragraph" w:customStyle="1" w:styleId="STPR2BodyCentredBold">
    <w:name w:val="STPR2_Body Centred Bold"/>
    <w:basedOn w:val="STPR2BodyCentred"/>
    <w:uiPriority w:val="17"/>
    <w:rsid w:val="00433F21"/>
    <w:rPr>
      <w:b/>
      <w:bCs/>
    </w:rPr>
  </w:style>
  <w:style w:type="paragraph" w:customStyle="1" w:styleId="STPR2BodyCentredItalic">
    <w:name w:val="STPR2_Body Centred Italic"/>
    <w:basedOn w:val="STPR2BodyText"/>
    <w:uiPriority w:val="18"/>
    <w:rsid w:val="00433F21"/>
    <w:pPr>
      <w:jc w:val="center"/>
    </w:pPr>
    <w:rPr>
      <w:i/>
      <w:iCs/>
    </w:rPr>
  </w:style>
  <w:style w:type="paragraph" w:customStyle="1" w:styleId="STPR2Caption">
    <w:name w:val="STPR2_Caption"/>
    <w:basedOn w:val="STPR2BodyText"/>
    <w:autoRedefine/>
    <w:uiPriority w:val="19"/>
    <w:qFormat/>
    <w:rsid w:val="00433F21"/>
    <w:pPr>
      <w:keepNext/>
      <w:keepLines/>
      <w:spacing w:line="235" w:lineRule="auto"/>
    </w:pPr>
    <w:rPr>
      <w:b/>
      <w:szCs w:val="16"/>
    </w:rPr>
  </w:style>
  <w:style w:type="paragraph" w:customStyle="1" w:styleId="STPR2Footnote">
    <w:name w:val="STPR2_Footnote"/>
    <w:basedOn w:val="STPR2BodyText"/>
    <w:autoRedefine/>
    <w:uiPriority w:val="20"/>
    <w:rsid w:val="00433F21"/>
    <w:pPr>
      <w:spacing w:line="200" w:lineRule="atLeast"/>
    </w:pPr>
    <w:rPr>
      <w:szCs w:val="24"/>
    </w:rPr>
  </w:style>
  <w:style w:type="paragraph" w:customStyle="1" w:styleId="STPR2Title1">
    <w:name w:val="STPR2_Title 1"/>
    <w:basedOn w:val="NoParagraphStyle"/>
    <w:autoRedefine/>
    <w:uiPriority w:val="21"/>
    <w:rsid w:val="00433F21"/>
    <w:pPr>
      <w:suppressAutoHyphens/>
      <w:spacing w:after="113" w:line="800" w:lineRule="atLeast"/>
      <w:contextualSpacing/>
      <w:jc w:val="center"/>
    </w:pPr>
    <w:rPr>
      <w:rFonts w:ascii="Arial" w:hAnsi="Arial" w:cs="Arial"/>
      <w:b/>
      <w:bCs/>
      <w:color w:val="7F7F7F" w:themeColor="text1" w:themeTint="80"/>
      <w:sz w:val="36"/>
      <w:szCs w:val="84"/>
    </w:rPr>
  </w:style>
  <w:style w:type="paragraph" w:customStyle="1" w:styleId="STPR2Title2">
    <w:name w:val="STPR2_Title 2"/>
    <w:basedOn w:val="STPR2Title1"/>
    <w:uiPriority w:val="22"/>
    <w:rsid w:val="00433F21"/>
    <w:pPr>
      <w:spacing w:after="360" w:line="240" w:lineRule="auto"/>
    </w:pPr>
    <w:rPr>
      <w:color w:val="626266"/>
      <w:szCs w:val="36"/>
    </w:rPr>
  </w:style>
  <w:style w:type="paragraph" w:styleId="NormalWeb">
    <w:name w:val="Normal (Web)"/>
    <w:basedOn w:val="Normal"/>
    <w:uiPriority w:val="99"/>
    <w:unhideWhenUsed/>
    <w:rsid w:val="00433F2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33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3F21"/>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433F21"/>
    <w:rPr>
      <w:rFonts w:ascii="Arial" w:hAnsi="Arial" w:cs="Arial"/>
      <w:b/>
      <w:color w:val="626266"/>
      <w:sz w:val="18"/>
      <w:szCs w:val="18"/>
    </w:rPr>
  </w:style>
  <w:style w:type="paragraph" w:styleId="Footer">
    <w:name w:val="footer"/>
    <w:basedOn w:val="Normal"/>
    <w:link w:val="FooterChar"/>
    <w:autoRedefine/>
    <w:uiPriority w:val="99"/>
    <w:unhideWhenUsed/>
    <w:rsid w:val="00433F21"/>
    <w:pPr>
      <w:tabs>
        <w:tab w:val="center" w:pos="4513"/>
        <w:tab w:val="right" w:pos="9026"/>
      </w:tabs>
      <w:spacing w:after="0" w:line="240" w:lineRule="auto"/>
    </w:pPr>
    <w:rPr>
      <w:rFonts w:ascii="Arial" w:hAnsi="Arial" w:cs="Arial"/>
      <w:color w:val="626266"/>
      <w:sz w:val="24"/>
      <w:szCs w:val="18"/>
    </w:rPr>
  </w:style>
  <w:style w:type="character" w:customStyle="1" w:styleId="FooterChar">
    <w:name w:val="Footer Char"/>
    <w:basedOn w:val="DefaultParagraphFont"/>
    <w:link w:val="Footer"/>
    <w:uiPriority w:val="99"/>
    <w:rsid w:val="00433F21"/>
    <w:rPr>
      <w:rFonts w:ascii="Arial" w:hAnsi="Arial" w:cs="Arial"/>
      <w:color w:val="626266"/>
      <w:sz w:val="24"/>
      <w:szCs w:val="18"/>
    </w:rPr>
  </w:style>
  <w:style w:type="table" w:styleId="GridTable1Light">
    <w:name w:val="Grid Table 1 Light"/>
    <w:basedOn w:val="TableNormal"/>
    <w:uiPriority w:val="46"/>
    <w:rsid w:val="00433F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33F21"/>
    <w:rPr>
      <w:rFonts w:ascii="Arial" w:hAnsi="Arial" w:cs="Arial"/>
      <w:b/>
      <w:bCs/>
      <w:color w:val="B06900"/>
      <w:sz w:val="36"/>
      <w:szCs w:val="36"/>
    </w:rPr>
  </w:style>
  <w:style w:type="paragraph" w:styleId="TOCHeading">
    <w:name w:val="TOC Heading"/>
    <w:basedOn w:val="Heading1"/>
    <w:next w:val="Normal"/>
    <w:uiPriority w:val="39"/>
    <w:unhideWhenUsed/>
    <w:qFormat/>
    <w:rsid w:val="00433F21"/>
    <w:pPr>
      <w:outlineLvl w:val="9"/>
    </w:pPr>
    <w:rPr>
      <w:b w:val="0"/>
      <w:color w:val="7E4B00"/>
      <w:lang w:val="en-US" w:eastAsia="en-US"/>
    </w:rPr>
  </w:style>
  <w:style w:type="character" w:customStyle="1" w:styleId="Heading2Char">
    <w:name w:val="Heading 2 Char"/>
    <w:basedOn w:val="DefaultParagraphFont"/>
    <w:link w:val="Heading2"/>
    <w:uiPriority w:val="9"/>
    <w:rsid w:val="00433F21"/>
    <w:rPr>
      <w:rFonts w:ascii="Arial" w:hAnsi="Arial" w:cs="Arial"/>
      <w:b/>
      <w:bCs/>
      <w:color w:val="414144"/>
      <w:sz w:val="28"/>
      <w:szCs w:val="28"/>
    </w:rPr>
  </w:style>
  <w:style w:type="character" w:customStyle="1" w:styleId="Heading3Char">
    <w:name w:val="Heading 3 Char"/>
    <w:basedOn w:val="DefaultParagraphFont"/>
    <w:link w:val="Heading3"/>
    <w:uiPriority w:val="9"/>
    <w:rsid w:val="00433F21"/>
    <w:rPr>
      <w:rFonts w:ascii="Arial" w:hAnsi="Arial" w:cs="Arial"/>
      <w:b/>
      <w:bCs/>
      <w:i/>
      <w:color w:val="626266"/>
      <w:sz w:val="24"/>
      <w:szCs w:val="20"/>
    </w:rPr>
  </w:style>
  <w:style w:type="paragraph" w:styleId="TOC1">
    <w:name w:val="toc 1"/>
    <w:basedOn w:val="Normal"/>
    <w:next w:val="Normal"/>
    <w:autoRedefine/>
    <w:uiPriority w:val="39"/>
    <w:unhideWhenUsed/>
    <w:rsid w:val="00433F21"/>
    <w:pPr>
      <w:tabs>
        <w:tab w:val="right" w:leader="dot" w:pos="9628"/>
      </w:tabs>
      <w:spacing w:after="100"/>
      <w:ind w:left="567" w:hanging="567"/>
    </w:pPr>
    <w:rPr>
      <w:rFonts w:ascii="Arial" w:hAnsi="Arial" w:cs="Arial"/>
      <w:b/>
      <w:noProof/>
      <w:color w:val="626266"/>
      <w:sz w:val="24"/>
      <w:szCs w:val="20"/>
    </w:rPr>
  </w:style>
  <w:style w:type="paragraph" w:styleId="TOC2">
    <w:name w:val="toc 2"/>
    <w:basedOn w:val="Normal"/>
    <w:next w:val="Normal"/>
    <w:autoRedefine/>
    <w:uiPriority w:val="39"/>
    <w:unhideWhenUsed/>
    <w:rsid w:val="00433F21"/>
    <w:pPr>
      <w:tabs>
        <w:tab w:val="right" w:leader="dot" w:pos="9628"/>
      </w:tabs>
      <w:spacing w:after="100"/>
      <w:ind w:left="993" w:hanging="426"/>
      <w:contextualSpacing/>
    </w:pPr>
    <w:rPr>
      <w:rFonts w:ascii="Arial" w:hAnsi="Arial" w:cs="Arial"/>
      <w:noProof/>
      <w:color w:val="626266"/>
      <w:sz w:val="24"/>
      <w:szCs w:val="20"/>
    </w:rPr>
  </w:style>
  <w:style w:type="paragraph" w:styleId="TOC3">
    <w:name w:val="toc 3"/>
    <w:basedOn w:val="Normal"/>
    <w:next w:val="Normal"/>
    <w:autoRedefine/>
    <w:uiPriority w:val="39"/>
    <w:unhideWhenUsed/>
    <w:rsid w:val="00433F21"/>
    <w:pPr>
      <w:tabs>
        <w:tab w:val="left" w:pos="1540"/>
        <w:tab w:val="right" w:leader="dot" w:pos="9628"/>
      </w:tabs>
      <w:spacing w:after="100"/>
      <w:ind w:left="1134" w:hanging="567"/>
      <w:contextualSpacing/>
    </w:pPr>
    <w:rPr>
      <w:rFonts w:ascii="Arial" w:hAnsi="Arial" w:cs="Arial"/>
      <w:i/>
      <w:noProof/>
      <w:color w:val="626266"/>
      <w:sz w:val="24"/>
      <w:szCs w:val="20"/>
    </w:rPr>
  </w:style>
  <w:style w:type="character" w:styleId="Hyperlink">
    <w:name w:val="Hyperlink"/>
    <w:basedOn w:val="DefaultParagraphFont"/>
    <w:uiPriority w:val="99"/>
    <w:unhideWhenUsed/>
    <w:rsid w:val="00433F21"/>
    <w:rPr>
      <w:sz w:val="20"/>
    </w:rPr>
  </w:style>
  <w:style w:type="paragraph" w:customStyle="1" w:styleId="STPR2Heading1Nonumbering">
    <w:name w:val="STPR2_Heading 1_No numbering"/>
    <w:basedOn w:val="STPR2Heading1"/>
    <w:uiPriority w:val="23"/>
    <w:qFormat/>
    <w:rsid w:val="00433F21"/>
  </w:style>
  <w:style w:type="paragraph" w:customStyle="1" w:styleId="AppendicesHeading">
    <w:name w:val="Appendices Heading"/>
    <w:basedOn w:val="STPR2Heading1Nonumbering"/>
    <w:autoRedefine/>
    <w:uiPriority w:val="23"/>
    <w:qFormat/>
    <w:rsid w:val="00433F21"/>
  </w:style>
  <w:style w:type="paragraph" w:customStyle="1" w:styleId="STPR2AppendicesHeading2">
    <w:name w:val="STPR2_Appendices_Heading 2"/>
    <w:basedOn w:val="STPR2Heading2"/>
    <w:autoRedefine/>
    <w:uiPriority w:val="23"/>
    <w:qFormat/>
    <w:rsid w:val="00433F21"/>
    <w:pPr>
      <w:keepNext/>
      <w:numPr>
        <w:ilvl w:val="0"/>
      </w:numPr>
      <w:ind w:left="562" w:hanging="562"/>
    </w:pPr>
  </w:style>
  <w:style w:type="paragraph" w:customStyle="1" w:styleId="STPR2Title3">
    <w:name w:val="STPR2_Title 3"/>
    <w:basedOn w:val="STPR2Title1"/>
    <w:autoRedefine/>
    <w:uiPriority w:val="23"/>
    <w:qFormat/>
    <w:rsid w:val="00433F21"/>
    <w:pPr>
      <w:spacing w:after="0" w:line="240" w:lineRule="auto"/>
    </w:pPr>
    <w:rPr>
      <w:color w:val="626266"/>
      <w:sz w:val="28"/>
      <w:szCs w:val="28"/>
    </w:rPr>
  </w:style>
  <w:style w:type="character" w:customStyle="1" w:styleId="UnresolvedMention1">
    <w:name w:val="Unresolved Mention1"/>
    <w:basedOn w:val="DefaultParagraphFont"/>
    <w:uiPriority w:val="99"/>
    <w:unhideWhenUsed/>
    <w:rsid w:val="00433F21"/>
    <w:rPr>
      <w:color w:val="808080"/>
      <w:shd w:val="clear" w:color="auto" w:fill="E6E6E6"/>
    </w:rPr>
  </w:style>
  <w:style w:type="paragraph" w:customStyle="1" w:styleId="STPR2ProofBoxHeader">
    <w:name w:val="STPR2_Proof Box_Header"/>
    <w:basedOn w:val="STPR2BodyBold"/>
    <w:uiPriority w:val="3"/>
    <w:rsid w:val="00433F21"/>
    <w:pPr>
      <w:spacing w:after="80"/>
    </w:pPr>
    <w:rPr>
      <w:i/>
      <w:color w:val="231EDC"/>
    </w:rPr>
  </w:style>
  <w:style w:type="paragraph" w:customStyle="1" w:styleId="STPR2ProofBoxNormal">
    <w:name w:val="STPR2_Proof Box_Normal"/>
    <w:basedOn w:val="STPR2BodyText"/>
    <w:uiPriority w:val="3"/>
    <w:qFormat/>
    <w:rsid w:val="00433F2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433F21"/>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433F21"/>
    <w:pPr>
      <w:spacing w:after="0" w:line="240" w:lineRule="auto"/>
    </w:pPr>
    <w:rPr>
      <w:rFonts w:ascii="Yu Mincho Light" w:hAnsi="Yu Mincho Light" w:cs="Yu Mincho Light"/>
      <w:sz w:val="18"/>
      <w:szCs w:val="18"/>
    </w:rPr>
  </w:style>
  <w:style w:type="character" w:customStyle="1" w:styleId="BalloonTextChar">
    <w:name w:val="Balloon Text Char"/>
    <w:basedOn w:val="DefaultParagraphFont"/>
    <w:link w:val="BalloonText"/>
    <w:uiPriority w:val="99"/>
    <w:semiHidden/>
    <w:rsid w:val="00433F21"/>
    <w:rPr>
      <w:rFonts w:ascii="Yu Mincho Light" w:hAnsi="Yu Mincho Light" w:cs="Yu Mincho Light"/>
      <w:sz w:val="18"/>
      <w:szCs w:val="18"/>
    </w:rPr>
  </w:style>
  <w:style w:type="character" w:customStyle="1" w:styleId="STPR2Proofboxheading">
    <w:name w:val="STPR2_Proof_box_heading"/>
    <w:basedOn w:val="DefaultParagraphFont"/>
    <w:uiPriority w:val="1"/>
    <w:qFormat/>
    <w:rsid w:val="00433F21"/>
    <w:rPr>
      <w:rFonts w:ascii="Arial" w:hAnsi="Arial"/>
      <w:b/>
      <w:color w:val="0070C0"/>
    </w:rPr>
  </w:style>
  <w:style w:type="paragraph" w:styleId="BodyText">
    <w:name w:val="Body Text"/>
    <w:basedOn w:val="Normal"/>
    <w:link w:val="BodyTextChar"/>
    <w:uiPriority w:val="99"/>
    <w:unhideWhenUsed/>
    <w:rsid w:val="00433F21"/>
    <w:pPr>
      <w:spacing w:after="120"/>
    </w:pPr>
  </w:style>
  <w:style w:type="character" w:customStyle="1" w:styleId="BodyTextChar">
    <w:name w:val="Body Text Char"/>
    <w:basedOn w:val="DefaultParagraphFont"/>
    <w:link w:val="BodyText"/>
    <w:uiPriority w:val="99"/>
    <w:rsid w:val="00433F21"/>
  </w:style>
  <w:style w:type="paragraph" w:customStyle="1" w:styleId="AppendixHeading2">
    <w:name w:val="Appendix Heading 2"/>
    <w:basedOn w:val="Heading2"/>
    <w:autoRedefine/>
    <w:uiPriority w:val="23"/>
    <w:qFormat/>
    <w:rsid w:val="00433F21"/>
    <w:pPr>
      <w:numPr>
        <w:numId w:val="33"/>
      </w:numPr>
    </w:pPr>
  </w:style>
  <w:style w:type="table" w:styleId="TableGridLight">
    <w:name w:val="Grid Table Light"/>
    <w:basedOn w:val="TableNormal"/>
    <w:uiPriority w:val="40"/>
    <w:rsid w:val="00433F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FD352E"/>
    <w:rPr>
      <w:rFonts w:ascii="Arial" w:eastAsiaTheme="majorEastAsia" w:hAnsi="Arial" w:cstheme="majorBidi"/>
      <w:b/>
      <w:bCs/>
      <w:iCs/>
      <w:sz w:val="24"/>
      <w:szCs w:val="24"/>
      <w:lang w:eastAsia="en-US"/>
    </w:rPr>
  </w:style>
  <w:style w:type="character" w:customStyle="1" w:styleId="Heading5Char">
    <w:name w:val="Heading 5 Char"/>
    <w:basedOn w:val="DefaultParagraphFont"/>
    <w:link w:val="Heading5"/>
    <w:rsid w:val="000C6958"/>
    <w:rPr>
      <w:rFonts w:ascii="Arial" w:eastAsiaTheme="majorEastAsia" w:hAnsi="Arial" w:cstheme="majorBidi"/>
      <w:b/>
      <w:sz w:val="20"/>
      <w:szCs w:val="24"/>
      <w:lang w:eastAsia="en-US"/>
    </w:rPr>
  </w:style>
  <w:style w:type="character" w:customStyle="1" w:styleId="Heading6Char">
    <w:name w:val="Heading 6 Char"/>
    <w:basedOn w:val="DefaultParagraphFont"/>
    <w:link w:val="Heading6"/>
    <w:rsid w:val="000C6958"/>
    <w:rPr>
      <w:rFonts w:ascii="Arial" w:eastAsiaTheme="majorEastAsia" w:hAnsi="Arial" w:cstheme="majorBidi"/>
      <w:b/>
      <w:iCs/>
      <w:sz w:val="20"/>
      <w:szCs w:val="24"/>
      <w:lang w:eastAsia="en-US"/>
    </w:rPr>
  </w:style>
  <w:style w:type="character" w:customStyle="1" w:styleId="Heading7Char">
    <w:name w:val="Heading 7 Char"/>
    <w:basedOn w:val="DefaultParagraphFont"/>
    <w:link w:val="Heading7"/>
    <w:rsid w:val="000C6958"/>
    <w:rPr>
      <w:rFonts w:ascii="Arial" w:hAnsi="Arial"/>
      <w:b/>
      <w:color w:val="00338D"/>
      <w:sz w:val="20"/>
      <w:szCs w:val="24"/>
      <w:lang w:eastAsia="en-US"/>
    </w:rPr>
  </w:style>
  <w:style w:type="character" w:customStyle="1" w:styleId="Heading8Char">
    <w:name w:val="Heading 8 Char"/>
    <w:basedOn w:val="DefaultParagraphFont"/>
    <w:link w:val="Heading8"/>
    <w:rsid w:val="000C6958"/>
    <w:rPr>
      <w:rFonts w:ascii="Arial" w:eastAsiaTheme="majorEastAsia" w:hAnsi="Arial" w:cstheme="majorBidi"/>
      <w:b/>
      <w:bCs/>
      <w:color w:val="00338D"/>
      <w:sz w:val="24"/>
      <w:szCs w:val="26"/>
      <w:lang w:eastAsia="en-US"/>
    </w:rPr>
  </w:style>
  <w:style w:type="character" w:customStyle="1" w:styleId="Heading9Char">
    <w:name w:val="Heading 9 Char"/>
    <w:basedOn w:val="DefaultParagraphFont"/>
    <w:link w:val="Heading9"/>
    <w:uiPriority w:val="9"/>
    <w:semiHidden/>
    <w:rsid w:val="000C6958"/>
    <w:rPr>
      <w:rFonts w:asciiTheme="majorHAnsi" w:eastAsiaTheme="majorEastAsia" w:hAnsiTheme="majorHAnsi" w:cstheme="majorBidi"/>
      <w:i/>
      <w:iCs/>
      <w:color w:val="272727" w:themeColor="text1" w:themeTint="D8"/>
      <w:sz w:val="21"/>
      <w:szCs w:val="21"/>
    </w:rPr>
  </w:style>
  <w:style w:type="paragraph" w:customStyle="1" w:styleId="STPR2AppendicesHeading1">
    <w:name w:val="STPR2_Appendices_Heading 1"/>
    <w:basedOn w:val="STPR2Heading1Nonumbering"/>
    <w:uiPriority w:val="23"/>
    <w:qFormat/>
    <w:rsid w:val="00433F21"/>
  </w:style>
  <w:style w:type="character" w:styleId="CommentReference">
    <w:name w:val="annotation reference"/>
    <w:basedOn w:val="DefaultParagraphFont"/>
    <w:uiPriority w:val="99"/>
    <w:unhideWhenUsed/>
    <w:rsid w:val="00433F21"/>
    <w:rPr>
      <w:sz w:val="16"/>
      <w:szCs w:val="16"/>
    </w:rPr>
  </w:style>
  <w:style w:type="paragraph" w:styleId="CommentText">
    <w:name w:val="annotation text"/>
    <w:basedOn w:val="Normal"/>
    <w:link w:val="CommentTextChar"/>
    <w:uiPriority w:val="99"/>
    <w:unhideWhenUsed/>
    <w:rsid w:val="00433F21"/>
    <w:pPr>
      <w:spacing w:line="240" w:lineRule="auto"/>
    </w:pPr>
    <w:rPr>
      <w:sz w:val="20"/>
      <w:szCs w:val="20"/>
    </w:rPr>
  </w:style>
  <w:style w:type="character" w:customStyle="1" w:styleId="CommentTextChar">
    <w:name w:val="Comment Text Char"/>
    <w:basedOn w:val="DefaultParagraphFont"/>
    <w:link w:val="CommentText"/>
    <w:uiPriority w:val="99"/>
    <w:rsid w:val="00433F21"/>
    <w:rPr>
      <w:sz w:val="20"/>
      <w:szCs w:val="20"/>
    </w:rPr>
  </w:style>
  <w:style w:type="paragraph" w:styleId="ListParagraph">
    <w:name w:val="List Paragraph"/>
    <w:basedOn w:val="Normal"/>
    <w:uiPriority w:val="34"/>
    <w:qFormat/>
    <w:rsid w:val="00433F21"/>
    <w:pPr>
      <w:ind w:left="720"/>
      <w:contextualSpacing/>
    </w:p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autoRedefine/>
    <w:uiPriority w:val="99"/>
    <w:unhideWhenUsed/>
    <w:qFormat/>
    <w:rsid w:val="00433F21"/>
    <w:pPr>
      <w:spacing w:after="0" w:line="240" w:lineRule="auto"/>
    </w:pPr>
    <w:rPr>
      <w:rFonts w:ascii="Arial" w:hAnsi="Arial" w:cs="Arial"/>
      <w:sz w:val="24"/>
      <w:szCs w:val="24"/>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rsid w:val="00433F21"/>
    <w:rPr>
      <w:rFonts w:ascii="Arial" w:hAnsi="Arial" w:cs="Arial"/>
      <w:sz w:val="24"/>
      <w:szCs w:val="24"/>
    </w:rPr>
  </w:style>
  <w:style w:type="character" w:styleId="FootnoteReference">
    <w:name w:val="footnote reference"/>
    <w:basedOn w:val="DefaultParagraphFont"/>
    <w:uiPriority w:val="99"/>
    <w:unhideWhenUsed/>
    <w:qFormat/>
    <w:rsid w:val="00433F21"/>
    <w:rPr>
      <w:vertAlign w:val="superscript"/>
    </w:rPr>
  </w:style>
  <w:style w:type="paragraph" w:customStyle="1" w:styleId="BulletLevel1">
    <w:name w:val="Bullet Level 1"/>
    <w:basedOn w:val="BodyText"/>
    <w:qFormat/>
    <w:rsid w:val="000C6958"/>
    <w:pPr>
      <w:numPr>
        <w:numId w:val="6"/>
      </w:numPr>
      <w:spacing w:line="240" w:lineRule="auto"/>
    </w:pPr>
    <w:rPr>
      <w:rFonts w:ascii="Arial" w:eastAsia="Times New Roman" w:hAnsi="Arial" w:cs="Times New Roman"/>
      <w:sz w:val="20"/>
      <w:szCs w:val="20"/>
      <w:lang w:val="en-US" w:eastAsia="en-US"/>
    </w:rPr>
  </w:style>
  <w:style w:type="character" w:styleId="Strong">
    <w:name w:val="Strong"/>
    <w:rsid w:val="000C6958"/>
    <w:rPr>
      <w:b/>
      <w:bCs/>
    </w:rPr>
  </w:style>
  <w:style w:type="paragraph" w:customStyle="1" w:styleId="Report-Heading1">
    <w:name w:val="Report - Heading 1"/>
    <w:basedOn w:val="Heading1"/>
    <w:next w:val="Report-Heading2"/>
    <w:autoRedefine/>
    <w:qFormat/>
    <w:rsid w:val="000C6958"/>
    <w:pPr>
      <w:keepNext/>
      <w:keepLines/>
      <w:widowControl/>
      <w:numPr>
        <w:numId w:val="7"/>
      </w:numPr>
      <w:autoSpaceDE/>
      <w:adjustRightInd/>
      <w:spacing w:after="360"/>
      <w:textAlignment w:val="baseline"/>
    </w:pPr>
    <w:rPr>
      <w:rFonts w:eastAsia="Times New Roman"/>
      <w:b w:val="0"/>
      <w:color w:val="44546A" w:themeColor="text2"/>
      <w:sz w:val="40"/>
      <w:szCs w:val="40"/>
    </w:rPr>
  </w:style>
  <w:style w:type="paragraph" w:customStyle="1" w:styleId="Report-Heading2">
    <w:name w:val="Report - Heading 2"/>
    <w:basedOn w:val="Report-Heading1"/>
    <w:autoRedefine/>
    <w:qFormat/>
    <w:rsid w:val="000C6958"/>
    <w:pPr>
      <w:keepNext w:val="0"/>
      <w:keepLines w:val="0"/>
      <w:numPr>
        <w:ilvl w:val="1"/>
      </w:numPr>
      <w:spacing w:before="240" w:after="240" w:line="240" w:lineRule="atLeast"/>
    </w:pPr>
    <w:rPr>
      <w:sz w:val="32"/>
      <w:szCs w:val="32"/>
    </w:rPr>
  </w:style>
  <w:style w:type="paragraph" w:customStyle="1" w:styleId="Report-Bodytext">
    <w:name w:val="Report - Body text"/>
    <w:basedOn w:val="Report-Heading2"/>
    <w:autoRedefine/>
    <w:qFormat/>
    <w:rsid w:val="000C6958"/>
    <w:pPr>
      <w:numPr>
        <w:ilvl w:val="0"/>
        <w:numId w:val="0"/>
      </w:numPr>
      <w:tabs>
        <w:tab w:val="left" w:pos="851"/>
      </w:tabs>
      <w:spacing w:before="0" w:after="160" w:line="240" w:lineRule="auto"/>
      <w:jc w:val="both"/>
      <w:textAlignment w:val="auto"/>
    </w:pPr>
    <w:rPr>
      <w:rFonts w:asciiTheme="minorHAnsi" w:hAnsiTheme="minorHAnsi" w:cstheme="minorHAnsi"/>
      <w:color w:val="auto"/>
      <w:sz w:val="22"/>
      <w:szCs w:val="22"/>
    </w:rPr>
  </w:style>
  <w:style w:type="paragraph" w:customStyle="1" w:styleId="Report-TablesDescription">
    <w:name w:val="Report - Tables Description"/>
    <w:basedOn w:val="Normal"/>
    <w:rsid w:val="000C6958"/>
    <w:pPr>
      <w:numPr>
        <w:ilvl w:val="4"/>
        <w:numId w:val="7"/>
      </w:numPr>
      <w:suppressAutoHyphens/>
      <w:autoSpaceDN w:val="0"/>
      <w:spacing w:before="240" w:after="120" w:line="264" w:lineRule="auto"/>
      <w:textAlignment w:val="baseline"/>
    </w:pPr>
    <w:rPr>
      <w:rFonts w:ascii="Arial" w:eastAsia="Times New Roman" w:hAnsi="Arial" w:cs="Arial"/>
      <w:b/>
      <w:color w:val="FF0000"/>
      <w:sz w:val="24"/>
      <w:szCs w:val="24"/>
    </w:rPr>
  </w:style>
  <w:style w:type="paragraph" w:customStyle="1" w:styleId="Report-FiguresDescription">
    <w:name w:val="Report - Figures Description"/>
    <w:basedOn w:val="Report-TablesDescription"/>
    <w:rsid w:val="000C6958"/>
    <w:pPr>
      <w:numPr>
        <w:ilvl w:val="3"/>
      </w:numPr>
    </w:pPr>
  </w:style>
  <w:style w:type="paragraph" w:customStyle="1" w:styleId="Report-footnote">
    <w:name w:val="Report - footnote"/>
    <w:basedOn w:val="FootnoteText"/>
    <w:qFormat/>
    <w:rsid w:val="000C6958"/>
    <w:pPr>
      <w:suppressAutoHyphens/>
      <w:autoSpaceDN w:val="0"/>
      <w:spacing w:before="60" w:after="60"/>
      <w:textAlignment w:val="baseline"/>
    </w:pPr>
    <w:rPr>
      <w:rFonts w:eastAsia="Times New Roman"/>
    </w:rPr>
  </w:style>
  <w:style w:type="paragraph" w:styleId="CommentSubject">
    <w:name w:val="annotation subject"/>
    <w:basedOn w:val="CommentText"/>
    <w:next w:val="CommentText"/>
    <w:link w:val="CommentSubjectChar"/>
    <w:uiPriority w:val="99"/>
    <w:semiHidden/>
    <w:unhideWhenUsed/>
    <w:rsid w:val="00433F21"/>
    <w:rPr>
      <w:b/>
      <w:bCs/>
    </w:rPr>
  </w:style>
  <w:style w:type="character" w:customStyle="1" w:styleId="CommentSubjectChar">
    <w:name w:val="Comment Subject Char"/>
    <w:basedOn w:val="CommentTextChar"/>
    <w:link w:val="CommentSubject"/>
    <w:uiPriority w:val="99"/>
    <w:semiHidden/>
    <w:rsid w:val="00433F21"/>
    <w:rPr>
      <w:b/>
      <w:bCs/>
      <w:sz w:val="20"/>
      <w:szCs w:val="20"/>
    </w:rPr>
  </w:style>
  <w:style w:type="paragraph" w:customStyle="1" w:styleId="Default">
    <w:name w:val="Default"/>
    <w:rsid w:val="00433F21"/>
    <w:pPr>
      <w:autoSpaceDE w:val="0"/>
      <w:autoSpaceDN w:val="0"/>
      <w:adjustRightInd w:val="0"/>
      <w:spacing w:after="0" w:line="240" w:lineRule="auto"/>
    </w:pPr>
    <w:rPr>
      <w:rFonts w:ascii="Yu Mincho Light" w:eastAsiaTheme="minorHAnsi" w:hAnsi="Yu Mincho Light" w:cs="Yu Mincho Light"/>
      <w:color w:val="000000"/>
      <w:sz w:val="24"/>
      <w:szCs w:val="24"/>
      <w:lang w:val="en-US" w:eastAsia="en-US"/>
    </w:rPr>
  </w:style>
  <w:style w:type="paragraph" w:styleId="NormalIndent">
    <w:name w:val="Normal Indent"/>
    <w:aliases w:val="Normal Indent Char Char Char Char,SSR Requirement Response,Normal Indent Char Char Char Char Cha,Normal Indent Char Char Char Char Char Char,Normal Indent Char Char Char Char Char Char Char Char,YF normal indent, Char,Body,Body Char Char"/>
    <w:basedOn w:val="Normal"/>
    <w:link w:val="NormalIndentChar"/>
    <w:rsid w:val="000C6958"/>
    <w:pPr>
      <w:spacing w:after="220" w:line="240" w:lineRule="atLeast"/>
      <w:ind w:left="720"/>
    </w:pPr>
    <w:rPr>
      <w:rFonts w:ascii="Arial" w:hAnsi="Arial"/>
      <w:sz w:val="20"/>
      <w:szCs w:val="24"/>
      <w:lang w:eastAsia="en-US"/>
    </w:rPr>
  </w:style>
  <w:style w:type="character" w:customStyle="1" w:styleId="NormalIndentChar">
    <w:name w:val="Normal Indent Char"/>
    <w:aliases w:val="Normal Indent Char Char Char Char Char,SSR Requirement Response Char,Normal Indent Char Char Char Char Cha Char,Normal Indent Char Char Char Char Char Char Char,Normal Indent Char Char Char Char Char Char Char Char Char, Char Char"/>
    <w:basedOn w:val="DefaultParagraphFont"/>
    <w:link w:val="NormalIndent"/>
    <w:rsid w:val="000C6958"/>
    <w:rPr>
      <w:rFonts w:ascii="Arial" w:hAnsi="Arial"/>
      <w:sz w:val="20"/>
      <w:szCs w:val="24"/>
      <w:lang w:eastAsia="en-US"/>
    </w:rPr>
  </w:style>
  <w:style w:type="paragraph" w:customStyle="1" w:styleId="Report-NTSBodytext">
    <w:name w:val="Report - NTS Body text"/>
    <w:basedOn w:val="Report-Bodytext"/>
    <w:rsid w:val="000C6958"/>
    <w:pPr>
      <w:tabs>
        <w:tab w:val="clear" w:pos="851"/>
      </w:tabs>
      <w:spacing w:before="120"/>
      <w:textAlignment w:val="baseline"/>
      <w:outlineLvl w:val="9"/>
    </w:pPr>
    <w:rPr>
      <w:rFonts w:eastAsiaTheme="minorHAnsi"/>
      <w:lang w:eastAsia="en-US"/>
    </w:rPr>
  </w:style>
  <w:style w:type="paragraph" w:customStyle="1" w:styleId="Report-Bulleted1">
    <w:name w:val="Report - Bulleted 1"/>
    <w:basedOn w:val="Normal"/>
    <w:autoRedefine/>
    <w:qFormat/>
    <w:rsid w:val="000C6958"/>
    <w:pPr>
      <w:numPr>
        <w:numId w:val="8"/>
      </w:numPr>
      <w:tabs>
        <w:tab w:val="left" w:pos="0"/>
        <w:tab w:val="left" w:pos="1418"/>
        <w:tab w:val="left" w:pos="2160"/>
        <w:tab w:val="left" w:pos="3960"/>
        <w:tab w:val="left" w:pos="4680"/>
        <w:tab w:val="right" w:pos="8280"/>
      </w:tabs>
      <w:suppressAutoHyphens/>
      <w:autoSpaceDN w:val="0"/>
      <w:spacing w:before="60" w:after="60" w:line="264" w:lineRule="auto"/>
      <w:ind w:left="1418" w:hanging="284"/>
      <w:textAlignment w:val="baseline"/>
    </w:pPr>
    <w:rPr>
      <w:rFonts w:ascii="Arial" w:eastAsia="Times New Roman" w:hAnsi="Arial" w:cs="Arial"/>
      <w:sz w:val="24"/>
      <w:szCs w:val="24"/>
      <w:lang w:eastAsia="en-US"/>
    </w:rPr>
  </w:style>
  <w:style w:type="paragraph" w:customStyle="1" w:styleId="Report-AppCHeading1">
    <w:name w:val="Report - App C Heading 1"/>
    <w:rsid w:val="000C6958"/>
    <w:pPr>
      <w:autoSpaceDN w:val="0"/>
      <w:spacing w:after="200" w:line="276" w:lineRule="auto"/>
      <w:ind w:left="851" w:hanging="851"/>
      <w:textAlignment w:val="baseline"/>
    </w:pPr>
    <w:rPr>
      <w:rFonts w:ascii="Arial" w:eastAsia="Times New Roman" w:hAnsi="Arial" w:cs="Arial"/>
      <w:bCs/>
      <w:color w:val="44546A" w:themeColor="text2"/>
      <w:sz w:val="32"/>
      <w:szCs w:val="32"/>
    </w:rPr>
  </w:style>
  <w:style w:type="paragraph" w:customStyle="1" w:styleId="paragraph">
    <w:name w:val="paragraph"/>
    <w:basedOn w:val="Normal"/>
    <w:rsid w:val="00433F21"/>
    <w:pPr>
      <w:spacing w:before="100" w:beforeAutospacing="1" w:after="100" w:afterAutospacing="1" w:line="240" w:lineRule="auto"/>
    </w:pPr>
    <w:rPr>
      <w:rFonts w:ascii="Yu Mincho Light" w:eastAsia="Yu Mincho Light" w:hAnsi="Yu Mincho Light" w:cs="Yu Mincho Light"/>
      <w:szCs w:val="24"/>
    </w:rPr>
  </w:style>
  <w:style w:type="character" w:customStyle="1" w:styleId="textrun">
    <w:name w:val="textrun"/>
    <w:basedOn w:val="DefaultParagraphFont"/>
    <w:rsid w:val="000C6958"/>
  </w:style>
  <w:style w:type="character" w:customStyle="1" w:styleId="normaltextrun1">
    <w:name w:val="normaltextrun1"/>
    <w:basedOn w:val="DefaultParagraphFont"/>
    <w:rsid w:val="000C6958"/>
  </w:style>
  <w:style w:type="character" w:customStyle="1" w:styleId="eop">
    <w:name w:val="eop"/>
    <w:basedOn w:val="DefaultParagraphFont"/>
    <w:rsid w:val="00433F21"/>
  </w:style>
  <w:style w:type="character" w:customStyle="1" w:styleId="advancedproofingissue">
    <w:name w:val="advancedproofingissue"/>
    <w:basedOn w:val="DefaultParagraphFont"/>
    <w:rsid w:val="000C6958"/>
  </w:style>
  <w:style w:type="character" w:customStyle="1" w:styleId="contextualspellingandgrammarerror">
    <w:name w:val="contextualspellingandgrammarerror"/>
    <w:basedOn w:val="DefaultParagraphFont"/>
    <w:rsid w:val="000C6958"/>
  </w:style>
  <w:style w:type="paragraph" w:styleId="Revision">
    <w:name w:val="Revision"/>
    <w:hidden/>
    <w:uiPriority w:val="99"/>
    <w:semiHidden/>
    <w:rsid w:val="000C6958"/>
    <w:pPr>
      <w:spacing w:after="0" w:line="240" w:lineRule="auto"/>
    </w:pPr>
  </w:style>
  <w:style w:type="table" w:styleId="GridTable4-Accent5">
    <w:name w:val="Grid Table 4 Accent 5"/>
    <w:basedOn w:val="TableNormal"/>
    <w:uiPriority w:val="49"/>
    <w:rsid w:val="000C6958"/>
    <w:pPr>
      <w:spacing w:after="0" w:line="240" w:lineRule="auto"/>
    </w:pPr>
    <w:rPr>
      <w:rFonts w:eastAsiaTheme="minorHAnsi"/>
      <w:lang w:val="en-US"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0">
    <w:name w:val="Para 0"/>
    <w:basedOn w:val="Normal"/>
    <w:link w:val="Para0Char"/>
    <w:qFormat/>
    <w:rsid w:val="00433F21"/>
    <w:pPr>
      <w:spacing w:before="240" w:after="120" w:line="240" w:lineRule="atLeast"/>
    </w:pPr>
    <w:rPr>
      <w:rFonts w:cs="Yu Mincho Light"/>
      <w:sz w:val="20"/>
      <w:szCs w:val="24"/>
      <w:lang w:eastAsia="en-US"/>
    </w:rPr>
  </w:style>
  <w:style w:type="paragraph" w:customStyle="1" w:styleId="Bodynarrow">
    <w:name w:val="Body narrow"/>
    <w:basedOn w:val="Normal"/>
    <w:rsid w:val="000C6958"/>
    <w:pPr>
      <w:suppressAutoHyphens/>
      <w:autoSpaceDN w:val="0"/>
      <w:spacing w:before="40" w:after="120" w:line="240" w:lineRule="atLeast"/>
      <w:ind w:left="3402"/>
      <w:textAlignment w:val="baseline"/>
    </w:pPr>
    <w:rPr>
      <w:rFonts w:ascii="Arial" w:eastAsia="SimSun" w:hAnsi="Arial" w:cs="Times New Roman"/>
      <w:sz w:val="20"/>
      <w:szCs w:val="24"/>
      <w:lang w:eastAsia="en-US"/>
    </w:rPr>
  </w:style>
  <w:style w:type="paragraph" w:customStyle="1" w:styleId="HeaderSpacer">
    <w:name w:val="Header Spacer"/>
    <w:basedOn w:val="Header"/>
    <w:rsid w:val="000C6958"/>
    <w:pPr>
      <w:tabs>
        <w:tab w:val="clear" w:pos="4513"/>
        <w:tab w:val="clear" w:pos="9026"/>
      </w:tabs>
      <w:suppressAutoHyphens/>
      <w:autoSpaceDN w:val="0"/>
      <w:spacing w:line="480" w:lineRule="exact"/>
      <w:textAlignment w:val="baseline"/>
    </w:pPr>
    <w:rPr>
      <w:rFonts w:eastAsia="SimSun" w:cs="Times New Roman"/>
      <w:color w:val="666666"/>
      <w:sz w:val="22"/>
      <w:szCs w:val="24"/>
      <w:lang w:eastAsia="en-US"/>
    </w:rPr>
  </w:style>
  <w:style w:type="paragraph" w:customStyle="1" w:styleId="Tablesmalltext">
    <w:name w:val="Table small text"/>
    <w:basedOn w:val="Normal"/>
    <w:uiPriority w:val="15"/>
    <w:qFormat/>
    <w:rsid w:val="000C6958"/>
    <w:pPr>
      <w:spacing w:before="40" w:after="40" w:line="240" w:lineRule="atLeast"/>
    </w:pPr>
    <w:rPr>
      <w:rFonts w:ascii="Arial" w:hAnsi="Arial"/>
      <w:sz w:val="16"/>
      <w:szCs w:val="24"/>
      <w:lang w:eastAsia="en-US"/>
    </w:rPr>
  </w:style>
  <w:style w:type="paragraph" w:customStyle="1" w:styleId="Table2number">
    <w:name w:val="Table 2 number"/>
    <w:basedOn w:val="Normal"/>
    <w:uiPriority w:val="15"/>
    <w:rsid w:val="000C6958"/>
    <w:pPr>
      <w:numPr>
        <w:numId w:val="9"/>
      </w:numPr>
      <w:spacing w:before="60" w:after="60" w:line="240" w:lineRule="atLeast"/>
    </w:pPr>
    <w:rPr>
      <w:rFonts w:ascii="Arial" w:hAnsi="Arial"/>
      <w:sz w:val="20"/>
      <w:szCs w:val="24"/>
      <w:lang w:val="en-US" w:eastAsia="en-US"/>
    </w:rPr>
  </w:style>
  <w:style w:type="paragraph" w:customStyle="1" w:styleId="Para0bullet">
    <w:name w:val="Para 0 bullet"/>
    <w:basedOn w:val="Para0"/>
    <w:uiPriority w:val="4"/>
    <w:qFormat/>
    <w:rsid w:val="000C6958"/>
    <w:pPr>
      <w:numPr>
        <w:numId w:val="10"/>
      </w:numPr>
      <w:tabs>
        <w:tab w:val="left" w:pos="851"/>
      </w:tabs>
      <w:spacing w:before="0"/>
    </w:pPr>
    <w:rPr>
      <w:rFonts w:cstheme="minorBidi"/>
    </w:rPr>
  </w:style>
  <w:style w:type="paragraph" w:customStyle="1" w:styleId="Para1narrowarrow">
    <w:name w:val="Para 1 narrow arrow"/>
    <w:basedOn w:val="Normal"/>
    <w:uiPriority w:val="5"/>
    <w:semiHidden/>
    <w:rsid w:val="000C6958"/>
    <w:pPr>
      <w:numPr>
        <w:ilvl w:val="1"/>
        <w:numId w:val="10"/>
      </w:numPr>
      <w:tabs>
        <w:tab w:val="left" w:pos="851"/>
      </w:tabs>
      <w:spacing w:after="120" w:line="240" w:lineRule="atLeast"/>
    </w:pPr>
    <w:rPr>
      <w:rFonts w:ascii="Arial" w:hAnsi="Arial"/>
      <w:sz w:val="20"/>
      <w:szCs w:val="24"/>
      <w:lang w:eastAsia="en-US"/>
    </w:rPr>
  </w:style>
  <w:style w:type="paragraph" w:customStyle="1" w:styleId="Para1bullet">
    <w:name w:val="Para 1 bullet"/>
    <w:basedOn w:val="Para0bullet"/>
    <w:uiPriority w:val="5"/>
    <w:rsid w:val="000C6958"/>
    <w:pPr>
      <w:ind w:left="850"/>
    </w:pPr>
  </w:style>
  <w:style w:type="numbering" w:customStyle="1" w:styleId="JacobsBulletList1">
    <w:name w:val="Jacobs Bullet List 1"/>
    <w:uiPriority w:val="99"/>
    <w:rsid w:val="000C6958"/>
    <w:pPr>
      <w:numPr>
        <w:numId w:val="10"/>
      </w:numPr>
    </w:pPr>
  </w:style>
  <w:style w:type="paragraph" w:customStyle="1" w:styleId="AppendixHeading1">
    <w:name w:val="Appendix Heading 1"/>
    <w:basedOn w:val="Heading9"/>
    <w:next w:val="BodyText"/>
    <w:rsid w:val="000C6958"/>
    <w:pPr>
      <w:keepLines w:val="0"/>
      <w:spacing w:before="240" w:after="120" w:line="240" w:lineRule="auto"/>
      <w:ind w:left="1004" w:hanging="360"/>
      <w:outlineLvl w:val="0"/>
    </w:pPr>
    <w:rPr>
      <w:rFonts w:ascii="Arial" w:eastAsiaTheme="minorEastAsia" w:hAnsi="Arial" w:cstheme="minorBidi"/>
      <w:b/>
      <w:i w:val="0"/>
      <w:iCs w:val="0"/>
      <w:noProof/>
      <w:color w:val="00338D"/>
      <w:sz w:val="32"/>
      <w:szCs w:val="24"/>
      <w:lang w:val="en-US" w:eastAsia="en-US"/>
    </w:rPr>
  </w:style>
  <w:style w:type="paragraph" w:customStyle="1" w:styleId="AppendixHeading3">
    <w:name w:val="Appendix Heading 3"/>
    <w:basedOn w:val="Normal"/>
    <w:next w:val="BodyText"/>
    <w:uiPriority w:val="2"/>
    <w:qFormat/>
    <w:rsid w:val="000C6958"/>
    <w:pPr>
      <w:keepNext/>
      <w:spacing w:before="240" w:after="120" w:line="240" w:lineRule="auto"/>
      <w:ind w:left="907" w:hanging="907"/>
      <w:outlineLvl w:val="2"/>
    </w:pPr>
    <w:rPr>
      <w:rFonts w:ascii="Arial" w:hAnsi="Arial"/>
      <w:b/>
      <w:color w:val="00338D"/>
      <w:sz w:val="20"/>
      <w:szCs w:val="24"/>
      <w:lang w:val="en-US" w:eastAsia="en-US"/>
    </w:rPr>
  </w:style>
  <w:style w:type="paragraph" w:customStyle="1" w:styleId="AppendixHeading4">
    <w:name w:val="Appendix Heading 4"/>
    <w:basedOn w:val="AppendixHeading3"/>
    <w:next w:val="BodyText"/>
    <w:uiPriority w:val="2"/>
    <w:rsid w:val="000C6958"/>
    <w:pPr>
      <w:outlineLvl w:val="3"/>
    </w:pPr>
    <w:rPr>
      <w:color w:val="auto"/>
    </w:rPr>
  </w:style>
  <w:style w:type="paragraph" w:customStyle="1" w:styleId="STPRHeading2">
    <w:name w:val="STPR Heading 2+"/>
    <w:basedOn w:val="STPR2Heading2"/>
    <w:link w:val="STPRHeading2Char"/>
    <w:uiPriority w:val="23"/>
    <w:qFormat/>
    <w:rsid w:val="000C6958"/>
    <w:pPr>
      <w:numPr>
        <w:ilvl w:val="0"/>
      </w:numPr>
      <w:ind w:left="1440" w:hanging="360"/>
    </w:pPr>
  </w:style>
  <w:style w:type="character" w:customStyle="1" w:styleId="NoParagraphStyleChar">
    <w:name w:val="[No Paragraph Style] Char"/>
    <w:basedOn w:val="DefaultParagraphFont"/>
    <w:link w:val="NoParagraphStyle"/>
    <w:uiPriority w:val="24"/>
    <w:rsid w:val="000C6958"/>
    <w:rPr>
      <w:rFonts w:ascii="Yu Mincho Light" w:hAnsi="Yu Mincho Light" w:cs="Yu Mincho Light"/>
      <w:color w:val="000000"/>
      <w:sz w:val="24"/>
      <w:szCs w:val="24"/>
      <w:lang w:val="en-US"/>
    </w:rPr>
  </w:style>
  <w:style w:type="character" w:customStyle="1" w:styleId="STPR2Heading1Char">
    <w:name w:val="STPR2_Heading 1 Char"/>
    <w:basedOn w:val="NoParagraphStyleChar"/>
    <w:link w:val="STPR2Heading1"/>
    <w:uiPriority w:val="4"/>
    <w:rsid w:val="000C6958"/>
    <w:rPr>
      <w:rFonts w:ascii="Arial" w:hAnsi="Arial" w:cs="Arial"/>
      <w:b/>
      <w:bCs/>
      <w:color w:val="B06900"/>
      <w:sz w:val="36"/>
      <w:szCs w:val="36"/>
      <w:lang w:val="en-US"/>
    </w:rPr>
  </w:style>
  <w:style w:type="character" w:customStyle="1" w:styleId="STPR2Heading2Char">
    <w:name w:val="STPR2_Heading 2 Char"/>
    <w:basedOn w:val="DefaultParagraphFont"/>
    <w:link w:val="STPR2Heading2"/>
    <w:uiPriority w:val="5"/>
    <w:rsid w:val="00433F21"/>
    <w:rPr>
      <w:rFonts w:ascii="Arial" w:hAnsi="Arial" w:cs="Arial"/>
      <w:b/>
      <w:bCs/>
      <w:color w:val="626266"/>
      <w:sz w:val="28"/>
      <w:szCs w:val="28"/>
      <w:lang w:val="en-US"/>
    </w:rPr>
  </w:style>
  <w:style w:type="character" w:customStyle="1" w:styleId="STPRHeading2Char">
    <w:name w:val="STPR Heading 2+ Char"/>
    <w:basedOn w:val="STPR2Heading2Char"/>
    <w:link w:val="STPRHeading2"/>
    <w:uiPriority w:val="23"/>
    <w:rsid w:val="000C6958"/>
    <w:rPr>
      <w:rFonts w:ascii="Arial" w:hAnsi="Arial" w:cs="Arial"/>
      <w:b/>
      <w:bCs/>
      <w:color w:val="626266"/>
      <w:sz w:val="28"/>
      <w:szCs w:val="28"/>
      <w:lang w:val="en-US"/>
    </w:rPr>
  </w:style>
  <w:style w:type="paragraph" w:styleId="ListBullet">
    <w:name w:val="List Bullet"/>
    <w:basedOn w:val="Normal"/>
    <w:link w:val="ListBulletChar"/>
    <w:uiPriority w:val="99"/>
    <w:unhideWhenUsed/>
    <w:rsid w:val="00433F21"/>
    <w:pPr>
      <w:numPr>
        <w:numId w:val="35"/>
      </w:numPr>
      <w:contextualSpacing/>
    </w:pPr>
  </w:style>
  <w:style w:type="paragraph" w:styleId="ListBullet2">
    <w:name w:val="List Bullet 2"/>
    <w:basedOn w:val="Normal"/>
    <w:uiPriority w:val="99"/>
    <w:unhideWhenUsed/>
    <w:rsid w:val="00433F21"/>
    <w:pPr>
      <w:numPr>
        <w:numId w:val="36"/>
      </w:numPr>
      <w:spacing w:after="200" w:line="276" w:lineRule="auto"/>
      <w:contextualSpacing/>
    </w:pPr>
    <w:rPr>
      <w:rFonts w:eastAsiaTheme="minorHAnsi"/>
      <w:lang w:eastAsia="en-US"/>
    </w:rPr>
  </w:style>
  <w:style w:type="paragraph" w:styleId="ListBullet3">
    <w:name w:val="List Bullet 3"/>
    <w:basedOn w:val="Normal"/>
    <w:uiPriority w:val="99"/>
    <w:unhideWhenUsed/>
    <w:rsid w:val="00433F21"/>
    <w:pPr>
      <w:numPr>
        <w:numId w:val="37"/>
      </w:numPr>
      <w:contextualSpacing/>
    </w:pPr>
  </w:style>
  <w:style w:type="paragraph" w:customStyle="1" w:styleId="Sidebartext">
    <w:name w:val="Sidebar text"/>
    <w:basedOn w:val="Normal"/>
    <w:uiPriority w:val="12"/>
    <w:qFormat/>
    <w:rsid w:val="000C6958"/>
    <w:pPr>
      <w:framePr w:hSpace="181" w:wrap="around" w:hAnchor="margin" w:x="109" w:y="182"/>
      <w:spacing w:before="40" w:after="120" w:line="240" w:lineRule="atLeast"/>
    </w:pPr>
    <w:rPr>
      <w:rFonts w:ascii="Arial" w:hAnsi="Arial"/>
      <w:sz w:val="18"/>
      <w:szCs w:val="24"/>
      <w:lang w:val="en-US" w:eastAsia="en-US"/>
    </w:rPr>
  </w:style>
  <w:style w:type="paragraph" w:styleId="Caption">
    <w:name w:val="caption"/>
    <w:basedOn w:val="Normal"/>
    <w:next w:val="Normal"/>
    <w:uiPriority w:val="35"/>
    <w:unhideWhenUsed/>
    <w:qFormat/>
    <w:rsid w:val="00433F21"/>
    <w:pPr>
      <w:spacing w:after="200" w:line="240" w:lineRule="auto"/>
    </w:pPr>
    <w:rPr>
      <w:i/>
      <w:iCs/>
      <w:color w:val="44546A" w:themeColor="text2"/>
      <w:sz w:val="18"/>
      <w:szCs w:val="18"/>
    </w:rPr>
  </w:style>
  <w:style w:type="paragraph" w:customStyle="1" w:styleId="CopyrightInfo">
    <w:name w:val="Copyright Info"/>
    <w:basedOn w:val="Normal"/>
    <w:rsid w:val="000C6958"/>
    <w:pPr>
      <w:spacing w:before="200" w:after="30" w:line="180" w:lineRule="exact"/>
      <w:ind w:right="851"/>
      <w:jc w:val="both"/>
    </w:pPr>
    <w:rPr>
      <w:rFonts w:ascii="Arial" w:eastAsiaTheme="minorHAnsi" w:hAnsi="Arial" w:cs="Arial"/>
      <w:sz w:val="14"/>
      <w:szCs w:val="14"/>
      <w:lang w:eastAsia="en-US"/>
    </w:rPr>
  </w:style>
  <w:style w:type="character" w:customStyle="1" w:styleId="STPR2BodyTextChar">
    <w:name w:val="STPR2_Body Text Char"/>
    <w:basedOn w:val="NoParagraphStyleChar"/>
    <w:link w:val="STPR2BodyText"/>
    <w:rsid w:val="00731A9E"/>
    <w:rPr>
      <w:rFonts w:ascii="Arial" w:hAnsi="Arial" w:cs="Arial"/>
      <w:color w:val="000000"/>
      <w:sz w:val="24"/>
      <w:szCs w:val="24"/>
      <w:lang w:val="en-US"/>
    </w:rPr>
  </w:style>
  <w:style w:type="table" w:customStyle="1" w:styleId="TableGrid1">
    <w:name w:val="Table Grid1"/>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6958"/>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styleId="FollowedHyperlink">
    <w:name w:val="FollowedHyperlink"/>
    <w:basedOn w:val="DefaultParagraphFont"/>
    <w:uiPriority w:val="99"/>
    <w:semiHidden/>
    <w:unhideWhenUsed/>
    <w:rsid w:val="00433F21"/>
    <w:rPr>
      <w:color w:val="954F72" w:themeColor="followedHyperlink"/>
      <w:u w:val="single"/>
    </w:rPr>
  </w:style>
  <w:style w:type="paragraph" w:customStyle="1" w:styleId="Tabletext">
    <w:name w:val="Table text"/>
    <w:basedOn w:val="BodyText"/>
    <w:uiPriority w:val="1"/>
    <w:qFormat/>
    <w:rsid w:val="000C6958"/>
    <w:pPr>
      <w:spacing w:before="40" w:after="40" w:line="240" w:lineRule="auto"/>
    </w:pPr>
    <w:rPr>
      <w:rFonts w:eastAsiaTheme="minorHAnsi"/>
      <w:kern w:val="18"/>
      <w:sz w:val="16"/>
      <w:szCs w:val="18"/>
      <w:lang w:eastAsia="en-US"/>
    </w:rPr>
  </w:style>
  <w:style w:type="paragraph" w:customStyle="1" w:styleId="Tableheading">
    <w:name w:val="Table heading"/>
    <w:basedOn w:val="Normal"/>
    <w:uiPriority w:val="14"/>
    <w:qFormat/>
    <w:rsid w:val="000C6958"/>
    <w:pPr>
      <w:keepNext/>
      <w:spacing w:before="100" w:after="100" w:line="240" w:lineRule="atLeast"/>
    </w:pPr>
    <w:rPr>
      <w:rFonts w:ascii="Jacobs Chronos" w:hAnsi="Jacobs Chronos" w:cs="Jacobs Chronos"/>
      <w:b/>
      <w:sz w:val="20"/>
      <w:szCs w:val="24"/>
      <w:lang w:eastAsia="en-US"/>
    </w:rPr>
  </w:style>
  <w:style w:type="table" w:customStyle="1" w:styleId="TableGrid5">
    <w:name w:val="Table Grid5"/>
    <w:basedOn w:val="TableNormal"/>
    <w:next w:val="TableGrid"/>
    <w:uiPriority w:val="5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semiHidden/>
    <w:rsid w:val="000C6958"/>
    <w:pPr>
      <w:spacing w:after="0" w:line="240" w:lineRule="auto"/>
      <w:ind w:left="3402"/>
    </w:pPr>
    <w:rPr>
      <w:rFonts w:ascii="Jacobs Chronos" w:hAnsi="Jacobs Chronos" w:cs="Jacobs Chronos"/>
      <w:b/>
      <w:color w:val="999999"/>
      <w:sz w:val="24"/>
      <w:szCs w:val="24"/>
      <w:lang w:eastAsia="en-US"/>
    </w:rPr>
  </w:style>
  <w:style w:type="paragraph" w:customStyle="1" w:styleId="DocumentTitle">
    <w:name w:val="Document Title"/>
    <w:basedOn w:val="Normal"/>
    <w:uiPriority w:val="19"/>
    <w:rsid w:val="00433F21"/>
    <w:pPr>
      <w:spacing w:before="60" w:after="60" w:line="240" w:lineRule="atLeast"/>
    </w:pPr>
    <w:rPr>
      <w:rFonts w:cs="Yu Mincho Light"/>
      <w:sz w:val="20"/>
      <w:szCs w:val="24"/>
      <w:lang w:eastAsia="en-US"/>
    </w:rPr>
  </w:style>
  <w:style w:type="character" w:customStyle="1" w:styleId="Mention1">
    <w:name w:val="Mention1"/>
    <w:basedOn w:val="DefaultParagraphFont"/>
    <w:uiPriority w:val="99"/>
    <w:unhideWhenUsed/>
    <w:rsid w:val="005163E2"/>
    <w:rPr>
      <w:color w:val="2B579A"/>
      <w:shd w:val="clear" w:color="auto" w:fill="E1DFDD"/>
    </w:rPr>
  </w:style>
  <w:style w:type="character" w:customStyle="1" w:styleId="normaltextrun">
    <w:name w:val="normaltextrun"/>
    <w:basedOn w:val="DefaultParagraphFont"/>
    <w:rsid w:val="00433F21"/>
  </w:style>
  <w:style w:type="table" w:customStyle="1" w:styleId="AECOMtable">
    <w:name w:val="AECOM table"/>
    <w:basedOn w:val="TableNormal"/>
    <w:uiPriority w:val="99"/>
    <w:unhideWhenUsed/>
    <w:rsid w:val="00861735"/>
    <w:pPr>
      <w:spacing w:after="0" w:line="240" w:lineRule="auto"/>
    </w:pPr>
    <w:rPr>
      <w:rFonts w:eastAsiaTheme="minorHAns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customStyle="1" w:styleId="TableListBullet">
    <w:name w:val="Table List Bullet"/>
    <w:basedOn w:val="Normal"/>
    <w:uiPriority w:val="16"/>
    <w:qFormat/>
    <w:rsid w:val="00861735"/>
    <w:pPr>
      <w:numPr>
        <w:numId w:val="15"/>
      </w:numPr>
      <w:spacing w:after="40" w:line="240" w:lineRule="auto"/>
    </w:pPr>
    <w:rPr>
      <w:rFonts w:eastAsiaTheme="minorHAnsi"/>
      <w:kern w:val="18"/>
      <w:sz w:val="16"/>
      <w:szCs w:val="18"/>
      <w:lang w:eastAsia="en-US"/>
    </w:rPr>
  </w:style>
  <w:style w:type="paragraph" w:customStyle="1" w:styleId="TableListBullet2">
    <w:name w:val="Table List Bullet 2"/>
    <w:basedOn w:val="Normal"/>
    <w:uiPriority w:val="17"/>
    <w:qFormat/>
    <w:rsid w:val="00861735"/>
    <w:pPr>
      <w:numPr>
        <w:ilvl w:val="1"/>
        <w:numId w:val="15"/>
      </w:numPr>
      <w:spacing w:after="40" w:line="240" w:lineRule="auto"/>
    </w:pPr>
    <w:rPr>
      <w:rFonts w:eastAsiaTheme="minorHAnsi"/>
      <w:kern w:val="18"/>
      <w:sz w:val="16"/>
      <w:szCs w:val="18"/>
      <w:lang w:eastAsia="en-US"/>
    </w:rPr>
  </w:style>
  <w:style w:type="paragraph" w:customStyle="1" w:styleId="TableListBullet3">
    <w:name w:val="Table List Bullet 3"/>
    <w:basedOn w:val="Normal"/>
    <w:uiPriority w:val="18"/>
    <w:qFormat/>
    <w:rsid w:val="00861735"/>
    <w:pPr>
      <w:numPr>
        <w:ilvl w:val="2"/>
        <w:numId w:val="15"/>
      </w:numPr>
      <w:spacing w:after="40" w:line="240" w:lineRule="auto"/>
    </w:pPr>
    <w:rPr>
      <w:rFonts w:eastAsiaTheme="minorHAnsi"/>
      <w:kern w:val="18"/>
      <w:sz w:val="16"/>
      <w:szCs w:val="18"/>
      <w:lang w:eastAsia="en-US"/>
    </w:rPr>
  </w:style>
  <w:style w:type="character" w:customStyle="1" w:styleId="ListBulletChar">
    <w:name w:val="List Bullet Char"/>
    <w:basedOn w:val="DefaultParagraphFont"/>
    <w:link w:val="ListBullet"/>
    <w:uiPriority w:val="99"/>
    <w:locked/>
    <w:rsid w:val="00A448AE"/>
  </w:style>
  <w:style w:type="character" w:styleId="UnresolvedMention">
    <w:name w:val="Unresolved Mention"/>
    <w:basedOn w:val="DefaultParagraphFont"/>
    <w:uiPriority w:val="99"/>
    <w:unhideWhenUsed/>
    <w:rsid w:val="00433F21"/>
    <w:rPr>
      <w:color w:val="605E5C"/>
      <w:shd w:val="clear" w:color="auto" w:fill="E1DFDD"/>
    </w:rPr>
  </w:style>
  <w:style w:type="character" w:styleId="Mention">
    <w:name w:val="Mention"/>
    <w:basedOn w:val="DefaultParagraphFont"/>
    <w:uiPriority w:val="99"/>
    <w:unhideWhenUsed/>
    <w:rsid w:val="00433F21"/>
    <w:rPr>
      <w:color w:val="2B579A"/>
      <w:shd w:val="clear" w:color="auto" w:fill="E1DFDD"/>
    </w:rPr>
  </w:style>
  <w:style w:type="paragraph" w:styleId="NoSpacing">
    <w:name w:val="No Spacing"/>
    <w:link w:val="NoSpacingChar"/>
    <w:uiPriority w:val="1"/>
    <w:qFormat/>
    <w:rsid w:val="00433F21"/>
    <w:pPr>
      <w:spacing w:after="0" w:line="240" w:lineRule="auto"/>
    </w:pPr>
    <w:rPr>
      <w:lang w:val="en-US" w:eastAsia="en-US"/>
    </w:rPr>
  </w:style>
  <w:style w:type="paragraph" w:customStyle="1" w:styleId="Appendix">
    <w:name w:val="Appendix"/>
    <w:basedOn w:val="Heading1"/>
    <w:next w:val="BodyText"/>
    <w:autoRedefine/>
    <w:uiPriority w:val="7"/>
    <w:qFormat/>
    <w:rsid w:val="00874931"/>
    <w:pPr>
      <w:keepNext/>
      <w:keepLines/>
      <w:pageBreakBefore/>
      <w:widowControl/>
      <w:numPr>
        <w:numId w:val="33"/>
      </w:numPr>
      <w:suppressAutoHyphens w:val="0"/>
      <w:autoSpaceDE/>
      <w:autoSpaceDN/>
      <w:adjustRightInd/>
      <w:spacing w:before="120"/>
      <w:ind w:left="2250" w:hanging="2250"/>
      <w:textAlignment w:val="auto"/>
    </w:pPr>
    <w:rPr>
      <w:rFonts w:eastAsiaTheme="majorEastAsia" w:cstheme="majorBidi"/>
      <w:kern w:val="18"/>
      <w:szCs w:val="28"/>
      <w:lang w:eastAsia="en-US"/>
    </w:rPr>
  </w:style>
  <w:style w:type="paragraph" w:customStyle="1" w:styleId="ClientName">
    <w:name w:val="Client Name"/>
    <w:basedOn w:val="Normal"/>
    <w:uiPriority w:val="19"/>
    <w:qFormat/>
    <w:rsid w:val="00433F21"/>
    <w:pPr>
      <w:spacing w:before="60" w:after="60" w:line="240" w:lineRule="atLeast"/>
    </w:pPr>
    <w:rPr>
      <w:rFonts w:cs="Yu Mincho Light"/>
      <w:sz w:val="20"/>
      <w:szCs w:val="24"/>
      <w:lang w:eastAsia="en-US"/>
    </w:rPr>
  </w:style>
  <w:style w:type="paragraph" w:customStyle="1" w:styleId="CoverDate">
    <w:name w:val="Cover Date"/>
    <w:basedOn w:val="Normal"/>
    <w:next w:val="Para0"/>
    <w:rsid w:val="00433F21"/>
    <w:pPr>
      <w:spacing w:after="200" w:line="280" w:lineRule="exact"/>
      <w:ind w:right="851"/>
      <w:jc w:val="right"/>
    </w:pPr>
    <w:rPr>
      <w:rFonts w:cs="Yu Mincho Light"/>
      <w:b/>
      <w:color w:val="E7E6E6" w:themeColor="background2"/>
      <w:szCs w:val="24"/>
      <w:lang w:val="en-US" w:eastAsia="en-US"/>
    </w:rPr>
  </w:style>
  <w:style w:type="paragraph" w:customStyle="1" w:styleId="CoverHeading">
    <w:name w:val="Cover Heading"/>
    <w:basedOn w:val="Normal"/>
    <w:next w:val="Normal"/>
    <w:rsid w:val="00433F21"/>
    <w:pPr>
      <w:spacing w:after="200" w:line="360" w:lineRule="exact"/>
      <w:ind w:right="851"/>
      <w:jc w:val="right"/>
    </w:pPr>
    <w:rPr>
      <w:rFonts w:cs="Yu Mincho Light"/>
      <w:b/>
      <w:color w:val="E7E6E6" w:themeColor="background2"/>
      <w:sz w:val="32"/>
      <w:szCs w:val="24"/>
      <w:lang w:val="en-US" w:eastAsia="en-US"/>
    </w:rPr>
  </w:style>
  <w:style w:type="paragraph" w:customStyle="1" w:styleId="CoverSubheading">
    <w:name w:val="Cover Subheading"/>
    <w:basedOn w:val="Normal"/>
    <w:next w:val="CoverDate"/>
    <w:rsid w:val="00433F21"/>
    <w:pPr>
      <w:spacing w:after="200" w:line="280" w:lineRule="exact"/>
      <w:ind w:right="851"/>
      <w:jc w:val="right"/>
    </w:pPr>
    <w:rPr>
      <w:rFonts w:cs="Yu Mincho Light"/>
      <w:b/>
      <w:color w:val="E7E6E6" w:themeColor="background2"/>
      <w:lang w:val="en-US" w:eastAsia="en-US"/>
    </w:rPr>
  </w:style>
  <w:style w:type="paragraph" w:customStyle="1" w:styleId="EmptyHeader">
    <w:name w:val="Empty Header"/>
    <w:basedOn w:val="Header"/>
    <w:rsid w:val="00433F21"/>
    <w:pPr>
      <w:tabs>
        <w:tab w:val="clear" w:pos="4513"/>
        <w:tab w:val="clear" w:pos="9026"/>
      </w:tabs>
      <w:spacing w:line="20" w:lineRule="exact"/>
      <w:ind w:left="142"/>
    </w:pPr>
    <w:rPr>
      <w:rFonts w:cs="Yu Mincho Light"/>
      <w:color w:val="666666"/>
      <w:sz w:val="2"/>
      <w:szCs w:val="24"/>
      <w:lang w:eastAsia="en-US"/>
    </w:rPr>
  </w:style>
  <w:style w:type="character" w:styleId="EndnoteReference">
    <w:name w:val="endnote reference"/>
    <w:basedOn w:val="DefaultParagraphFont"/>
    <w:uiPriority w:val="99"/>
    <w:semiHidden/>
    <w:unhideWhenUsed/>
    <w:rsid w:val="00433F21"/>
    <w:rPr>
      <w:vertAlign w:val="superscript"/>
    </w:rPr>
  </w:style>
  <w:style w:type="paragraph" w:styleId="EndnoteText">
    <w:name w:val="endnote text"/>
    <w:basedOn w:val="Normal"/>
    <w:link w:val="EndnoteTextChar"/>
    <w:uiPriority w:val="99"/>
    <w:unhideWhenUsed/>
    <w:rsid w:val="00433F21"/>
    <w:pPr>
      <w:spacing w:after="0" w:line="240" w:lineRule="auto"/>
    </w:pPr>
    <w:rPr>
      <w:sz w:val="20"/>
      <w:szCs w:val="20"/>
    </w:rPr>
  </w:style>
  <w:style w:type="character" w:customStyle="1" w:styleId="EndnoteTextChar">
    <w:name w:val="Endnote Text Char"/>
    <w:basedOn w:val="DefaultParagraphFont"/>
    <w:link w:val="EndnoteText"/>
    <w:uiPriority w:val="99"/>
    <w:rsid w:val="00433F21"/>
    <w:rPr>
      <w:sz w:val="20"/>
      <w:szCs w:val="20"/>
    </w:rPr>
  </w:style>
  <w:style w:type="paragraph" w:customStyle="1" w:styleId="TableHeading0">
    <w:name w:val="Table Heading"/>
    <w:basedOn w:val="Caption"/>
    <w:autoRedefine/>
    <w:uiPriority w:val="23"/>
    <w:qFormat/>
    <w:rsid w:val="00433F21"/>
    <w:pPr>
      <w:keepNext/>
    </w:pPr>
    <w:rPr>
      <w:rFonts w:ascii="Arial" w:hAnsi="Arial"/>
      <w:b/>
      <w:i w:val="0"/>
      <w:color w:val="925700"/>
      <w:sz w:val="24"/>
    </w:rPr>
  </w:style>
  <w:style w:type="paragraph" w:customStyle="1" w:styleId="FigureHeading">
    <w:name w:val="Figure Heading"/>
    <w:basedOn w:val="TableHeading0"/>
    <w:autoRedefine/>
    <w:uiPriority w:val="23"/>
    <w:qFormat/>
    <w:rsid w:val="00433F21"/>
    <w:pPr>
      <w:keepNext w:val="0"/>
    </w:pPr>
  </w:style>
  <w:style w:type="character" w:customStyle="1" w:styleId="NoSpacingChar">
    <w:name w:val="No Spacing Char"/>
    <w:basedOn w:val="DefaultParagraphFont"/>
    <w:link w:val="NoSpacing"/>
    <w:uiPriority w:val="1"/>
    <w:rsid w:val="00433F21"/>
    <w:rPr>
      <w:lang w:val="en-US" w:eastAsia="en-US"/>
    </w:rPr>
  </w:style>
  <w:style w:type="paragraph" w:customStyle="1" w:styleId="Numberedtext">
    <w:name w:val="Numbered text"/>
    <w:basedOn w:val="BodyText"/>
    <w:uiPriority w:val="2"/>
    <w:qFormat/>
    <w:rsid w:val="00433F21"/>
    <w:pPr>
      <w:tabs>
        <w:tab w:val="num" w:pos="360"/>
      </w:tabs>
      <w:spacing w:after="180" w:line="240" w:lineRule="atLeast"/>
    </w:pPr>
    <w:rPr>
      <w:rFonts w:eastAsiaTheme="minorHAnsi"/>
      <w:kern w:val="18"/>
      <w:sz w:val="18"/>
      <w:szCs w:val="18"/>
      <w:lang w:eastAsia="en-US"/>
    </w:rPr>
  </w:style>
  <w:style w:type="character" w:customStyle="1" w:styleId="Para0Char">
    <w:name w:val="Para 0 Char"/>
    <w:basedOn w:val="DefaultParagraphFont"/>
    <w:link w:val="Para0"/>
    <w:uiPriority w:val="4"/>
    <w:rsid w:val="00433F21"/>
    <w:rPr>
      <w:rFonts w:cs="Yu Mincho Light"/>
      <w:sz w:val="20"/>
      <w:szCs w:val="24"/>
      <w:lang w:eastAsia="en-US"/>
    </w:rPr>
  </w:style>
  <w:style w:type="paragraph" w:customStyle="1" w:styleId="STPR2CaptionFigures">
    <w:name w:val="STPR2_Caption_Figures"/>
    <w:basedOn w:val="STPR2TableHeading"/>
    <w:autoRedefine/>
    <w:uiPriority w:val="19"/>
    <w:rsid w:val="00433F21"/>
    <w:pPr>
      <w:spacing w:before="120" w:after="120"/>
    </w:pPr>
    <w:rPr>
      <w:rFonts w:cs="Yu Mincho Light"/>
      <w:caps w:val="0"/>
      <w:color w:val="44546A" w:themeColor="text2"/>
      <w:szCs w:val="20"/>
    </w:rPr>
  </w:style>
  <w:style w:type="paragraph" w:customStyle="1" w:styleId="STPR2WhiteTableHeading">
    <w:name w:val="STPR2_White Table Heading"/>
    <w:basedOn w:val="STPR2TableHeading"/>
    <w:uiPriority w:val="23"/>
    <w:qFormat/>
    <w:rsid w:val="00433F21"/>
    <w:rPr>
      <w:color w:val="FFFFFF" w:themeColor="background1"/>
    </w:rPr>
  </w:style>
  <w:style w:type="paragraph" w:customStyle="1" w:styleId="TABLEHEADINGWHITE">
    <w:name w:val="TABLE HEADING WHITE"/>
    <w:basedOn w:val="STPR2TableHeading"/>
    <w:uiPriority w:val="23"/>
    <w:qFormat/>
    <w:rsid w:val="00433F21"/>
    <w:rPr>
      <w:bCs w:val="0"/>
      <w:color w:val="FFFFFF" w:themeColor="background1"/>
    </w:rPr>
  </w:style>
  <w:style w:type="paragraph" w:styleId="TableofFigures">
    <w:name w:val="table of figures"/>
    <w:basedOn w:val="Normal"/>
    <w:next w:val="Normal"/>
    <w:autoRedefine/>
    <w:uiPriority w:val="99"/>
    <w:unhideWhenUsed/>
    <w:rsid w:val="007100CE"/>
    <w:pPr>
      <w:tabs>
        <w:tab w:val="right" w:leader="dot" w:pos="9628"/>
      </w:tabs>
      <w:spacing w:after="0"/>
    </w:pPr>
    <w:rPr>
      <w:rFonts w:ascii="Arial" w:hAnsi="Arial"/>
      <w:noProof/>
      <w:color w:val="626266"/>
      <w:sz w:val="24"/>
    </w:rPr>
  </w:style>
  <w:style w:type="paragraph" w:styleId="TOC4">
    <w:name w:val="toc 4"/>
    <w:basedOn w:val="Normal"/>
    <w:next w:val="Normal"/>
    <w:autoRedefine/>
    <w:uiPriority w:val="39"/>
    <w:unhideWhenUsed/>
    <w:rsid w:val="00433F21"/>
    <w:pPr>
      <w:spacing w:after="100"/>
      <w:ind w:left="660"/>
    </w:pPr>
    <w:rPr>
      <w:lang w:val="en-US" w:eastAsia="en-US"/>
    </w:rPr>
  </w:style>
  <w:style w:type="paragraph" w:styleId="TOC5">
    <w:name w:val="toc 5"/>
    <w:basedOn w:val="Normal"/>
    <w:next w:val="Normal"/>
    <w:autoRedefine/>
    <w:uiPriority w:val="39"/>
    <w:unhideWhenUsed/>
    <w:rsid w:val="00433F21"/>
    <w:pPr>
      <w:spacing w:after="100"/>
      <w:ind w:left="880"/>
    </w:pPr>
    <w:rPr>
      <w:lang w:val="en-US" w:eastAsia="en-US"/>
    </w:rPr>
  </w:style>
  <w:style w:type="paragraph" w:styleId="TOC6">
    <w:name w:val="toc 6"/>
    <w:basedOn w:val="Normal"/>
    <w:next w:val="Normal"/>
    <w:autoRedefine/>
    <w:uiPriority w:val="39"/>
    <w:unhideWhenUsed/>
    <w:rsid w:val="00433F21"/>
    <w:pPr>
      <w:spacing w:after="100"/>
      <w:ind w:left="1100"/>
    </w:pPr>
    <w:rPr>
      <w:lang w:val="en-US" w:eastAsia="en-US"/>
    </w:rPr>
  </w:style>
  <w:style w:type="paragraph" w:styleId="TOC7">
    <w:name w:val="toc 7"/>
    <w:basedOn w:val="Normal"/>
    <w:next w:val="Normal"/>
    <w:autoRedefine/>
    <w:uiPriority w:val="39"/>
    <w:unhideWhenUsed/>
    <w:rsid w:val="00433F21"/>
    <w:pPr>
      <w:spacing w:after="100"/>
      <w:ind w:left="1320"/>
    </w:pPr>
    <w:rPr>
      <w:lang w:val="en-US" w:eastAsia="en-US"/>
    </w:rPr>
  </w:style>
  <w:style w:type="paragraph" w:styleId="TOC8">
    <w:name w:val="toc 8"/>
    <w:basedOn w:val="Normal"/>
    <w:next w:val="Normal"/>
    <w:autoRedefine/>
    <w:uiPriority w:val="39"/>
    <w:unhideWhenUsed/>
    <w:rsid w:val="00433F21"/>
    <w:pPr>
      <w:spacing w:after="100"/>
      <w:ind w:left="1540"/>
    </w:pPr>
    <w:rPr>
      <w:lang w:val="en-US" w:eastAsia="en-US"/>
    </w:rPr>
  </w:style>
  <w:style w:type="paragraph" w:styleId="TOC9">
    <w:name w:val="toc 9"/>
    <w:basedOn w:val="Normal"/>
    <w:next w:val="Normal"/>
    <w:autoRedefine/>
    <w:uiPriority w:val="39"/>
    <w:unhideWhenUsed/>
    <w:rsid w:val="00433F21"/>
    <w:pPr>
      <w:spacing w:after="100"/>
      <w:ind w:left="1760"/>
    </w:pPr>
    <w:rPr>
      <w:lang w:val="en-US" w:eastAsia="en-US"/>
    </w:rPr>
  </w:style>
  <w:style w:type="character" w:customStyle="1" w:styleId="UnresolvedMention10">
    <w:name w:val="Unresolved Mention10"/>
    <w:basedOn w:val="DefaultParagraphFont"/>
    <w:uiPriority w:val="99"/>
    <w:semiHidden/>
    <w:unhideWhenUsed/>
    <w:rsid w:val="00433F21"/>
    <w:rPr>
      <w:color w:val="808080"/>
      <w:shd w:val="clear" w:color="auto" w:fill="E6E6E6"/>
    </w:rPr>
  </w:style>
  <w:style w:type="character" w:customStyle="1" w:styleId="UnresolvedMention11">
    <w:name w:val="Unresolved Mention11"/>
    <w:basedOn w:val="DefaultParagraphFont"/>
    <w:uiPriority w:val="99"/>
    <w:semiHidden/>
    <w:unhideWhenUsed/>
    <w:rsid w:val="00433F21"/>
    <w:rPr>
      <w:color w:val="808080"/>
      <w:shd w:val="clear" w:color="auto" w:fill="E6E6E6"/>
    </w:rPr>
  </w:style>
  <w:style w:type="character" w:customStyle="1" w:styleId="UnresolvedMention2">
    <w:name w:val="Unresolved Mention2"/>
    <w:basedOn w:val="DefaultParagraphFont"/>
    <w:uiPriority w:val="99"/>
    <w:semiHidden/>
    <w:unhideWhenUsed/>
    <w:rsid w:val="00433F21"/>
    <w:rPr>
      <w:color w:val="605E5C"/>
      <w:shd w:val="clear" w:color="auto" w:fill="E1DFDD"/>
    </w:rPr>
  </w:style>
  <w:style w:type="character" w:customStyle="1" w:styleId="UnresolvedMention3">
    <w:name w:val="Unresolved Mention3"/>
    <w:basedOn w:val="DefaultParagraphFont"/>
    <w:uiPriority w:val="99"/>
    <w:semiHidden/>
    <w:unhideWhenUsed/>
    <w:rsid w:val="00433F21"/>
    <w:rPr>
      <w:color w:val="808080"/>
      <w:shd w:val="clear" w:color="auto" w:fill="E6E6E6"/>
    </w:rPr>
  </w:style>
  <w:style w:type="character" w:customStyle="1" w:styleId="UnresolvedMention4">
    <w:name w:val="Unresolved Mention4"/>
    <w:basedOn w:val="DefaultParagraphFont"/>
    <w:uiPriority w:val="99"/>
    <w:semiHidden/>
    <w:unhideWhenUsed/>
    <w:rsid w:val="00433F21"/>
    <w:rPr>
      <w:color w:val="605E5C"/>
      <w:shd w:val="clear" w:color="auto" w:fill="E1DFDD"/>
    </w:rPr>
  </w:style>
  <w:style w:type="character" w:customStyle="1" w:styleId="UnresolvedMention5">
    <w:name w:val="Unresolved Mention5"/>
    <w:basedOn w:val="DefaultParagraphFont"/>
    <w:uiPriority w:val="99"/>
    <w:semiHidden/>
    <w:unhideWhenUsed/>
    <w:rsid w:val="00433F21"/>
    <w:rPr>
      <w:color w:val="605E5C"/>
      <w:shd w:val="clear" w:color="auto" w:fill="E1DFDD"/>
    </w:rPr>
  </w:style>
  <w:style w:type="character" w:customStyle="1" w:styleId="UnresolvedMention6">
    <w:name w:val="Unresolved Mention6"/>
    <w:basedOn w:val="DefaultParagraphFont"/>
    <w:uiPriority w:val="99"/>
    <w:semiHidden/>
    <w:unhideWhenUsed/>
    <w:rsid w:val="00433F21"/>
    <w:rPr>
      <w:color w:val="605E5C"/>
      <w:shd w:val="clear" w:color="auto" w:fill="E1DFDD"/>
    </w:rPr>
  </w:style>
  <w:style w:type="character" w:customStyle="1" w:styleId="UnresolvedMention7">
    <w:name w:val="Unresolved Mention7"/>
    <w:basedOn w:val="DefaultParagraphFont"/>
    <w:uiPriority w:val="99"/>
    <w:unhideWhenUsed/>
    <w:rsid w:val="00433F21"/>
    <w:rPr>
      <w:color w:val="605E5C"/>
      <w:shd w:val="clear" w:color="auto" w:fill="E1DFDD"/>
    </w:rPr>
  </w:style>
  <w:style w:type="character" w:customStyle="1" w:styleId="UnresolvedMention8">
    <w:name w:val="Unresolved Mention8"/>
    <w:basedOn w:val="DefaultParagraphFont"/>
    <w:uiPriority w:val="99"/>
    <w:semiHidden/>
    <w:unhideWhenUsed/>
    <w:rsid w:val="00433F21"/>
    <w:rPr>
      <w:color w:val="605E5C"/>
      <w:shd w:val="clear" w:color="auto" w:fill="E1DFDD"/>
    </w:rPr>
  </w:style>
  <w:style w:type="character" w:customStyle="1" w:styleId="UnresolvedMention9">
    <w:name w:val="Unresolved Mention9"/>
    <w:basedOn w:val="DefaultParagraphFont"/>
    <w:uiPriority w:val="99"/>
    <w:semiHidden/>
    <w:unhideWhenUsed/>
    <w:rsid w:val="00433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2459">
      <w:bodyDiv w:val="1"/>
      <w:marLeft w:val="0"/>
      <w:marRight w:val="0"/>
      <w:marTop w:val="0"/>
      <w:marBottom w:val="0"/>
      <w:divBdr>
        <w:top w:val="none" w:sz="0" w:space="0" w:color="auto"/>
        <w:left w:val="none" w:sz="0" w:space="0" w:color="auto"/>
        <w:bottom w:val="none" w:sz="0" w:space="0" w:color="auto"/>
        <w:right w:val="none" w:sz="0" w:space="0" w:color="auto"/>
      </w:divBdr>
      <w:divsChild>
        <w:div w:id="84956287">
          <w:marLeft w:val="0"/>
          <w:marRight w:val="0"/>
          <w:marTop w:val="0"/>
          <w:marBottom w:val="0"/>
          <w:divBdr>
            <w:top w:val="none" w:sz="0" w:space="0" w:color="auto"/>
            <w:left w:val="none" w:sz="0" w:space="0" w:color="auto"/>
            <w:bottom w:val="none" w:sz="0" w:space="0" w:color="auto"/>
            <w:right w:val="none" w:sz="0" w:space="0" w:color="auto"/>
          </w:divBdr>
          <w:divsChild>
            <w:div w:id="1858079067">
              <w:marLeft w:val="0"/>
              <w:marRight w:val="0"/>
              <w:marTop w:val="0"/>
              <w:marBottom w:val="0"/>
              <w:divBdr>
                <w:top w:val="none" w:sz="0" w:space="0" w:color="auto"/>
                <w:left w:val="none" w:sz="0" w:space="0" w:color="auto"/>
                <w:bottom w:val="none" w:sz="0" w:space="0" w:color="auto"/>
                <w:right w:val="none" w:sz="0" w:space="0" w:color="auto"/>
              </w:divBdr>
            </w:div>
          </w:divsChild>
        </w:div>
        <w:div w:id="108202001">
          <w:marLeft w:val="0"/>
          <w:marRight w:val="0"/>
          <w:marTop w:val="0"/>
          <w:marBottom w:val="0"/>
          <w:divBdr>
            <w:top w:val="none" w:sz="0" w:space="0" w:color="auto"/>
            <w:left w:val="none" w:sz="0" w:space="0" w:color="auto"/>
            <w:bottom w:val="none" w:sz="0" w:space="0" w:color="auto"/>
            <w:right w:val="none" w:sz="0" w:space="0" w:color="auto"/>
          </w:divBdr>
          <w:divsChild>
            <w:div w:id="1561557941">
              <w:marLeft w:val="0"/>
              <w:marRight w:val="0"/>
              <w:marTop w:val="0"/>
              <w:marBottom w:val="0"/>
              <w:divBdr>
                <w:top w:val="none" w:sz="0" w:space="0" w:color="auto"/>
                <w:left w:val="none" w:sz="0" w:space="0" w:color="auto"/>
                <w:bottom w:val="none" w:sz="0" w:space="0" w:color="auto"/>
                <w:right w:val="none" w:sz="0" w:space="0" w:color="auto"/>
              </w:divBdr>
            </w:div>
          </w:divsChild>
        </w:div>
        <w:div w:id="120610646">
          <w:marLeft w:val="0"/>
          <w:marRight w:val="0"/>
          <w:marTop w:val="0"/>
          <w:marBottom w:val="0"/>
          <w:divBdr>
            <w:top w:val="none" w:sz="0" w:space="0" w:color="auto"/>
            <w:left w:val="none" w:sz="0" w:space="0" w:color="auto"/>
            <w:bottom w:val="none" w:sz="0" w:space="0" w:color="auto"/>
            <w:right w:val="none" w:sz="0" w:space="0" w:color="auto"/>
          </w:divBdr>
          <w:divsChild>
            <w:div w:id="2018266478">
              <w:marLeft w:val="0"/>
              <w:marRight w:val="0"/>
              <w:marTop w:val="0"/>
              <w:marBottom w:val="0"/>
              <w:divBdr>
                <w:top w:val="none" w:sz="0" w:space="0" w:color="auto"/>
                <w:left w:val="none" w:sz="0" w:space="0" w:color="auto"/>
                <w:bottom w:val="none" w:sz="0" w:space="0" w:color="auto"/>
                <w:right w:val="none" w:sz="0" w:space="0" w:color="auto"/>
              </w:divBdr>
            </w:div>
          </w:divsChild>
        </w:div>
        <w:div w:id="271013219">
          <w:marLeft w:val="0"/>
          <w:marRight w:val="0"/>
          <w:marTop w:val="0"/>
          <w:marBottom w:val="0"/>
          <w:divBdr>
            <w:top w:val="none" w:sz="0" w:space="0" w:color="auto"/>
            <w:left w:val="none" w:sz="0" w:space="0" w:color="auto"/>
            <w:bottom w:val="none" w:sz="0" w:space="0" w:color="auto"/>
            <w:right w:val="none" w:sz="0" w:space="0" w:color="auto"/>
          </w:divBdr>
          <w:divsChild>
            <w:div w:id="2122605689">
              <w:marLeft w:val="0"/>
              <w:marRight w:val="0"/>
              <w:marTop w:val="0"/>
              <w:marBottom w:val="0"/>
              <w:divBdr>
                <w:top w:val="none" w:sz="0" w:space="0" w:color="auto"/>
                <w:left w:val="none" w:sz="0" w:space="0" w:color="auto"/>
                <w:bottom w:val="none" w:sz="0" w:space="0" w:color="auto"/>
                <w:right w:val="none" w:sz="0" w:space="0" w:color="auto"/>
              </w:divBdr>
            </w:div>
          </w:divsChild>
        </w:div>
        <w:div w:id="460462741">
          <w:marLeft w:val="0"/>
          <w:marRight w:val="0"/>
          <w:marTop w:val="0"/>
          <w:marBottom w:val="0"/>
          <w:divBdr>
            <w:top w:val="none" w:sz="0" w:space="0" w:color="auto"/>
            <w:left w:val="none" w:sz="0" w:space="0" w:color="auto"/>
            <w:bottom w:val="none" w:sz="0" w:space="0" w:color="auto"/>
            <w:right w:val="none" w:sz="0" w:space="0" w:color="auto"/>
          </w:divBdr>
          <w:divsChild>
            <w:div w:id="2034913977">
              <w:marLeft w:val="0"/>
              <w:marRight w:val="0"/>
              <w:marTop w:val="0"/>
              <w:marBottom w:val="0"/>
              <w:divBdr>
                <w:top w:val="none" w:sz="0" w:space="0" w:color="auto"/>
                <w:left w:val="none" w:sz="0" w:space="0" w:color="auto"/>
                <w:bottom w:val="none" w:sz="0" w:space="0" w:color="auto"/>
                <w:right w:val="none" w:sz="0" w:space="0" w:color="auto"/>
              </w:divBdr>
            </w:div>
          </w:divsChild>
        </w:div>
        <w:div w:id="802314026">
          <w:marLeft w:val="0"/>
          <w:marRight w:val="0"/>
          <w:marTop w:val="0"/>
          <w:marBottom w:val="0"/>
          <w:divBdr>
            <w:top w:val="none" w:sz="0" w:space="0" w:color="auto"/>
            <w:left w:val="none" w:sz="0" w:space="0" w:color="auto"/>
            <w:bottom w:val="none" w:sz="0" w:space="0" w:color="auto"/>
            <w:right w:val="none" w:sz="0" w:space="0" w:color="auto"/>
          </w:divBdr>
          <w:divsChild>
            <w:div w:id="1899432815">
              <w:marLeft w:val="0"/>
              <w:marRight w:val="0"/>
              <w:marTop w:val="0"/>
              <w:marBottom w:val="0"/>
              <w:divBdr>
                <w:top w:val="none" w:sz="0" w:space="0" w:color="auto"/>
                <w:left w:val="none" w:sz="0" w:space="0" w:color="auto"/>
                <w:bottom w:val="none" w:sz="0" w:space="0" w:color="auto"/>
                <w:right w:val="none" w:sz="0" w:space="0" w:color="auto"/>
              </w:divBdr>
            </w:div>
          </w:divsChild>
        </w:div>
        <w:div w:id="994995330">
          <w:marLeft w:val="0"/>
          <w:marRight w:val="0"/>
          <w:marTop w:val="0"/>
          <w:marBottom w:val="0"/>
          <w:divBdr>
            <w:top w:val="none" w:sz="0" w:space="0" w:color="auto"/>
            <w:left w:val="none" w:sz="0" w:space="0" w:color="auto"/>
            <w:bottom w:val="none" w:sz="0" w:space="0" w:color="auto"/>
            <w:right w:val="none" w:sz="0" w:space="0" w:color="auto"/>
          </w:divBdr>
          <w:divsChild>
            <w:div w:id="90591269">
              <w:marLeft w:val="0"/>
              <w:marRight w:val="0"/>
              <w:marTop w:val="0"/>
              <w:marBottom w:val="0"/>
              <w:divBdr>
                <w:top w:val="none" w:sz="0" w:space="0" w:color="auto"/>
                <w:left w:val="none" w:sz="0" w:space="0" w:color="auto"/>
                <w:bottom w:val="none" w:sz="0" w:space="0" w:color="auto"/>
                <w:right w:val="none" w:sz="0" w:space="0" w:color="auto"/>
              </w:divBdr>
            </w:div>
          </w:divsChild>
        </w:div>
        <w:div w:id="1308048705">
          <w:marLeft w:val="0"/>
          <w:marRight w:val="0"/>
          <w:marTop w:val="0"/>
          <w:marBottom w:val="0"/>
          <w:divBdr>
            <w:top w:val="none" w:sz="0" w:space="0" w:color="auto"/>
            <w:left w:val="none" w:sz="0" w:space="0" w:color="auto"/>
            <w:bottom w:val="none" w:sz="0" w:space="0" w:color="auto"/>
            <w:right w:val="none" w:sz="0" w:space="0" w:color="auto"/>
          </w:divBdr>
          <w:divsChild>
            <w:div w:id="655375379">
              <w:marLeft w:val="0"/>
              <w:marRight w:val="0"/>
              <w:marTop w:val="0"/>
              <w:marBottom w:val="0"/>
              <w:divBdr>
                <w:top w:val="none" w:sz="0" w:space="0" w:color="auto"/>
                <w:left w:val="none" w:sz="0" w:space="0" w:color="auto"/>
                <w:bottom w:val="none" w:sz="0" w:space="0" w:color="auto"/>
                <w:right w:val="none" w:sz="0" w:space="0" w:color="auto"/>
              </w:divBdr>
            </w:div>
          </w:divsChild>
        </w:div>
        <w:div w:id="1334187091">
          <w:marLeft w:val="0"/>
          <w:marRight w:val="0"/>
          <w:marTop w:val="0"/>
          <w:marBottom w:val="0"/>
          <w:divBdr>
            <w:top w:val="none" w:sz="0" w:space="0" w:color="auto"/>
            <w:left w:val="none" w:sz="0" w:space="0" w:color="auto"/>
            <w:bottom w:val="none" w:sz="0" w:space="0" w:color="auto"/>
            <w:right w:val="none" w:sz="0" w:space="0" w:color="auto"/>
          </w:divBdr>
          <w:divsChild>
            <w:div w:id="894854780">
              <w:marLeft w:val="0"/>
              <w:marRight w:val="0"/>
              <w:marTop w:val="0"/>
              <w:marBottom w:val="0"/>
              <w:divBdr>
                <w:top w:val="none" w:sz="0" w:space="0" w:color="auto"/>
                <w:left w:val="none" w:sz="0" w:space="0" w:color="auto"/>
                <w:bottom w:val="none" w:sz="0" w:space="0" w:color="auto"/>
                <w:right w:val="none" w:sz="0" w:space="0" w:color="auto"/>
              </w:divBdr>
            </w:div>
          </w:divsChild>
        </w:div>
        <w:div w:id="1566719408">
          <w:marLeft w:val="0"/>
          <w:marRight w:val="0"/>
          <w:marTop w:val="0"/>
          <w:marBottom w:val="0"/>
          <w:divBdr>
            <w:top w:val="none" w:sz="0" w:space="0" w:color="auto"/>
            <w:left w:val="none" w:sz="0" w:space="0" w:color="auto"/>
            <w:bottom w:val="none" w:sz="0" w:space="0" w:color="auto"/>
            <w:right w:val="none" w:sz="0" w:space="0" w:color="auto"/>
          </w:divBdr>
          <w:divsChild>
            <w:div w:id="2029600871">
              <w:marLeft w:val="0"/>
              <w:marRight w:val="0"/>
              <w:marTop w:val="0"/>
              <w:marBottom w:val="0"/>
              <w:divBdr>
                <w:top w:val="none" w:sz="0" w:space="0" w:color="auto"/>
                <w:left w:val="none" w:sz="0" w:space="0" w:color="auto"/>
                <w:bottom w:val="none" w:sz="0" w:space="0" w:color="auto"/>
                <w:right w:val="none" w:sz="0" w:space="0" w:color="auto"/>
              </w:divBdr>
            </w:div>
          </w:divsChild>
        </w:div>
        <w:div w:id="1680235246">
          <w:marLeft w:val="0"/>
          <w:marRight w:val="0"/>
          <w:marTop w:val="0"/>
          <w:marBottom w:val="0"/>
          <w:divBdr>
            <w:top w:val="none" w:sz="0" w:space="0" w:color="auto"/>
            <w:left w:val="none" w:sz="0" w:space="0" w:color="auto"/>
            <w:bottom w:val="none" w:sz="0" w:space="0" w:color="auto"/>
            <w:right w:val="none" w:sz="0" w:space="0" w:color="auto"/>
          </w:divBdr>
          <w:divsChild>
            <w:div w:id="1379016388">
              <w:marLeft w:val="0"/>
              <w:marRight w:val="0"/>
              <w:marTop w:val="0"/>
              <w:marBottom w:val="0"/>
              <w:divBdr>
                <w:top w:val="none" w:sz="0" w:space="0" w:color="auto"/>
                <w:left w:val="none" w:sz="0" w:space="0" w:color="auto"/>
                <w:bottom w:val="none" w:sz="0" w:space="0" w:color="auto"/>
                <w:right w:val="none" w:sz="0" w:space="0" w:color="auto"/>
              </w:divBdr>
            </w:div>
          </w:divsChild>
        </w:div>
        <w:div w:id="1845895834">
          <w:marLeft w:val="0"/>
          <w:marRight w:val="0"/>
          <w:marTop w:val="0"/>
          <w:marBottom w:val="0"/>
          <w:divBdr>
            <w:top w:val="none" w:sz="0" w:space="0" w:color="auto"/>
            <w:left w:val="none" w:sz="0" w:space="0" w:color="auto"/>
            <w:bottom w:val="none" w:sz="0" w:space="0" w:color="auto"/>
            <w:right w:val="none" w:sz="0" w:space="0" w:color="auto"/>
          </w:divBdr>
          <w:divsChild>
            <w:div w:id="1661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0436">
      <w:bodyDiv w:val="1"/>
      <w:marLeft w:val="0"/>
      <w:marRight w:val="0"/>
      <w:marTop w:val="0"/>
      <w:marBottom w:val="0"/>
      <w:divBdr>
        <w:top w:val="none" w:sz="0" w:space="0" w:color="auto"/>
        <w:left w:val="none" w:sz="0" w:space="0" w:color="auto"/>
        <w:bottom w:val="none" w:sz="0" w:space="0" w:color="auto"/>
        <w:right w:val="none" w:sz="0" w:space="0" w:color="auto"/>
      </w:divBdr>
      <w:divsChild>
        <w:div w:id="169369499">
          <w:marLeft w:val="0"/>
          <w:marRight w:val="0"/>
          <w:marTop w:val="0"/>
          <w:marBottom w:val="0"/>
          <w:divBdr>
            <w:top w:val="none" w:sz="0" w:space="0" w:color="auto"/>
            <w:left w:val="none" w:sz="0" w:space="0" w:color="auto"/>
            <w:bottom w:val="none" w:sz="0" w:space="0" w:color="auto"/>
            <w:right w:val="none" w:sz="0" w:space="0" w:color="auto"/>
          </w:divBdr>
        </w:div>
        <w:div w:id="234978625">
          <w:marLeft w:val="0"/>
          <w:marRight w:val="0"/>
          <w:marTop w:val="0"/>
          <w:marBottom w:val="0"/>
          <w:divBdr>
            <w:top w:val="none" w:sz="0" w:space="0" w:color="auto"/>
            <w:left w:val="none" w:sz="0" w:space="0" w:color="auto"/>
            <w:bottom w:val="none" w:sz="0" w:space="0" w:color="auto"/>
            <w:right w:val="none" w:sz="0" w:space="0" w:color="auto"/>
          </w:divBdr>
        </w:div>
        <w:div w:id="274531754">
          <w:marLeft w:val="0"/>
          <w:marRight w:val="0"/>
          <w:marTop w:val="0"/>
          <w:marBottom w:val="0"/>
          <w:divBdr>
            <w:top w:val="none" w:sz="0" w:space="0" w:color="auto"/>
            <w:left w:val="none" w:sz="0" w:space="0" w:color="auto"/>
            <w:bottom w:val="none" w:sz="0" w:space="0" w:color="auto"/>
            <w:right w:val="none" w:sz="0" w:space="0" w:color="auto"/>
          </w:divBdr>
        </w:div>
        <w:div w:id="497842811">
          <w:marLeft w:val="0"/>
          <w:marRight w:val="0"/>
          <w:marTop w:val="0"/>
          <w:marBottom w:val="0"/>
          <w:divBdr>
            <w:top w:val="none" w:sz="0" w:space="0" w:color="auto"/>
            <w:left w:val="none" w:sz="0" w:space="0" w:color="auto"/>
            <w:bottom w:val="none" w:sz="0" w:space="0" w:color="auto"/>
            <w:right w:val="none" w:sz="0" w:space="0" w:color="auto"/>
          </w:divBdr>
        </w:div>
        <w:div w:id="511845162">
          <w:marLeft w:val="0"/>
          <w:marRight w:val="0"/>
          <w:marTop w:val="0"/>
          <w:marBottom w:val="0"/>
          <w:divBdr>
            <w:top w:val="none" w:sz="0" w:space="0" w:color="auto"/>
            <w:left w:val="none" w:sz="0" w:space="0" w:color="auto"/>
            <w:bottom w:val="none" w:sz="0" w:space="0" w:color="auto"/>
            <w:right w:val="none" w:sz="0" w:space="0" w:color="auto"/>
          </w:divBdr>
        </w:div>
        <w:div w:id="530529773">
          <w:marLeft w:val="0"/>
          <w:marRight w:val="0"/>
          <w:marTop w:val="0"/>
          <w:marBottom w:val="0"/>
          <w:divBdr>
            <w:top w:val="none" w:sz="0" w:space="0" w:color="auto"/>
            <w:left w:val="none" w:sz="0" w:space="0" w:color="auto"/>
            <w:bottom w:val="none" w:sz="0" w:space="0" w:color="auto"/>
            <w:right w:val="none" w:sz="0" w:space="0" w:color="auto"/>
          </w:divBdr>
        </w:div>
        <w:div w:id="659625998">
          <w:marLeft w:val="0"/>
          <w:marRight w:val="0"/>
          <w:marTop w:val="0"/>
          <w:marBottom w:val="0"/>
          <w:divBdr>
            <w:top w:val="none" w:sz="0" w:space="0" w:color="auto"/>
            <w:left w:val="none" w:sz="0" w:space="0" w:color="auto"/>
            <w:bottom w:val="none" w:sz="0" w:space="0" w:color="auto"/>
            <w:right w:val="none" w:sz="0" w:space="0" w:color="auto"/>
          </w:divBdr>
        </w:div>
        <w:div w:id="662516034">
          <w:marLeft w:val="0"/>
          <w:marRight w:val="0"/>
          <w:marTop w:val="0"/>
          <w:marBottom w:val="0"/>
          <w:divBdr>
            <w:top w:val="none" w:sz="0" w:space="0" w:color="auto"/>
            <w:left w:val="none" w:sz="0" w:space="0" w:color="auto"/>
            <w:bottom w:val="none" w:sz="0" w:space="0" w:color="auto"/>
            <w:right w:val="none" w:sz="0" w:space="0" w:color="auto"/>
          </w:divBdr>
        </w:div>
        <w:div w:id="691147769">
          <w:marLeft w:val="0"/>
          <w:marRight w:val="0"/>
          <w:marTop w:val="0"/>
          <w:marBottom w:val="0"/>
          <w:divBdr>
            <w:top w:val="none" w:sz="0" w:space="0" w:color="auto"/>
            <w:left w:val="none" w:sz="0" w:space="0" w:color="auto"/>
            <w:bottom w:val="none" w:sz="0" w:space="0" w:color="auto"/>
            <w:right w:val="none" w:sz="0" w:space="0" w:color="auto"/>
          </w:divBdr>
        </w:div>
        <w:div w:id="722172461">
          <w:marLeft w:val="0"/>
          <w:marRight w:val="0"/>
          <w:marTop w:val="0"/>
          <w:marBottom w:val="0"/>
          <w:divBdr>
            <w:top w:val="none" w:sz="0" w:space="0" w:color="auto"/>
            <w:left w:val="none" w:sz="0" w:space="0" w:color="auto"/>
            <w:bottom w:val="none" w:sz="0" w:space="0" w:color="auto"/>
            <w:right w:val="none" w:sz="0" w:space="0" w:color="auto"/>
          </w:divBdr>
        </w:div>
        <w:div w:id="733822395">
          <w:marLeft w:val="0"/>
          <w:marRight w:val="0"/>
          <w:marTop w:val="0"/>
          <w:marBottom w:val="0"/>
          <w:divBdr>
            <w:top w:val="none" w:sz="0" w:space="0" w:color="auto"/>
            <w:left w:val="none" w:sz="0" w:space="0" w:color="auto"/>
            <w:bottom w:val="none" w:sz="0" w:space="0" w:color="auto"/>
            <w:right w:val="none" w:sz="0" w:space="0" w:color="auto"/>
          </w:divBdr>
        </w:div>
        <w:div w:id="789205724">
          <w:marLeft w:val="0"/>
          <w:marRight w:val="0"/>
          <w:marTop w:val="0"/>
          <w:marBottom w:val="0"/>
          <w:divBdr>
            <w:top w:val="none" w:sz="0" w:space="0" w:color="auto"/>
            <w:left w:val="none" w:sz="0" w:space="0" w:color="auto"/>
            <w:bottom w:val="none" w:sz="0" w:space="0" w:color="auto"/>
            <w:right w:val="none" w:sz="0" w:space="0" w:color="auto"/>
          </w:divBdr>
        </w:div>
        <w:div w:id="915045623">
          <w:marLeft w:val="0"/>
          <w:marRight w:val="0"/>
          <w:marTop w:val="0"/>
          <w:marBottom w:val="0"/>
          <w:divBdr>
            <w:top w:val="none" w:sz="0" w:space="0" w:color="auto"/>
            <w:left w:val="none" w:sz="0" w:space="0" w:color="auto"/>
            <w:bottom w:val="none" w:sz="0" w:space="0" w:color="auto"/>
            <w:right w:val="none" w:sz="0" w:space="0" w:color="auto"/>
          </w:divBdr>
        </w:div>
        <w:div w:id="966737391">
          <w:marLeft w:val="0"/>
          <w:marRight w:val="0"/>
          <w:marTop w:val="0"/>
          <w:marBottom w:val="0"/>
          <w:divBdr>
            <w:top w:val="none" w:sz="0" w:space="0" w:color="auto"/>
            <w:left w:val="none" w:sz="0" w:space="0" w:color="auto"/>
            <w:bottom w:val="none" w:sz="0" w:space="0" w:color="auto"/>
            <w:right w:val="none" w:sz="0" w:space="0" w:color="auto"/>
          </w:divBdr>
        </w:div>
        <w:div w:id="981737483">
          <w:marLeft w:val="0"/>
          <w:marRight w:val="0"/>
          <w:marTop w:val="0"/>
          <w:marBottom w:val="0"/>
          <w:divBdr>
            <w:top w:val="none" w:sz="0" w:space="0" w:color="auto"/>
            <w:left w:val="none" w:sz="0" w:space="0" w:color="auto"/>
            <w:bottom w:val="none" w:sz="0" w:space="0" w:color="auto"/>
            <w:right w:val="none" w:sz="0" w:space="0" w:color="auto"/>
          </w:divBdr>
        </w:div>
        <w:div w:id="1047877732">
          <w:marLeft w:val="0"/>
          <w:marRight w:val="0"/>
          <w:marTop w:val="0"/>
          <w:marBottom w:val="0"/>
          <w:divBdr>
            <w:top w:val="none" w:sz="0" w:space="0" w:color="auto"/>
            <w:left w:val="none" w:sz="0" w:space="0" w:color="auto"/>
            <w:bottom w:val="none" w:sz="0" w:space="0" w:color="auto"/>
            <w:right w:val="none" w:sz="0" w:space="0" w:color="auto"/>
          </w:divBdr>
        </w:div>
        <w:div w:id="1085539717">
          <w:marLeft w:val="0"/>
          <w:marRight w:val="0"/>
          <w:marTop w:val="0"/>
          <w:marBottom w:val="0"/>
          <w:divBdr>
            <w:top w:val="none" w:sz="0" w:space="0" w:color="auto"/>
            <w:left w:val="none" w:sz="0" w:space="0" w:color="auto"/>
            <w:bottom w:val="none" w:sz="0" w:space="0" w:color="auto"/>
            <w:right w:val="none" w:sz="0" w:space="0" w:color="auto"/>
          </w:divBdr>
        </w:div>
        <w:div w:id="1234698731">
          <w:marLeft w:val="0"/>
          <w:marRight w:val="0"/>
          <w:marTop w:val="0"/>
          <w:marBottom w:val="0"/>
          <w:divBdr>
            <w:top w:val="none" w:sz="0" w:space="0" w:color="auto"/>
            <w:left w:val="none" w:sz="0" w:space="0" w:color="auto"/>
            <w:bottom w:val="none" w:sz="0" w:space="0" w:color="auto"/>
            <w:right w:val="none" w:sz="0" w:space="0" w:color="auto"/>
          </w:divBdr>
        </w:div>
        <w:div w:id="1324356016">
          <w:marLeft w:val="0"/>
          <w:marRight w:val="0"/>
          <w:marTop w:val="0"/>
          <w:marBottom w:val="0"/>
          <w:divBdr>
            <w:top w:val="none" w:sz="0" w:space="0" w:color="auto"/>
            <w:left w:val="none" w:sz="0" w:space="0" w:color="auto"/>
            <w:bottom w:val="none" w:sz="0" w:space="0" w:color="auto"/>
            <w:right w:val="none" w:sz="0" w:space="0" w:color="auto"/>
          </w:divBdr>
        </w:div>
        <w:div w:id="1375689348">
          <w:marLeft w:val="0"/>
          <w:marRight w:val="0"/>
          <w:marTop w:val="0"/>
          <w:marBottom w:val="0"/>
          <w:divBdr>
            <w:top w:val="none" w:sz="0" w:space="0" w:color="auto"/>
            <w:left w:val="none" w:sz="0" w:space="0" w:color="auto"/>
            <w:bottom w:val="none" w:sz="0" w:space="0" w:color="auto"/>
            <w:right w:val="none" w:sz="0" w:space="0" w:color="auto"/>
          </w:divBdr>
        </w:div>
        <w:div w:id="145328578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80289312">
          <w:marLeft w:val="0"/>
          <w:marRight w:val="0"/>
          <w:marTop w:val="0"/>
          <w:marBottom w:val="0"/>
          <w:divBdr>
            <w:top w:val="none" w:sz="0" w:space="0" w:color="auto"/>
            <w:left w:val="none" w:sz="0" w:space="0" w:color="auto"/>
            <w:bottom w:val="none" w:sz="0" w:space="0" w:color="auto"/>
            <w:right w:val="none" w:sz="0" w:space="0" w:color="auto"/>
          </w:divBdr>
        </w:div>
        <w:div w:id="1588539994">
          <w:marLeft w:val="0"/>
          <w:marRight w:val="0"/>
          <w:marTop w:val="0"/>
          <w:marBottom w:val="0"/>
          <w:divBdr>
            <w:top w:val="none" w:sz="0" w:space="0" w:color="auto"/>
            <w:left w:val="none" w:sz="0" w:space="0" w:color="auto"/>
            <w:bottom w:val="none" w:sz="0" w:space="0" w:color="auto"/>
            <w:right w:val="none" w:sz="0" w:space="0" w:color="auto"/>
          </w:divBdr>
        </w:div>
        <w:div w:id="1726905466">
          <w:marLeft w:val="0"/>
          <w:marRight w:val="0"/>
          <w:marTop w:val="0"/>
          <w:marBottom w:val="0"/>
          <w:divBdr>
            <w:top w:val="none" w:sz="0" w:space="0" w:color="auto"/>
            <w:left w:val="none" w:sz="0" w:space="0" w:color="auto"/>
            <w:bottom w:val="none" w:sz="0" w:space="0" w:color="auto"/>
            <w:right w:val="none" w:sz="0" w:space="0" w:color="auto"/>
          </w:divBdr>
        </w:div>
        <w:div w:id="1758356127">
          <w:marLeft w:val="0"/>
          <w:marRight w:val="0"/>
          <w:marTop w:val="0"/>
          <w:marBottom w:val="0"/>
          <w:divBdr>
            <w:top w:val="none" w:sz="0" w:space="0" w:color="auto"/>
            <w:left w:val="none" w:sz="0" w:space="0" w:color="auto"/>
            <w:bottom w:val="none" w:sz="0" w:space="0" w:color="auto"/>
            <w:right w:val="none" w:sz="0" w:space="0" w:color="auto"/>
          </w:divBdr>
        </w:div>
        <w:div w:id="1880240002">
          <w:marLeft w:val="0"/>
          <w:marRight w:val="0"/>
          <w:marTop w:val="0"/>
          <w:marBottom w:val="0"/>
          <w:divBdr>
            <w:top w:val="none" w:sz="0" w:space="0" w:color="auto"/>
            <w:left w:val="none" w:sz="0" w:space="0" w:color="auto"/>
            <w:bottom w:val="none" w:sz="0" w:space="0" w:color="auto"/>
            <w:right w:val="none" w:sz="0" w:space="0" w:color="auto"/>
          </w:divBdr>
        </w:div>
        <w:div w:id="2019849383">
          <w:marLeft w:val="0"/>
          <w:marRight w:val="0"/>
          <w:marTop w:val="0"/>
          <w:marBottom w:val="0"/>
          <w:divBdr>
            <w:top w:val="none" w:sz="0" w:space="0" w:color="auto"/>
            <w:left w:val="none" w:sz="0" w:space="0" w:color="auto"/>
            <w:bottom w:val="none" w:sz="0" w:space="0" w:color="auto"/>
            <w:right w:val="none" w:sz="0" w:space="0" w:color="auto"/>
          </w:divBdr>
        </w:div>
        <w:div w:id="2046834218">
          <w:marLeft w:val="0"/>
          <w:marRight w:val="0"/>
          <w:marTop w:val="0"/>
          <w:marBottom w:val="0"/>
          <w:divBdr>
            <w:top w:val="none" w:sz="0" w:space="0" w:color="auto"/>
            <w:left w:val="none" w:sz="0" w:space="0" w:color="auto"/>
            <w:bottom w:val="none" w:sz="0" w:space="0" w:color="auto"/>
            <w:right w:val="none" w:sz="0" w:space="0" w:color="auto"/>
          </w:divBdr>
        </w:div>
        <w:div w:id="2084255765">
          <w:marLeft w:val="0"/>
          <w:marRight w:val="0"/>
          <w:marTop w:val="0"/>
          <w:marBottom w:val="0"/>
          <w:divBdr>
            <w:top w:val="none" w:sz="0" w:space="0" w:color="auto"/>
            <w:left w:val="none" w:sz="0" w:space="0" w:color="auto"/>
            <w:bottom w:val="none" w:sz="0" w:space="0" w:color="auto"/>
            <w:right w:val="none" w:sz="0" w:space="0" w:color="auto"/>
          </w:divBdr>
        </w:div>
      </w:divsChild>
    </w:div>
    <w:div w:id="228224762">
      <w:bodyDiv w:val="1"/>
      <w:marLeft w:val="0"/>
      <w:marRight w:val="0"/>
      <w:marTop w:val="0"/>
      <w:marBottom w:val="0"/>
      <w:divBdr>
        <w:top w:val="none" w:sz="0" w:space="0" w:color="auto"/>
        <w:left w:val="none" w:sz="0" w:space="0" w:color="auto"/>
        <w:bottom w:val="none" w:sz="0" w:space="0" w:color="auto"/>
        <w:right w:val="none" w:sz="0" w:space="0" w:color="auto"/>
      </w:divBdr>
    </w:div>
    <w:div w:id="306477158">
      <w:bodyDiv w:val="1"/>
      <w:marLeft w:val="0"/>
      <w:marRight w:val="0"/>
      <w:marTop w:val="0"/>
      <w:marBottom w:val="0"/>
      <w:divBdr>
        <w:top w:val="none" w:sz="0" w:space="0" w:color="auto"/>
        <w:left w:val="none" w:sz="0" w:space="0" w:color="auto"/>
        <w:bottom w:val="none" w:sz="0" w:space="0" w:color="auto"/>
        <w:right w:val="none" w:sz="0" w:space="0" w:color="auto"/>
      </w:divBdr>
    </w:div>
    <w:div w:id="396783890">
      <w:bodyDiv w:val="1"/>
      <w:marLeft w:val="0"/>
      <w:marRight w:val="0"/>
      <w:marTop w:val="0"/>
      <w:marBottom w:val="0"/>
      <w:divBdr>
        <w:top w:val="none" w:sz="0" w:space="0" w:color="auto"/>
        <w:left w:val="none" w:sz="0" w:space="0" w:color="auto"/>
        <w:bottom w:val="none" w:sz="0" w:space="0" w:color="auto"/>
        <w:right w:val="none" w:sz="0" w:space="0" w:color="auto"/>
      </w:divBdr>
      <w:divsChild>
        <w:div w:id="937907823">
          <w:marLeft w:val="0"/>
          <w:marRight w:val="0"/>
          <w:marTop w:val="0"/>
          <w:marBottom w:val="0"/>
          <w:divBdr>
            <w:top w:val="none" w:sz="0" w:space="0" w:color="auto"/>
            <w:left w:val="none" w:sz="0" w:space="0" w:color="auto"/>
            <w:bottom w:val="none" w:sz="0" w:space="0" w:color="auto"/>
            <w:right w:val="none" w:sz="0" w:space="0" w:color="auto"/>
          </w:divBdr>
        </w:div>
        <w:div w:id="1002583984">
          <w:marLeft w:val="0"/>
          <w:marRight w:val="0"/>
          <w:marTop w:val="0"/>
          <w:marBottom w:val="0"/>
          <w:divBdr>
            <w:top w:val="none" w:sz="0" w:space="0" w:color="auto"/>
            <w:left w:val="none" w:sz="0" w:space="0" w:color="auto"/>
            <w:bottom w:val="none" w:sz="0" w:space="0" w:color="auto"/>
            <w:right w:val="none" w:sz="0" w:space="0" w:color="auto"/>
          </w:divBdr>
        </w:div>
        <w:div w:id="1411661537">
          <w:marLeft w:val="0"/>
          <w:marRight w:val="0"/>
          <w:marTop w:val="0"/>
          <w:marBottom w:val="0"/>
          <w:divBdr>
            <w:top w:val="none" w:sz="0" w:space="0" w:color="auto"/>
            <w:left w:val="none" w:sz="0" w:space="0" w:color="auto"/>
            <w:bottom w:val="none" w:sz="0" w:space="0" w:color="auto"/>
            <w:right w:val="none" w:sz="0" w:space="0" w:color="auto"/>
          </w:divBdr>
        </w:div>
        <w:div w:id="1667901363">
          <w:marLeft w:val="0"/>
          <w:marRight w:val="0"/>
          <w:marTop w:val="0"/>
          <w:marBottom w:val="0"/>
          <w:divBdr>
            <w:top w:val="none" w:sz="0" w:space="0" w:color="auto"/>
            <w:left w:val="none" w:sz="0" w:space="0" w:color="auto"/>
            <w:bottom w:val="none" w:sz="0" w:space="0" w:color="auto"/>
            <w:right w:val="none" w:sz="0" w:space="0" w:color="auto"/>
          </w:divBdr>
        </w:div>
        <w:div w:id="1780685859">
          <w:marLeft w:val="0"/>
          <w:marRight w:val="0"/>
          <w:marTop w:val="0"/>
          <w:marBottom w:val="0"/>
          <w:divBdr>
            <w:top w:val="none" w:sz="0" w:space="0" w:color="auto"/>
            <w:left w:val="none" w:sz="0" w:space="0" w:color="auto"/>
            <w:bottom w:val="none" w:sz="0" w:space="0" w:color="auto"/>
            <w:right w:val="none" w:sz="0" w:space="0" w:color="auto"/>
          </w:divBdr>
        </w:div>
        <w:div w:id="2110152626">
          <w:marLeft w:val="0"/>
          <w:marRight w:val="0"/>
          <w:marTop w:val="0"/>
          <w:marBottom w:val="0"/>
          <w:divBdr>
            <w:top w:val="none" w:sz="0" w:space="0" w:color="auto"/>
            <w:left w:val="none" w:sz="0" w:space="0" w:color="auto"/>
            <w:bottom w:val="none" w:sz="0" w:space="0" w:color="auto"/>
            <w:right w:val="none" w:sz="0" w:space="0" w:color="auto"/>
          </w:divBdr>
        </w:div>
        <w:div w:id="2117020258">
          <w:marLeft w:val="0"/>
          <w:marRight w:val="0"/>
          <w:marTop w:val="0"/>
          <w:marBottom w:val="0"/>
          <w:divBdr>
            <w:top w:val="none" w:sz="0" w:space="0" w:color="auto"/>
            <w:left w:val="none" w:sz="0" w:space="0" w:color="auto"/>
            <w:bottom w:val="none" w:sz="0" w:space="0" w:color="auto"/>
            <w:right w:val="none" w:sz="0" w:space="0" w:color="auto"/>
          </w:divBdr>
        </w:div>
      </w:divsChild>
    </w:div>
    <w:div w:id="718554003">
      <w:bodyDiv w:val="1"/>
      <w:marLeft w:val="0"/>
      <w:marRight w:val="0"/>
      <w:marTop w:val="0"/>
      <w:marBottom w:val="0"/>
      <w:divBdr>
        <w:top w:val="none" w:sz="0" w:space="0" w:color="auto"/>
        <w:left w:val="none" w:sz="0" w:space="0" w:color="auto"/>
        <w:bottom w:val="none" w:sz="0" w:space="0" w:color="auto"/>
        <w:right w:val="none" w:sz="0" w:space="0" w:color="auto"/>
      </w:divBdr>
      <w:divsChild>
        <w:div w:id="1021930448">
          <w:marLeft w:val="0"/>
          <w:marRight w:val="0"/>
          <w:marTop w:val="0"/>
          <w:marBottom w:val="0"/>
          <w:divBdr>
            <w:top w:val="none" w:sz="0" w:space="0" w:color="auto"/>
            <w:left w:val="none" w:sz="0" w:space="0" w:color="auto"/>
            <w:bottom w:val="none" w:sz="0" w:space="0" w:color="auto"/>
            <w:right w:val="none" w:sz="0" w:space="0" w:color="auto"/>
          </w:divBdr>
        </w:div>
        <w:div w:id="1318806056">
          <w:marLeft w:val="0"/>
          <w:marRight w:val="0"/>
          <w:marTop w:val="0"/>
          <w:marBottom w:val="0"/>
          <w:divBdr>
            <w:top w:val="none" w:sz="0" w:space="0" w:color="auto"/>
            <w:left w:val="none" w:sz="0" w:space="0" w:color="auto"/>
            <w:bottom w:val="none" w:sz="0" w:space="0" w:color="auto"/>
            <w:right w:val="none" w:sz="0" w:space="0" w:color="auto"/>
          </w:divBdr>
        </w:div>
      </w:divsChild>
    </w:div>
    <w:div w:id="720056920">
      <w:bodyDiv w:val="1"/>
      <w:marLeft w:val="0"/>
      <w:marRight w:val="0"/>
      <w:marTop w:val="0"/>
      <w:marBottom w:val="0"/>
      <w:divBdr>
        <w:top w:val="none" w:sz="0" w:space="0" w:color="auto"/>
        <w:left w:val="none" w:sz="0" w:space="0" w:color="auto"/>
        <w:bottom w:val="none" w:sz="0" w:space="0" w:color="auto"/>
        <w:right w:val="none" w:sz="0" w:space="0" w:color="auto"/>
      </w:divBdr>
      <w:divsChild>
        <w:div w:id="350840343">
          <w:marLeft w:val="0"/>
          <w:marRight w:val="0"/>
          <w:marTop w:val="0"/>
          <w:marBottom w:val="0"/>
          <w:divBdr>
            <w:top w:val="none" w:sz="0" w:space="0" w:color="auto"/>
            <w:left w:val="none" w:sz="0" w:space="0" w:color="auto"/>
            <w:bottom w:val="none" w:sz="0" w:space="0" w:color="auto"/>
            <w:right w:val="none" w:sz="0" w:space="0" w:color="auto"/>
          </w:divBdr>
        </w:div>
        <w:div w:id="391274483">
          <w:marLeft w:val="0"/>
          <w:marRight w:val="0"/>
          <w:marTop w:val="0"/>
          <w:marBottom w:val="0"/>
          <w:divBdr>
            <w:top w:val="none" w:sz="0" w:space="0" w:color="auto"/>
            <w:left w:val="none" w:sz="0" w:space="0" w:color="auto"/>
            <w:bottom w:val="none" w:sz="0" w:space="0" w:color="auto"/>
            <w:right w:val="none" w:sz="0" w:space="0" w:color="auto"/>
          </w:divBdr>
        </w:div>
      </w:divsChild>
    </w:div>
    <w:div w:id="981228830">
      <w:bodyDiv w:val="1"/>
      <w:marLeft w:val="0"/>
      <w:marRight w:val="0"/>
      <w:marTop w:val="0"/>
      <w:marBottom w:val="0"/>
      <w:divBdr>
        <w:top w:val="none" w:sz="0" w:space="0" w:color="auto"/>
        <w:left w:val="none" w:sz="0" w:space="0" w:color="auto"/>
        <w:bottom w:val="none" w:sz="0" w:space="0" w:color="auto"/>
        <w:right w:val="none" w:sz="0" w:space="0" w:color="auto"/>
      </w:divBdr>
      <w:divsChild>
        <w:div w:id="165754853">
          <w:marLeft w:val="0"/>
          <w:marRight w:val="0"/>
          <w:marTop w:val="0"/>
          <w:marBottom w:val="0"/>
          <w:divBdr>
            <w:top w:val="none" w:sz="0" w:space="0" w:color="auto"/>
            <w:left w:val="none" w:sz="0" w:space="0" w:color="auto"/>
            <w:bottom w:val="none" w:sz="0" w:space="0" w:color="auto"/>
            <w:right w:val="none" w:sz="0" w:space="0" w:color="auto"/>
          </w:divBdr>
        </w:div>
        <w:div w:id="324862016">
          <w:marLeft w:val="0"/>
          <w:marRight w:val="0"/>
          <w:marTop w:val="0"/>
          <w:marBottom w:val="0"/>
          <w:divBdr>
            <w:top w:val="none" w:sz="0" w:space="0" w:color="auto"/>
            <w:left w:val="none" w:sz="0" w:space="0" w:color="auto"/>
            <w:bottom w:val="none" w:sz="0" w:space="0" w:color="auto"/>
            <w:right w:val="none" w:sz="0" w:space="0" w:color="auto"/>
          </w:divBdr>
          <w:divsChild>
            <w:div w:id="1518932950">
              <w:marLeft w:val="0"/>
              <w:marRight w:val="0"/>
              <w:marTop w:val="0"/>
              <w:marBottom w:val="0"/>
              <w:divBdr>
                <w:top w:val="none" w:sz="0" w:space="0" w:color="auto"/>
                <w:left w:val="none" w:sz="0" w:space="0" w:color="auto"/>
                <w:bottom w:val="none" w:sz="0" w:space="0" w:color="auto"/>
                <w:right w:val="none" w:sz="0" w:space="0" w:color="auto"/>
              </w:divBdr>
            </w:div>
          </w:divsChild>
        </w:div>
        <w:div w:id="1754354028">
          <w:marLeft w:val="0"/>
          <w:marRight w:val="0"/>
          <w:marTop w:val="0"/>
          <w:marBottom w:val="0"/>
          <w:divBdr>
            <w:top w:val="none" w:sz="0" w:space="0" w:color="auto"/>
            <w:left w:val="none" w:sz="0" w:space="0" w:color="auto"/>
            <w:bottom w:val="none" w:sz="0" w:space="0" w:color="auto"/>
            <w:right w:val="none" w:sz="0" w:space="0" w:color="auto"/>
          </w:divBdr>
        </w:div>
        <w:div w:id="2083023654">
          <w:marLeft w:val="0"/>
          <w:marRight w:val="0"/>
          <w:marTop w:val="0"/>
          <w:marBottom w:val="0"/>
          <w:divBdr>
            <w:top w:val="none" w:sz="0" w:space="0" w:color="auto"/>
            <w:left w:val="none" w:sz="0" w:space="0" w:color="auto"/>
            <w:bottom w:val="none" w:sz="0" w:space="0" w:color="auto"/>
            <w:right w:val="none" w:sz="0" w:space="0" w:color="auto"/>
          </w:divBdr>
          <w:divsChild>
            <w:div w:id="1363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55737854">
      <w:bodyDiv w:val="1"/>
      <w:marLeft w:val="0"/>
      <w:marRight w:val="0"/>
      <w:marTop w:val="0"/>
      <w:marBottom w:val="0"/>
      <w:divBdr>
        <w:top w:val="none" w:sz="0" w:space="0" w:color="auto"/>
        <w:left w:val="none" w:sz="0" w:space="0" w:color="auto"/>
        <w:bottom w:val="none" w:sz="0" w:space="0" w:color="auto"/>
        <w:right w:val="none" w:sz="0" w:space="0" w:color="auto"/>
      </w:divBdr>
      <w:divsChild>
        <w:div w:id="220211004">
          <w:marLeft w:val="0"/>
          <w:marRight w:val="0"/>
          <w:marTop w:val="0"/>
          <w:marBottom w:val="0"/>
          <w:divBdr>
            <w:top w:val="none" w:sz="0" w:space="0" w:color="auto"/>
            <w:left w:val="none" w:sz="0" w:space="0" w:color="auto"/>
            <w:bottom w:val="none" w:sz="0" w:space="0" w:color="auto"/>
            <w:right w:val="none" w:sz="0" w:space="0" w:color="auto"/>
          </w:divBdr>
          <w:divsChild>
            <w:div w:id="146559235">
              <w:marLeft w:val="0"/>
              <w:marRight w:val="0"/>
              <w:marTop w:val="0"/>
              <w:marBottom w:val="0"/>
              <w:divBdr>
                <w:top w:val="none" w:sz="0" w:space="0" w:color="auto"/>
                <w:left w:val="none" w:sz="0" w:space="0" w:color="auto"/>
                <w:bottom w:val="none" w:sz="0" w:space="0" w:color="auto"/>
                <w:right w:val="none" w:sz="0" w:space="0" w:color="auto"/>
              </w:divBdr>
              <w:divsChild>
                <w:div w:id="1641576930">
                  <w:marLeft w:val="0"/>
                  <w:marRight w:val="0"/>
                  <w:marTop w:val="0"/>
                  <w:marBottom w:val="0"/>
                  <w:divBdr>
                    <w:top w:val="none" w:sz="0" w:space="0" w:color="auto"/>
                    <w:left w:val="none" w:sz="0" w:space="0" w:color="auto"/>
                    <w:bottom w:val="none" w:sz="0" w:space="0" w:color="auto"/>
                    <w:right w:val="none" w:sz="0" w:space="0" w:color="auto"/>
                  </w:divBdr>
                </w:div>
              </w:divsChild>
            </w:div>
            <w:div w:id="253368704">
              <w:marLeft w:val="0"/>
              <w:marRight w:val="0"/>
              <w:marTop w:val="0"/>
              <w:marBottom w:val="0"/>
              <w:divBdr>
                <w:top w:val="none" w:sz="0" w:space="0" w:color="auto"/>
                <w:left w:val="none" w:sz="0" w:space="0" w:color="auto"/>
                <w:bottom w:val="none" w:sz="0" w:space="0" w:color="auto"/>
                <w:right w:val="none" w:sz="0" w:space="0" w:color="auto"/>
              </w:divBdr>
              <w:divsChild>
                <w:div w:id="932664556">
                  <w:marLeft w:val="0"/>
                  <w:marRight w:val="0"/>
                  <w:marTop w:val="0"/>
                  <w:marBottom w:val="0"/>
                  <w:divBdr>
                    <w:top w:val="none" w:sz="0" w:space="0" w:color="auto"/>
                    <w:left w:val="none" w:sz="0" w:space="0" w:color="auto"/>
                    <w:bottom w:val="none" w:sz="0" w:space="0" w:color="auto"/>
                    <w:right w:val="none" w:sz="0" w:space="0" w:color="auto"/>
                  </w:divBdr>
                </w:div>
              </w:divsChild>
            </w:div>
            <w:div w:id="443576051">
              <w:marLeft w:val="0"/>
              <w:marRight w:val="0"/>
              <w:marTop w:val="0"/>
              <w:marBottom w:val="0"/>
              <w:divBdr>
                <w:top w:val="none" w:sz="0" w:space="0" w:color="auto"/>
                <w:left w:val="none" w:sz="0" w:space="0" w:color="auto"/>
                <w:bottom w:val="none" w:sz="0" w:space="0" w:color="auto"/>
                <w:right w:val="none" w:sz="0" w:space="0" w:color="auto"/>
              </w:divBdr>
              <w:divsChild>
                <w:div w:id="1342198190">
                  <w:marLeft w:val="0"/>
                  <w:marRight w:val="0"/>
                  <w:marTop w:val="0"/>
                  <w:marBottom w:val="0"/>
                  <w:divBdr>
                    <w:top w:val="none" w:sz="0" w:space="0" w:color="auto"/>
                    <w:left w:val="none" w:sz="0" w:space="0" w:color="auto"/>
                    <w:bottom w:val="none" w:sz="0" w:space="0" w:color="auto"/>
                    <w:right w:val="none" w:sz="0" w:space="0" w:color="auto"/>
                  </w:divBdr>
                </w:div>
              </w:divsChild>
            </w:div>
            <w:div w:id="888954529">
              <w:marLeft w:val="0"/>
              <w:marRight w:val="0"/>
              <w:marTop w:val="0"/>
              <w:marBottom w:val="0"/>
              <w:divBdr>
                <w:top w:val="none" w:sz="0" w:space="0" w:color="auto"/>
                <w:left w:val="none" w:sz="0" w:space="0" w:color="auto"/>
                <w:bottom w:val="none" w:sz="0" w:space="0" w:color="auto"/>
                <w:right w:val="none" w:sz="0" w:space="0" w:color="auto"/>
              </w:divBdr>
              <w:divsChild>
                <w:div w:id="1410997912">
                  <w:marLeft w:val="0"/>
                  <w:marRight w:val="0"/>
                  <w:marTop w:val="0"/>
                  <w:marBottom w:val="0"/>
                  <w:divBdr>
                    <w:top w:val="none" w:sz="0" w:space="0" w:color="auto"/>
                    <w:left w:val="none" w:sz="0" w:space="0" w:color="auto"/>
                    <w:bottom w:val="none" w:sz="0" w:space="0" w:color="auto"/>
                    <w:right w:val="none" w:sz="0" w:space="0" w:color="auto"/>
                  </w:divBdr>
                </w:div>
              </w:divsChild>
            </w:div>
            <w:div w:id="1538199038">
              <w:marLeft w:val="0"/>
              <w:marRight w:val="0"/>
              <w:marTop w:val="0"/>
              <w:marBottom w:val="0"/>
              <w:divBdr>
                <w:top w:val="none" w:sz="0" w:space="0" w:color="auto"/>
                <w:left w:val="none" w:sz="0" w:space="0" w:color="auto"/>
                <w:bottom w:val="none" w:sz="0" w:space="0" w:color="auto"/>
                <w:right w:val="none" w:sz="0" w:space="0" w:color="auto"/>
              </w:divBdr>
              <w:divsChild>
                <w:div w:id="1855536698">
                  <w:marLeft w:val="0"/>
                  <w:marRight w:val="0"/>
                  <w:marTop w:val="0"/>
                  <w:marBottom w:val="0"/>
                  <w:divBdr>
                    <w:top w:val="none" w:sz="0" w:space="0" w:color="auto"/>
                    <w:left w:val="none" w:sz="0" w:space="0" w:color="auto"/>
                    <w:bottom w:val="none" w:sz="0" w:space="0" w:color="auto"/>
                    <w:right w:val="none" w:sz="0" w:space="0" w:color="auto"/>
                  </w:divBdr>
                </w:div>
              </w:divsChild>
            </w:div>
            <w:div w:id="1910647249">
              <w:marLeft w:val="0"/>
              <w:marRight w:val="0"/>
              <w:marTop w:val="0"/>
              <w:marBottom w:val="0"/>
              <w:divBdr>
                <w:top w:val="none" w:sz="0" w:space="0" w:color="auto"/>
                <w:left w:val="none" w:sz="0" w:space="0" w:color="auto"/>
                <w:bottom w:val="none" w:sz="0" w:space="0" w:color="auto"/>
                <w:right w:val="none" w:sz="0" w:space="0" w:color="auto"/>
              </w:divBdr>
              <w:divsChild>
                <w:div w:id="2885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02961">
      <w:bodyDiv w:val="1"/>
      <w:marLeft w:val="0"/>
      <w:marRight w:val="0"/>
      <w:marTop w:val="0"/>
      <w:marBottom w:val="0"/>
      <w:divBdr>
        <w:top w:val="none" w:sz="0" w:space="0" w:color="auto"/>
        <w:left w:val="none" w:sz="0" w:space="0" w:color="auto"/>
        <w:bottom w:val="none" w:sz="0" w:space="0" w:color="auto"/>
        <w:right w:val="none" w:sz="0" w:space="0" w:color="auto"/>
      </w:divBdr>
      <w:divsChild>
        <w:div w:id="124399419">
          <w:marLeft w:val="0"/>
          <w:marRight w:val="0"/>
          <w:marTop w:val="0"/>
          <w:marBottom w:val="0"/>
          <w:divBdr>
            <w:top w:val="none" w:sz="0" w:space="0" w:color="auto"/>
            <w:left w:val="none" w:sz="0" w:space="0" w:color="auto"/>
            <w:bottom w:val="none" w:sz="0" w:space="0" w:color="auto"/>
            <w:right w:val="none" w:sz="0" w:space="0" w:color="auto"/>
          </w:divBdr>
          <w:divsChild>
            <w:div w:id="1427119189">
              <w:marLeft w:val="0"/>
              <w:marRight w:val="0"/>
              <w:marTop w:val="0"/>
              <w:marBottom w:val="0"/>
              <w:divBdr>
                <w:top w:val="none" w:sz="0" w:space="0" w:color="auto"/>
                <w:left w:val="none" w:sz="0" w:space="0" w:color="auto"/>
                <w:bottom w:val="none" w:sz="0" w:space="0" w:color="auto"/>
                <w:right w:val="none" w:sz="0" w:space="0" w:color="auto"/>
              </w:divBdr>
            </w:div>
          </w:divsChild>
        </w:div>
        <w:div w:id="128397452">
          <w:marLeft w:val="0"/>
          <w:marRight w:val="0"/>
          <w:marTop w:val="0"/>
          <w:marBottom w:val="0"/>
          <w:divBdr>
            <w:top w:val="none" w:sz="0" w:space="0" w:color="auto"/>
            <w:left w:val="none" w:sz="0" w:space="0" w:color="auto"/>
            <w:bottom w:val="none" w:sz="0" w:space="0" w:color="auto"/>
            <w:right w:val="none" w:sz="0" w:space="0" w:color="auto"/>
          </w:divBdr>
          <w:divsChild>
            <w:div w:id="895430446">
              <w:marLeft w:val="0"/>
              <w:marRight w:val="0"/>
              <w:marTop w:val="0"/>
              <w:marBottom w:val="0"/>
              <w:divBdr>
                <w:top w:val="none" w:sz="0" w:space="0" w:color="auto"/>
                <w:left w:val="none" w:sz="0" w:space="0" w:color="auto"/>
                <w:bottom w:val="none" w:sz="0" w:space="0" w:color="auto"/>
                <w:right w:val="none" w:sz="0" w:space="0" w:color="auto"/>
              </w:divBdr>
            </w:div>
          </w:divsChild>
        </w:div>
        <w:div w:id="260382239">
          <w:marLeft w:val="0"/>
          <w:marRight w:val="0"/>
          <w:marTop w:val="0"/>
          <w:marBottom w:val="0"/>
          <w:divBdr>
            <w:top w:val="none" w:sz="0" w:space="0" w:color="auto"/>
            <w:left w:val="none" w:sz="0" w:space="0" w:color="auto"/>
            <w:bottom w:val="none" w:sz="0" w:space="0" w:color="auto"/>
            <w:right w:val="none" w:sz="0" w:space="0" w:color="auto"/>
          </w:divBdr>
          <w:divsChild>
            <w:div w:id="1417050511">
              <w:marLeft w:val="0"/>
              <w:marRight w:val="0"/>
              <w:marTop w:val="0"/>
              <w:marBottom w:val="0"/>
              <w:divBdr>
                <w:top w:val="none" w:sz="0" w:space="0" w:color="auto"/>
                <w:left w:val="none" w:sz="0" w:space="0" w:color="auto"/>
                <w:bottom w:val="none" w:sz="0" w:space="0" w:color="auto"/>
                <w:right w:val="none" w:sz="0" w:space="0" w:color="auto"/>
              </w:divBdr>
            </w:div>
          </w:divsChild>
        </w:div>
        <w:div w:id="308901728">
          <w:marLeft w:val="0"/>
          <w:marRight w:val="0"/>
          <w:marTop w:val="0"/>
          <w:marBottom w:val="0"/>
          <w:divBdr>
            <w:top w:val="none" w:sz="0" w:space="0" w:color="auto"/>
            <w:left w:val="none" w:sz="0" w:space="0" w:color="auto"/>
            <w:bottom w:val="none" w:sz="0" w:space="0" w:color="auto"/>
            <w:right w:val="none" w:sz="0" w:space="0" w:color="auto"/>
          </w:divBdr>
          <w:divsChild>
            <w:div w:id="195049953">
              <w:marLeft w:val="0"/>
              <w:marRight w:val="0"/>
              <w:marTop w:val="0"/>
              <w:marBottom w:val="0"/>
              <w:divBdr>
                <w:top w:val="none" w:sz="0" w:space="0" w:color="auto"/>
                <w:left w:val="none" w:sz="0" w:space="0" w:color="auto"/>
                <w:bottom w:val="none" w:sz="0" w:space="0" w:color="auto"/>
                <w:right w:val="none" w:sz="0" w:space="0" w:color="auto"/>
              </w:divBdr>
            </w:div>
          </w:divsChild>
        </w:div>
        <w:div w:id="313990883">
          <w:marLeft w:val="0"/>
          <w:marRight w:val="0"/>
          <w:marTop w:val="0"/>
          <w:marBottom w:val="0"/>
          <w:divBdr>
            <w:top w:val="none" w:sz="0" w:space="0" w:color="auto"/>
            <w:left w:val="none" w:sz="0" w:space="0" w:color="auto"/>
            <w:bottom w:val="none" w:sz="0" w:space="0" w:color="auto"/>
            <w:right w:val="none" w:sz="0" w:space="0" w:color="auto"/>
          </w:divBdr>
          <w:divsChild>
            <w:div w:id="928081407">
              <w:marLeft w:val="0"/>
              <w:marRight w:val="0"/>
              <w:marTop w:val="0"/>
              <w:marBottom w:val="0"/>
              <w:divBdr>
                <w:top w:val="none" w:sz="0" w:space="0" w:color="auto"/>
                <w:left w:val="none" w:sz="0" w:space="0" w:color="auto"/>
                <w:bottom w:val="none" w:sz="0" w:space="0" w:color="auto"/>
                <w:right w:val="none" w:sz="0" w:space="0" w:color="auto"/>
              </w:divBdr>
            </w:div>
          </w:divsChild>
        </w:div>
        <w:div w:id="357972404">
          <w:marLeft w:val="0"/>
          <w:marRight w:val="0"/>
          <w:marTop w:val="0"/>
          <w:marBottom w:val="0"/>
          <w:divBdr>
            <w:top w:val="none" w:sz="0" w:space="0" w:color="auto"/>
            <w:left w:val="none" w:sz="0" w:space="0" w:color="auto"/>
            <w:bottom w:val="none" w:sz="0" w:space="0" w:color="auto"/>
            <w:right w:val="none" w:sz="0" w:space="0" w:color="auto"/>
          </w:divBdr>
          <w:divsChild>
            <w:div w:id="178008548">
              <w:marLeft w:val="0"/>
              <w:marRight w:val="0"/>
              <w:marTop w:val="0"/>
              <w:marBottom w:val="0"/>
              <w:divBdr>
                <w:top w:val="none" w:sz="0" w:space="0" w:color="auto"/>
                <w:left w:val="none" w:sz="0" w:space="0" w:color="auto"/>
                <w:bottom w:val="none" w:sz="0" w:space="0" w:color="auto"/>
                <w:right w:val="none" w:sz="0" w:space="0" w:color="auto"/>
              </w:divBdr>
            </w:div>
          </w:divsChild>
        </w:div>
        <w:div w:id="409815012">
          <w:marLeft w:val="0"/>
          <w:marRight w:val="0"/>
          <w:marTop w:val="0"/>
          <w:marBottom w:val="0"/>
          <w:divBdr>
            <w:top w:val="none" w:sz="0" w:space="0" w:color="auto"/>
            <w:left w:val="none" w:sz="0" w:space="0" w:color="auto"/>
            <w:bottom w:val="none" w:sz="0" w:space="0" w:color="auto"/>
            <w:right w:val="none" w:sz="0" w:space="0" w:color="auto"/>
          </w:divBdr>
          <w:divsChild>
            <w:div w:id="1662850036">
              <w:marLeft w:val="0"/>
              <w:marRight w:val="0"/>
              <w:marTop w:val="0"/>
              <w:marBottom w:val="0"/>
              <w:divBdr>
                <w:top w:val="none" w:sz="0" w:space="0" w:color="auto"/>
                <w:left w:val="none" w:sz="0" w:space="0" w:color="auto"/>
                <w:bottom w:val="none" w:sz="0" w:space="0" w:color="auto"/>
                <w:right w:val="none" w:sz="0" w:space="0" w:color="auto"/>
              </w:divBdr>
            </w:div>
          </w:divsChild>
        </w:div>
        <w:div w:id="659383585">
          <w:marLeft w:val="0"/>
          <w:marRight w:val="0"/>
          <w:marTop w:val="0"/>
          <w:marBottom w:val="0"/>
          <w:divBdr>
            <w:top w:val="none" w:sz="0" w:space="0" w:color="auto"/>
            <w:left w:val="none" w:sz="0" w:space="0" w:color="auto"/>
            <w:bottom w:val="none" w:sz="0" w:space="0" w:color="auto"/>
            <w:right w:val="none" w:sz="0" w:space="0" w:color="auto"/>
          </w:divBdr>
          <w:divsChild>
            <w:div w:id="768816079">
              <w:marLeft w:val="0"/>
              <w:marRight w:val="0"/>
              <w:marTop w:val="0"/>
              <w:marBottom w:val="0"/>
              <w:divBdr>
                <w:top w:val="none" w:sz="0" w:space="0" w:color="auto"/>
                <w:left w:val="none" w:sz="0" w:space="0" w:color="auto"/>
                <w:bottom w:val="none" w:sz="0" w:space="0" w:color="auto"/>
                <w:right w:val="none" w:sz="0" w:space="0" w:color="auto"/>
              </w:divBdr>
            </w:div>
          </w:divsChild>
        </w:div>
        <w:div w:id="668563446">
          <w:marLeft w:val="0"/>
          <w:marRight w:val="0"/>
          <w:marTop w:val="0"/>
          <w:marBottom w:val="0"/>
          <w:divBdr>
            <w:top w:val="none" w:sz="0" w:space="0" w:color="auto"/>
            <w:left w:val="none" w:sz="0" w:space="0" w:color="auto"/>
            <w:bottom w:val="none" w:sz="0" w:space="0" w:color="auto"/>
            <w:right w:val="none" w:sz="0" w:space="0" w:color="auto"/>
          </w:divBdr>
          <w:divsChild>
            <w:div w:id="591813499">
              <w:marLeft w:val="0"/>
              <w:marRight w:val="0"/>
              <w:marTop w:val="0"/>
              <w:marBottom w:val="0"/>
              <w:divBdr>
                <w:top w:val="none" w:sz="0" w:space="0" w:color="auto"/>
                <w:left w:val="none" w:sz="0" w:space="0" w:color="auto"/>
                <w:bottom w:val="none" w:sz="0" w:space="0" w:color="auto"/>
                <w:right w:val="none" w:sz="0" w:space="0" w:color="auto"/>
              </w:divBdr>
            </w:div>
          </w:divsChild>
        </w:div>
        <w:div w:id="670332782">
          <w:marLeft w:val="0"/>
          <w:marRight w:val="0"/>
          <w:marTop w:val="0"/>
          <w:marBottom w:val="0"/>
          <w:divBdr>
            <w:top w:val="none" w:sz="0" w:space="0" w:color="auto"/>
            <w:left w:val="none" w:sz="0" w:space="0" w:color="auto"/>
            <w:bottom w:val="none" w:sz="0" w:space="0" w:color="auto"/>
            <w:right w:val="none" w:sz="0" w:space="0" w:color="auto"/>
          </w:divBdr>
          <w:divsChild>
            <w:div w:id="372923212">
              <w:marLeft w:val="0"/>
              <w:marRight w:val="0"/>
              <w:marTop w:val="0"/>
              <w:marBottom w:val="0"/>
              <w:divBdr>
                <w:top w:val="none" w:sz="0" w:space="0" w:color="auto"/>
                <w:left w:val="none" w:sz="0" w:space="0" w:color="auto"/>
                <w:bottom w:val="none" w:sz="0" w:space="0" w:color="auto"/>
                <w:right w:val="none" w:sz="0" w:space="0" w:color="auto"/>
              </w:divBdr>
            </w:div>
          </w:divsChild>
        </w:div>
        <w:div w:id="713383940">
          <w:marLeft w:val="0"/>
          <w:marRight w:val="0"/>
          <w:marTop w:val="0"/>
          <w:marBottom w:val="0"/>
          <w:divBdr>
            <w:top w:val="none" w:sz="0" w:space="0" w:color="auto"/>
            <w:left w:val="none" w:sz="0" w:space="0" w:color="auto"/>
            <w:bottom w:val="none" w:sz="0" w:space="0" w:color="auto"/>
            <w:right w:val="none" w:sz="0" w:space="0" w:color="auto"/>
          </w:divBdr>
          <w:divsChild>
            <w:div w:id="1514566331">
              <w:marLeft w:val="0"/>
              <w:marRight w:val="0"/>
              <w:marTop w:val="0"/>
              <w:marBottom w:val="0"/>
              <w:divBdr>
                <w:top w:val="none" w:sz="0" w:space="0" w:color="auto"/>
                <w:left w:val="none" w:sz="0" w:space="0" w:color="auto"/>
                <w:bottom w:val="none" w:sz="0" w:space="0" w:color="auto"/>
                <w:right w:val="none" w:sz="0" w:space="0" w:color="auto"/>
              </w:divBdr>
            </w:div>
          </w:divsChild>
        </w:div>
        <w:div w:id="721179026">
          <w:marLeft w:val="0"/>
          <w:marRight w:val="0"/>
          <w:marTop w:val="0"/>
          <w:marBottom w:val="0"/>
          <w:divBdr>
            <w:top w:val="none" w:sz="0" w:space="0" w:color="auto"/>
            <w:left w:val="none" w:sz="0" w:space="0" w:color="auto"/>
            <w:bottom w:val="none" w:sz="0" w:space="0" w:color="auto"/>
            <w:right w:val="none" w:sz="0" w:space="0" w:color="auto"/>
          </w:divBdr>
          <w:divsChild>
            <w:div w:id="479080042">
              <w:marLeft w:val="0"/>
              <w:marRight w:val="0"/>
              <w:marTop w:val="0"/>
              <w:marBottom w:val="0"/>
              <w:divBdr>
                <w:top w:val="none" w:sz="0" w:space="0" w:color="auto"/>
                <w:left w:val="none" w:sz="0" w:space="0" w:color="auto"/>
                <w:bottom w:val="none" w:sz="0" w:space="0" w:color="auto"/>
                <w:right w:val="none" w:sz="0" w:space="0" w:color="auto"/>
              </w:divBdr>
            </w:div>
          </w:divsChild>
        </w:div>
        <w:div w:id="739593023">
          <w:marLeft w:val="0"/>
          <w:marRight w:val="0"/>
          <w:marTop w:val="0"/>
          <w:marBottom w:val="0"/>
          <w:divBdr>
            <w:top w:val="none" w:sz="0" w:space="0" w:color="auto"/>
            <w:left w:val="none" w:sz="0" w:space="0" w:color="auto"/>
            <w:bottom w:val="none" w:sz="0" w:space="0" w:color="auto"/>
            <w:right w:val="none" w:sz="0" w:space="0" w:color="auto"/>
          </w:divBdr>
          <w:divsChild>
            <w:div w:id="646323089">
              <w:marLeft w:val="0"/>
              <w:marRight w:val="0"/>
              <w:marTop w:val="0"/>
              <w:marBottom w:val="0"/>
              <w:divBdr>
                <w:top w:val="none" w:sz="0" w:space="0" w:color="auto"/>
                <w:left w:val="none" w:sz="0" w:space="0" w:color="auto"/>
                <w:bottom w:val="none" w:sz="0" w:space="0" w:color="auto"/>
                <w:right w:val="none" w:sz="0" w:space="0" w:color="auto"/>
              </w:divBdr>
            </w:div>
          </w:divsChild>
        </w:div>
        <w:div w:id="767626905">
          <w:marLeft w:val="0"/>
          <w:marRight w:val="0"/>
          <w:marTop w:val="0"/>
          <w:marBottom w:val="0"/>
          <w:divBdr>
            <w:top w:val="none" w:sz="0" w:space="0" w:color="auto"/>
            <w:left w:val="none" w:sz="0" w:space="0" w:color="auto"/>
            <w:bottom w:val="none" w:sz="0" w:space="0" w:color="auto"/>
            <w:right w:val="none" w:sz="0" w:space="0" w:color="auto"/>
          </w:divBdr>
          <w:divsChild>
            <w:div w:id="568734231">
              <w:marLeft w:val="0"/>
              <w:marRight w:val="0"/>
              <w:marTop w:val="0"/>
              <w:marBottom w:val="0"/>
              <w:divBdr>
                <w:top w:val="none" w:sz="0" w:space="0" w:color="auto"/>
                <w:left w:val="none" w:sz="0" w:space="0" w:color="auto"/>
                <w:bottom w:val="none" w:sz="0" w:space="0" w:color="auto"/>
                <w:right w:val="none" w:sz="0" w:space="0" w:color="auto"/>
              </w:divBdr>
            </w:div>
          </w:divsChild>
        </w:div>
        <w:div w:id="1056124778">
          <w:marLeft w:val="0"/>
          <w:marRight w:val="0"/>
          <w:marTop w:val="0"/>
          <w:marBottom w:val="0"/>
          <w:divBdr>
            <w:top w:val="none" w:sz="0" w:space="0" w:color="auto"/>
            <w:left w:val="none" w:sz="0" w:space="0" w:color="auto"/>
            <w:bottom w:val="none" w:sz="0" w:space="0" w:color="auto"/>
            <w:right w:val="none" w:sz="0" w:space="0" w:color="auto"/>
          </w:divBdr>
          <w:divsChild>
            <w:div w:id="84813318">
              <w:marLeft w:val="0"/>
              <w:marRight w:val="0"/>
              <w:marTop w:val="0"/>
              <w:marBottom w:val="0"/>
              <w:divBdr>
                <w:top w:val="none" w:sz="0" w:space="0" w:color="auto"/>
                <w:left w:val="none" w:sz="0" w:space="0" w:color="auto"/>
                <w:bottom w:val="none" w:sz="0" w:space="0" w:color="auto"/>
                <w:right w:val="none" w:sz="0" w:space="0" w:color="auto"/>
              </w:divBdr>
            </w:div>
          </w:divsChild>
        </w:div>
        <w:div w:id="1309239993">
          <w:marLeft w:val="0"/>
          <w:marRight w:val="0"/>
          <w:marTop w:val="0"/>
          <w:marBottom w:val="0"/>
          <w:divBdr>
            <w:top w:val="none" w:sz="0" w:space="0" w:color="auto"/>
            <w:left w:val="none" w:sz="0" w:space="0" w:color="auto"/>
            <w:bottom w:val="none" w:sz="0" w:space="0" w:color="auto"/>
            <w:right w:val="none" w:sz="0" w:space="0" w:color="auto"/>
          </w:divBdr>
          <w:divsChild>
            <w:div w:id="960648810">
              <w:marLeft w:val="0"/>
              <w:marRight w:val="0"/>
              <w:marTop w:val="0"/>
              <w:marBottom w:val="0"/>
              <w:divBdr>
                <w:top w:val="none" w:sz="0" w:space="0" w:color="auto"/>
                <w:left w:val="none" w:sz="0" w:space="0" w:color="auto"/>
                <w:bottom w:val="none" w:sz="0" w:space="0" w:color="auto"/>
                <w:right w:val="none" w:sz="0" w:space="0" w:color="auto"/>
              </w:divBdr>
            </w:div>
          </w:divsChild>
        </w:div>
        <w:div w:id="1352030505">
          <w:marLeft w:val="0"/>
          <w:marRight w:val="0"/>
          <w:marTop w:val="0"/>
          <w:marBottom w:val="0"/>
          <w:divBdr>
            <w:top w:val="none" w:sz="0" w:space="0" w:color="auto"/>
            <w:left w:val="none" w:sz="0" w:space="0" w:color="auto"/>
            <w:bottom w:val="none" w:sz="0" w:space="0" w:color="auto"/>
            <w:right w:val="none" w:sz="0" w:space="0" w:color="auto"/>
          </w:divBdr>
          <w:divsChild>
            <w:div w:id="1399210564">
              <w:marLeft w:val="0"/>
              <w:marRight w:val="0"/>
              <w:marTop w:val="0"/>
              <w:marBottom w:val="0"/>
              <w:divBdr>
                <w:top w:val="none" w:sz="0" w:space="0" w:color="auto"/>
                <w:left w:val="none" w:sz="0" w:space="0" w:color="auto"/>
                <w:bottom w:val="none" w:sz="0" w:space="0" w:color="auto"/>
                <w:right w:val="none" w:sz="0" w:space="0" w:color="auto"/>
              </w:divBdr>
            </w:div>
          </w:divsChild>
        </w:div>
        <w:div w:id="1426530915">
          <w:marLeft w:val="0"/>
          <w:marRight w:val="0"/>
          <w:marTop w:val="0"/>
          <w:marBottom w:val="0"/>
          <w:divBdr>
            <w:top w:val="none" w:sz="0" w:space="0" w:color="auto"/>
            <w:left w:val="none" w:sz="0" w:space="0" w:color="auto"/>
            <w:bottom w:val="none" w:sz="0" w:space="0" w:color="auto"/>
            <w:right w:val="none" w:sz="0" w:space="0" w:color="auto"/>
          </w:divBdr>
          <w:divsChild>
            <w:div w:id="1166893992">
              <w:marLeft w:val="0"/>
              <w:marRight w:val="0"/>
              <w:marTop w:val="0"/>
              <w:marBottom w:val="0"/>
              <w:divBdr>
                <w:top w:val="none" w:sz="0" w:space="0" w:color="auto"/>
                <w:left w:val="none" w:sz="0" w:space="0" w:color="auto"/>
                <w:bottom w:val="none" w:sz="0" w:space="0" w:color="auto"/>
                <w:right w:val="none" w:sz="0" w:space="0" w:color="auto"/>
              </w:divBdr>
            </w:div>
          </w:divsChild>
        </w:div>
        <w:div w:id="1622347825">
          <w:marLeft w:val="0"/>
          <w:marRight w:val="0"/>
          <w:marTop w:val="0"/>
          <w:marBottom w:val="0"/>
          <w:divBdr>
            <w:top w:val="none" w:sz="0" w:space="0" w:color="auto"/>
            <w:left w:val="none" w:sz="0" w:space="0" w:color="auto"/>
            <w:bottom w:val="none" w:sz="0" w:space="0" w:color="auto"/>
            <w:right w:val="none" w:sz="0" w:space="0" w:color="auto"/>
          </w:divBdr>
          <w:divsChild>
            <w:div w:id="94599199">
              <w:marLeft w:val="0"/>
              <w:marRight w:val="0"/>
              <w:marTop w:val="0"/>
              <w:marBottom w:val="0"/>
              <w:divBdr>
                <w:top w:val="none" w:sz="0" w:space="0" w:color="auto"/>
                <w:left w:val="none" w:sz="0" w:space="0" w:color="auto"/>
                <w:bottom w:val="none" w:sz="0" w:space="0" w:color="auto"/>
                <w:right w:val="none" w:sz="0" w:space="0" w:color="auto"/>
              </w:divBdr>
            </w:div>
          </w:divsChild>
        </w:div>
        <w:div w:id="1747989615">
          <w:marLeft w:val="0"/>
          <w:marRight w:val="0"/>
          <w:marTop w:val="0"/>
          <w:marBottom w:val="0"/>
          <w:divBdr>
            <w:top w:val="none" w:sz="0" w:space="0" w:color="auto"/>
            <w:left w:val="none" w:sz="0" w:space="0" w:color="auto"/>
            <w:bottom w:val="none" w:sz="0" w:space="0" w:color="auto"/>
            <w:right w:val="none" w:sz="0" w:space="0" w:color="auto"/>
          </w:divBdr>
          <w:divsChild>
            <w:div w:id="168065395">
              <w:marLeft w:val="0"/>
              <w:marRight w:val="0"/>
              <w:marTop w:val="0"/>
              <w:marBottom w:val="0"/>
              <w:divBdr>
                <w:top w:val="none" w:sz="0" w:space="0" w:color="auto"/>
                <w:left w:val="none" w:sz="0" w:space="0" w:color="auto"/>
                <w:bottom w:val="none" w:sz="0" w:space="0" w:color="auto"/>
                <w:right w:val="none" w:sz="0" w:space="0" w:color="auto"/>
              </w:divBdr>
            </w:div>
          </w:divsChild>
        </w:div>
        <w:div w:id="1807238466">
          <w:marLeft w:val="0"/>
          <w:marRight w:val="0"/>
          <w:marTop w:val="0"/>
          <w:marBottom w:val="0"/>
          <w:divBdr>
            <w:top w:val="none" w:sz="0" w:space="0" w:color="auto"/>
            <w:left w:val="none" w:sz="0" w:space="0" w:color="auto"/>
            <w:bottom w:val="none" w:sz="0" w:space="0" w:color="auto"/>
            <w:right w:val="none" w:sz="0" w:space="0" w:color="auto"/>
          </w:divBdr>
          <w:divsChild>
            <w:div w:id="1117793269">
              <w:marLeft w:val="0"/>
              <w:marRight w:val="0"/>
              <w:marTop w:val="0"/>
              <w:marBottom w:val="0"/>
              <w:divBdr>
                <w:top w:val="none" w:sz="0" w:space="0" w:color="auto"/>
                <w:left w:val="none" w:sz="0" w:space="0" w:color="auto"/>
                <w:bottom w:val="none" w:sz="0" w:space="0" w:color="auto"/>
                <w:right w:val="none" w:sz="0" w:space="0" w:color="auto"/>
              </w:divBdr>
            </w:div>
          </w:divsChild>
        </w:div>
        <w:div w:id="1891380011">
          <w:marLeft w:val="0"/>
          <w:marRight w:val="0"/>
          <w:marTop w:val="0"/>
          <w:marBottom w:val="0"/>
          <w:divBdr>
            <w:top w:val="none" w:sz="0" w:space="0" w:color="auto"/>
            <w:left w:val="none" w:sz="0" w:space="0" w:color="auto"/>
            <w:bottom w:val="none" w:sz="0" w:space="0" w:color="auto"/>
            <w:right w:val="none" w:sz="0" w:space="0" w:color="auto"/>
          </w:divBdr>
          <w:divsChild>
            <w:div w:id="1608734569">
              <w:marLeft w:val="0"/>
              <w:marRight w:val="0"/>
              <w:marTop w:val="0"/>
              <w:marBottom w:val="0"/>
              <w:divBdr>
                <w:top w:val="none" w:sz="0" w:space="0" w:color="auto"/>
                <w:left w:val="none" w:sz="0" w:space="0" w:color="auto"/>
                <w:bottom w:val="none" w:sz="0" w:space="0" w:color="auto"/>
                <w:right w:val="none" w:sz="0" w:space="0" w:color="auto"/>
              </w:divBdr>
            </w:div>
          </w:divsChild>
        </w:div>
        <w:div w:id="2010518409">
          <w:marLeft w:val="0"/>
          <w:marRight w:val="0"/>
          <w:marTop w:val="0"/>
          <w:marBottom w:val="0"/>
          <w:divBdr>
            <w:top w:val="none" w:sz="0" w:space="0" w:color="auto"/>
            <w:left w:val="none" w:sz="0" w:space="0" w:color="auto"/>
            <w:bottom w:val="none" w:sz="0" w:space="0" w:color="auto"/>
            <w:right w:val="none" w:sz="0" w:space="0" w:color="auto"/>
          </w:divBdr>
          <w:divsChild>
            <w:div w:id="1976182523">
              <w:marLeft w:val="0"/>
              <w:marRight w:val="0"/>
              <w:marTop w:val="0"/>
              <w:marBottom w:val="0"/>
              <w:divBdr>
                <w:top w:val="none" w:sz="0" w:space="0" w:color="auto"/>
                <w:left w:val="none" w:sz="0" w:space="0" w:color="auto"/>
                <w:bottom w:val="none" w:sz="0" w:space="0" w:color="auto"/>
                <w:right w:val="none" w:sz="0" w:space="0" w:color="auto"/>
              </w:divBdr>
            </w:div>
          </w:divsChild>
        </w:div>
        <w:div w:id="2055688323">
          <w:marLeft w:val="0"/>
          <w:marRight w:val="0"/>
          <w:marTop w:val="0"/>
          <w:marBottom w:val="0"/>
          <w:divBdr>
            <w:top w:val="none" w:sz="0" w:space="0" w:color="auto"/>
            <w:left w:val="none" w:sz="0" w:space="0" w:color="auto"/>
            <w:bottom w:val="none" w:sz="0" w:space="0" w:color="auto"/>
            <w:right w:val="none" w:sz="0" w:space="0" w:color="auto"/>
          </w:divBdr>
          <w:divsChild>
            <w:div w:id="2898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1848">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2650121">
      <w:bodyDiv w:val="1"/>
      <w:marLeft w:val="0"/>
      <w:marRight w:val="0"/>
      <w:marTop w:val="0"/>
      <w:marBottom w:val="0"/>
      <w:divBdr>
        <w:top w:val="none" w:sz="0" w:space="0" w:color="auto"/>
        <w:left w:val="none" w:sz="0" w:space="0" w:color="auto"/>
        <w:bottom w:val="none" w:sz="0" w:space="0" w:color="auto"/>
        <w:right w:val="none" w:sz="0" w:space="0" w:color="auto"/>
      </w:divBdr>
    </w:div>
    <w:div w:id="1214344660">
      <w:bodyDiv w:val="1"/>
      <w:marLeft w:val="0"/>
      <w:marRight w:val="0"/>
      <w:marTop w:val="0"/>
      <w:marBottom w:val="0"/>
      <w:divBdr>
        <w:top w:val="none" w:sz="0" w:space="0" w:color="auto"/>
        <w:left w:val="none" w:sz="0" w:space="0" w:color="auto"/>
        <w:bottom w:val="none" w:sz="0" w:space="0" w:color="auto"/>
        <w:right w:val="none" w:sz="0" w:space="0" w:color="auto"/>
      </w:divBdr>
      <w:divsChild>
        <w:div w:id="2101022726">
          <w:marLeft w:val="0"/>
          <w:marRight w:val="0"/>
          <w:marTop w:val="0"/>
          <w:marBottom w:val="0"/>
          <w:divBdr>
            <w:top w:val="none" w:sz="0" w:space="0" w:color="auto"/>
            <w:left w:val="none" w:sz="0" w:space="0" w:color="auto"/>
            <w:bottom w:val="none" w:sz="0" w:space="0" w:color="auto"/>
            <w:right w:val="none" w:sz="0" w:space="0" w:color="auto"/>
          </w:divBdr>
        </w:div>
      </w:divsChild>
    </w:div>
    <w:div w:id="1473594920">
      <w:bodyDiv w:val="1"/>
      <w:marLeft w:val="0"/>
      <w:marRight w:val="0"/>
      <w:marTop w:val="0"/>
      <w:marBottom w:val="0"/>
      <w:divBdr>
        <w:top w:val="none" w:sz="0" w:space="0" w:color="auto"/>
        <w:left w:val="none" w:sz="0" w:space="0" w:color="auto"/>
        <w:bottom w:val="none" w:sz="0" w:space="0" w:color="auto"/>
        <w:right w:val="none" w:sz="0" w:space="0" w:color="auto"/>
      </w:divBdr>
      <w:divsChild>
        <w:div w:id="46614648">
          <w:marLeft w:val="0"/>
          <w:marRight w:val="0"/>
          <w:marTop w:val="0"/>
          <w:marBottom w:val="0"/>
          <w:divBdr>
            <w:top w:val="none" w:sz="0" w:space="0" w:color="auto"/>
            <w:left w:val="none" w:sz="0" w:space="0" w:color="auto"/>
            <w:bottom w:val="none" w:sz="0" w:space="0" w:color="auto"/>
            <w:right w:val="none" w:sz="0" w:space="0" w:color="auto"/>
          </w:divBdr>
          <w:divsChild>
            <w:div w:id="2025285739">
              <w:marLeft w:val="0"/>
              <w:marRight w:val="0"/>
              <w:marTop w:val="0"/>
              <w:marBottom w:val="0"/>
              <w:divBdr>
                <w:top w:val="none" w:sz="0" w:space="0" w:color="auto"/>
                <w:left w:val="none" w:sz="0" w:space="0" w:color="auto"/>
                <w:bottom w:val="none" w:sz="0" w:space="0" w:color="auto"/>
                <w:right w:val="none" w:sz="0" w:space="0" w:color="auto"/>
              </w:divBdr>
            </w:div>
          </w:divsChild>
        </w:div>
        <w:div w:id="92747345">
          <w:marLeft w:val="0"/>
          <w:marRight w:val="0"/>
          <w:marTop w:val="0"/>
          <w:marBottom w:val="0"/>
          <w:divBdr>
            <w:top w:val="none" w:sz="0" w:space="0" w:color="auto"/>
            <w:left w:val="none" w:sz="0" w:space="0" w:color="auto"/>
            <w:bottom w:val="none" w:sz="0" w:space="0" w:color="auto"/>
            <w:right w:val="none" w:sz="0" w:space="0" w:color="auto"/>
          </w:divBdr>
          <w:divsChild>
            <w:div w:id="698555998">
              <w:marLeft w:val="0"/>
              <w:marRight w:val="0"/>
              <w:marTop w:val="0"/>
              <w:marBottom w:val="0"/>
              <w:divBdr>
                <w:top w:val="none" w:sz="0" w:space="0" w:color="auto"/>
                <w:left w:val="none" w:sz="0" w:space="0" w:color="auto"/>
                <w:bottom w:val="none" w:sz="0" w:space="0" w:color="auto"/>
                <w:right w:val="none" w:sz="0" w:space="0" w:color="auto"/>
              </w:divBdr>
            </w:div>
          </w:divsChild>
        </w:div>
        <w:div w:id="225073746">
          <w:marLeft w:val="0"/>
          <w:marRight w:val="0"/>
          <w:marTop w:val="0"/>
          <w:marBottom w:val="0"/>
          <w:divBdr>
            <w:top w:val="none" w:sz="0" w:space="0" w:color="auto"/>
            <w:left w:val="none" w:sz="0" w:space="0" w:color="auto"/>
            <w:bottom w:val="none" w:sz="0" w:space="0" w:color="auto"/>
            <w:right w:val="none" w:sz="0" w:space="0" w:color="auto"/>
          </w:divBdr>
          <w:divsChild>
            <w:div w:id="1441418462">
              <w:marLeft w:val="0"/>
              <w:marRight w:val="0"/>
              <w:marTop w:val="0"/>
              <w:marBottom w:val="0"/>
              <w:divBdr>
                <w:top w:val="none" w:sz="0" w:space="0" w:color="auto"/>
                <w:left w:val="none" w:sz="0" w:space="0" w:color="auto"/>
                <w:bottom w:val="none" w:sz="0" w:space="0" w:color="auto"/>
                <w:right w:val="none" w:sz="0" w:space="0" w:color="auto"/>
              </w:divBdr>
            </w:div>
          </w:divsChild>
        </w:div>
        <w:div w:id="267741131">
          <w:marLeft w:val="0"/>
          <w:marRight w:val="0"/>
          <w:marTop w:val="0"/>
          <w:marBottom w:val="0"/>
          <w:divBdr>
            <w:top w:val="none" w:sz="0" w:space="0" w:color="auto"/>
            <w:left w:val="none" w:sz="0" w:space="0" w:color="auto"/>
            <w:bottom w:val="none" w:sz="0" w:space="0" w:color="auto"/>
            <w:right w:val="none" w:sz="0" w:space="0" w:color="auto"/>
          </w:divBdr>
          <w:divsChild>
            <w:div w:id="1662083576">
              <w:marLeft w:val="0"/>
              <w:marRight w:val="0"/>
              <w:marTop w:val="0"/>
              <w:marBottom w:val="0"/>
              <w:divBdr>
                <w:top w:val="none" w:sz="0" w:space="0" w:color="auto"/>
                <w:left w:val="none" w:sz="0" w:space="0" w:color="auto"/>
                <w:bottom w:val="none" w:sz="0" w:space="0" w:color="auto"/>
                <w:right w:val="none" w:sz="0" w:space="0" w:color="auto"/>
              </w:divBdr>
            </w:div>
          </w:divsChild>
        </w:div>
        <w:div w:id="399643913">
          <w:marLeft w:val="0"/>
          <w:marRight w:val="0"/>
          <w:marTop w:val="0"/>
          <w:marBottom w:val="0"/>
          <w:divBdr>
            <w:top w:val="none" w:sz="0" w:space="0" w:color="auto"/>
            <w:left w:val="none" w:sz="0" w:space="0" w:color="auto"/>
            <w:bottom w:val="none" w:sz="0" w:space="0" w:color="auto"/>
            <w:right w:val="none" w:sz="0" w:space="0" w:color="auto"/>
          </w:divBdr>
          <w:divsChild>
            <w:div w:id="789738031">
              <w:marLeft w:val="0"/>
              <w:marRight w:val="0"/>
              <w:marTop w:val="0"/>
              <w:marBottom w:val="0"/>
              <w:divBdr>
                <w:top w:val="none" w:sz="0" w:space="0" w:color="auto"/>
                <w:left w:val="none" w:sz="0" w:space="0" w:color="auto"/>
                <w:bottom w:val="none" w:sz="0" w:space="0" w:color="auto"/>
                <w:right w:val="none" w:sz="0" w:space="0" w:color="auto"/>
              </w:divBdr>
            </w:div>
          </w:divsChild>
        </w:div>
        <w:div w:id="416757256">
          <w:marLeft w:val="0"/>
          <w:marRight w:val="0"/>
          <w:marTop w:val="0"/>
          <w:marBottom w:val="0"/>
          <w:divBdr>
            <w:top w:val="none" w:sz="0" w:space="0" w:color="auto"/>
            <w:left w:val="none" w:sz="0" w:space="0" w:color="auto"/>
            <w:bottom w:val="none" w:sz="0" w:space="0" w:color="auto"/>
            <w:right w:val="none" w:sz="0" w:space="0" w:color="auto"/>
          </w:divBdr>
          <w:divsChild>
            <w:div w:id="222067714">
              <w:marLeft w:val="0"/>
              <w:marRight w:val="0"/>
              <w:marTop w:val="0"/>
              <w:marBottom w:val="0"/>
              <w:divBdr>
                <w:top w:val="none" w:sz="0" w:space="0" w:color="auto"/>
                <w:left w:val="none" w:sz="0" w:space="0" w:color="auto"/>
                <w:bottom w:val="none" w:sz="0" w:space="0" w:color="auto"/>
                <w:right w:val="none" w:sz="0" w:space="0" w:color="auto"/>
              </w:divBdr>
            </w:div>
          </w:divsChild>
        </w:div>
        <w:div w:id="435104471">
          <w:marLeft w:val="0"/>
          <w:marRight w:val="0"/>
          <w:marTop w:val="0"/>
          <w:marBottom w:val="0"/>
          <w:divBdr>
            <w:top w:val="none" w:sz="0" w:space="0" w:color="auto"/>
            <w:left w:val="none" w:sz="0" w:space="0" w:color="auto"/>
            <w:bottom w:val="none" w:sz="0" w:space="0" w:color="auto"/>
            <w:right w:val="none" w:sz="0" w:space="0" w:color="auto"/>
          </w:divBdr>
          <w:divsChild>
            <w:div w:id="383674312">
              <w:marLeft w:val="0"/>
              <w:marRight w:val="0"/>
              <w:marTop w:val="0"/>
              <w:marBottom w:val="0"/>
              <w:divBdr>
                <w:top w:val="none" w:sz="0" w:space="0" w:color="auto"/>
                <w:left w:val="none" w:sz="0" w:space="0" w:color="auto"/>
                <w:bottom w:val="none" w:sz="0" w:space="0" w:color="auto"/>
                <w:right w:val="none" w:sz="0" w:space="0" w:color="auto"/>
              </w:divBdr>
            </w:div>
          </w:divsChild>
        </w:div>
        <w:div w:id="645746416">
          <w:marLeft w:val="0"/>
          <w:marRight w:val="0"/>
          <w:marTop w:val="0"/>
          <w:marBottom w:val="0"/>
          <w:divBdr>
            <w:top w:val="none" w:sz="0" w:space="0" w:color="auto"/>
            <w:left w:val="none" w:sz="0" w:space="0" w:color="auto"/>
            <w:bottom w:val="none" w:sz="0" w:space="0" w:color="auto"/>
            <w:right w:val="none" w:sz="0" w:space="0" w:color="auto"/>
          </w:divBdr>
          <w:divsChild>
            <w:div w:id="937711603">
              <w:marLeft w:val="0"/>
              <w:marRight w:val="0"/>
              <w:marTop w:val="0"/>
              <w:marBottom w:val="0"/>
              <w:divBdr>
                <w:top w:val="none" w:sz="0" w:space="0" w:color="auto"/>
                <w:left w:val="none" w:sz="0" w:space="0" w:color="auto"/>
                <w:bottom w:val="none" w:sz="0" w:space="0" w:color="auto"/>
                <w:right w:val="none" w:sz="0" w:space="0" w:color="auto"/>
              </w:divBdr>
            </w:div>
          </w:divsChild>
        </w:div>
        <w:div w:id="731999053">
          <w:marLeft w:val="0"/>
          <w:marRight w:val="0"/>
          <w:marTop w:val="0"/>
          <w:marBottom w:val="0"/>
          <w:divBdr>
            <w:top w:val="none" w:sz="0" w:space="0" w:color="auto"/>
            <w:left w:val="none" w:sz="0" w:space="0" w:color="auto"/>
            <w:bottom w:val="none" w:sz="0" w:space="0" w:color="auto"/>
            <w:right w:val="none" w:sz="0" w:space="0" w:color="auto"/>
          </w:divBdr>
          <w:divsChild>
            <w:div w:id="337656050">
              <w:marLeft w:val="0"/>
              <w:marRight w:val="0"/>
              <w:marTop w:val="0"/>
              <w:marBottom w:val="0"/>
              <w:divBdr>
                <w:top w:val="none" w:sz="0" w:space="0" w:color="auto"/>
                <w:left w:val="none" w:sz="0" w:space="0" w:color="auto"/>
                <w:bottom w:val="none" w:sz="0" w:space="0" w:color="auto"/>
                <w:right w:val="none" w:sz="0" w:space="0" w:color="auto"/>
              </w:divBdr>
            </w:div>
          </w:divsChild>
        </w:div>
        <w:div w:id="733045342">
          <w:marLeft w:val="0"/>
          <w:marRight w:val="0"/>
          <w:marTop w:val="0"/>
          <w:marBottom w:val="0"/>
          <w:divBdr>
            <w:top w:val="none" w:sz="0" w:space="0" w:color="auto"/>
            <w:left w:val="none" w:sz="0" w:space="0" w:color="auto"/>
            <w:bottom w:val="none" w:sz="0" w:space="0" w:color="auto"/>
            <w:right w:val="none" w:sz="0" w:space="0" w:color="auto"/>
          </w:divBdr>
          <w:divsChild>
            <w:div w:id="110058654">
              <w:marLeft w:val="0"/>
              <w:marRight w:val="0"/>
              <w:marTop w:val="0"/>
              <w:marBottom w:val="0"/>
              <w:divBdr>
                <w:top w:val="none" w:sz="0" w:space="0" w:color="auto"/>
                <w:left w:val="none" w:sz="0" w:space="0" w:color="auto"/>
                <w:bottom w:val="none" w:sz="0" w:space="0" w:color="auto"/>
                <w:right w:val="none" w:sz="0" w:space="0" w:color="auto"/>
              </w:divBdr>
            </w:div>
          </w:divsChild>
        </w:div>
        <w:div w:id="737674457">
          <w:marLeft w:val="0"/>
          <w:marRight w:val="0"/>
          <w:marTop w:val="0"/>
          <w:marBottom w:val="0"/>
          <w:divBdr>
            <w:top w:val="none" w:sz="0" w:space="0" w:color="auto"/>
            <w:left w:val="none" w:sz="0" w:space="0" w:color="auto"/>
            <w:bottom w:val="none" w:sz="0" w:space="0" w:color="auto"/>
            <w:right w:val="none" w:sz="0" w:space="0" w:color="auto"/>
          </w:divBdr>
          <w:divsChild>
            <w:div w:id="1712076908">
              <w:marLeft w:val="0"/>
              <w:marRight w:val="0"/>
              <w:marTop w:val="0"/>
              <w:marBottom w:val="0"/>
              <w:divBdr>
                <w:top w:val="none" w:sz="0" w:space="0" w:color="auto"/>
                <w:left w:val="none" w:sz="0" w:space="0" w:color="auto"/>
                <w:bottom w:val="none" w:sz="0" w:space="0" w:color="auto"/>
                <w:right w:val="none" w:sz="0" w:space="0" w:color="auto"/>
              </w:divBdr>
            </w:div>
          </w:divsChild>
        </w:div>
        <w:div w:id="909771446">
          <w:marLeft w:val="0"/>
          <w:marRight w:val="0"/>
          <w:marTop w:val="0"/>
          <w:marBottom w:val="0"/>
          <w:divBdr>
            <w:top w:val="none" w:sz="0" w:space="0" w:color="auto"/>
            <w:left w:val="none" w:sz="0" w:space="0" w:color="auto"/>
            <w:bottom w:val="none" w:sz="0" w:space="0" w:color="auto"/>
            <w:right w:val="none" w:sz="0" w:space="0" w:color="auto"/>
          </w:divBdr>
          <w:divsChild>
            <w:div w:id="1362128855">
              <w:marLeft w:val="0"/>
              <w:marRight w:val="0"/>
              <w:marTop w:val="0"/>
              <w:marBottom w:val="0"/>
              <w:divBdr>
                <w:top w:val="none" w:sz="0" w:space="0" w:color="auto"/>
                <w:left w:val="none" w:sz="0" w:space="0" w:color="auto"/>
                <w:bottom w:val="none" w:sz="0" w:space="0" w:color="auto"/>
                <w:right w:val="none" w:sz="0" w:space="0" w:color="auto"/>
              </w:divBdr>
            </w:div>
          </w:divsChild>
        </w:div>
        <w:div w:id="1026759153">
          <w:marLeft w:val="0"/>
          <w:marRight w:val="0"/>
          <w:marTop w:val="0"/>
          <w:marBottom w:val="0"/>
          <w:divBdr>
            <w:top w:val="none" w:sz="0" w:space="0" w:color="auto"/>
            <w:left w:val="none" w:sz="0" w:space="0" w:color="auto"/>
            <w:bottom w:val="none" w:sz="0" w:space="0" w:color="auto"/>
            <w:right w:val="none" w:sz="0" w:space="0" w:color="auto"/>
          </w:divBdr>
          <w:divsChild>
            <w:div w:id="837037004">
              <w:marLeft w:val="0"/>
              <w:marRight w:val="0"/>
              <w:marTop w:val="0"/>
              <w:marBottom w:val="0"/>
              <w:divBdr>
                <w:top w:val="none" w:sz="0" w:space="0" w:color="auto"/>
                <w:left w:val="none" w:sz="0" w:space="0" w:color="auto"/>
                <w:bottom w:val="none" w:sz="0" w:space="0" w:color="auto"/>
                <w:right w:val="none" w:sz="0" w:space="0" w:color="auto"/>
              </w:divBdr>
            </w:div>
          </w:divsChild>
        </w:div>
        <w:div w:id="1034574818">
          <w:marLeft w:val="0"/>
          <w:marRight w:val="0"/>
          <w:marTop w:val="0"/>
          <w:marBottom w:val="0"/>
          <w:divBdr>
            <w:top w:val="none" w:sz="0" w:space="0" w:color="auto"/>
            <w:left w:val="none" w:sz="0" w:space="0" w:color="auto"/>
            <w:bottom w:val="none" w:sz="0" w:space="0" w:color="auto"/>
            <w:right w:val="none" w:sz="0" w:space="0" w:color="auto"/>
          </w:divBdr>
          <w:divsChild>
            <w:div w:id="1700079547">
              <w:marLeft w:val="0"/>
              <w:marRight w:val="0"/>
              <w:marTop w:val="0"/>
              <w:marBottom w:val="0"/>
              <w:divBdr>
                <w:top w:val="none" w:sz="0" w:space="0" w:color="auto"/>
                <w:left w:val="none" w:sz="0" w:space="0" w:color="auto"/>
                <w:bottom w:val="none" w:sz="0" w:space="0" w:color="auto"/>
                <w:right w:val="none" w:sz="0" w:space="0" w:color="auto"/>
              </w:divBdr>
            </w:div>
          </w:divsChild>
        </w:div>
        <w:div w:id="1113479517">
          <w:marLeft w:val="0"/>
          <w:marRight w:val="0"/>
          <w:marTop w:val="0"/>
          <w:marBottom w:val="0"/>
          <w:divBdr>
            <w:top w:val="none" w:sz="0" w:space="0" w:color="auto"/>
            <w:left w:val="none" w:sz="0" w:space="0" w:color="auto"/>
            <w:bottom w:val="none" w:sz="0" w:space="0" w:color="auto"/>
            <w:right w:val="none" w:sz="0" w:space="0" w:color="auto"/>
          </w:divBdr>
          <w:divsChild>
            <w:div w:id="71394803">
              <w:marLeft w:val="0"/>
              <w:marRight w:val="0"/>
              <w:marTop w:val="0"/>
              <w:marBottom w:val="0"/>
              <w:divBdr>
                <w:top w:val="none" w:sz="0" w:space="0" w:color="auto"/>
                <w:left w:val="none" w:sz="0" w:space="0" w:color="auto"/>
                <w:bottom w:val="none" w:sz="0" w:space="0" w:color="auto"/>
                <w:right w:val="none" w:sz="0" w:space="0" w:color="auto"/>
              </w:divBdr>
            </w:div>
          </w:divsChild>
        </w:div>
        <w:div w:id="1537425946">
          <w:marLeft w:val="0"/>
          <w:marRight w:val="0"/>
          <w:marTop w:val="0"/>
          <w:marBottom w:val="0"/>
          <w:divBdr>
            <w:top w:val="none" w:sz="0" w:space="0" w:color="auto"/>
            <w:left w:val="none" w:sz="0" w:space="0" w:color="auto"/>
            <w:bottom w:val="none" w:sz="0" w:space="0" w:color="auto"/>
            <w:right w:val="none" w:sz="0" w:space="0" w:color="auto"/>
          </w:divBdr>
          <w:divsChild>
            <w:div w:id="1705135285">
              <w:marLeft w:val="0"/>
              <w:marRight w:val="0"/>
              <w:marTop w:val="0"/>
              <w:marBottom w:val="0"/>
              <w:divBdr>
                <w:top w:val="none" w:sz="0" w:space="0" w:color="auto"/>
                <w:left w:val="none" w:sz="0" w:space="0" w:color="auto"/>
                <w:bottom w:val="none" w:sz="0" w:space="0" w:color="auto"/>
                <w:right w:val="none" w:sz="0" w:space="0" w:color="auto"/>
              </w:divBdr>
            </w:div>
          </w:divsChild>
        </w:div>
        <w:div w:id="1771504324">
          <w:marLeft w:val="0"/>
          <w:marRight w:val="0"/>
          <w:marTop w:val="0"/>
          <w:marBottom w:val="0"/>
          <w:divBdr>
            <w:top w:val="none" w:sz="0" w:space="0" w:color="auto"/>
            <w:left w:val="none" w:sz="0" w:space="0" w:color="auto"/>
            <w:bottom w:val="none" w:sz="0" w:space="0" w:color="auto"/>
            <w:right w:val="none" w:sz="0" w:space="0" w:color="auto"/>
          </w:divBdr>
          <w:divsChild>
            <w:div w:id="137764262">
              <w:marLeft w:val="0"/>
              <w:marRight w:val="0"/>
              <w:marTop w:val="0"/>
              <w:marBottom w:val="0"/>
              <w:divBdr>
                <w:top w:val="none" w:sz="0" w:space="0" w:color="auto"/>
                <w:left w:val="none" w:sz="0" w:space="0" w:color="auto"/>
                <w:bottom w:val="none" w:sz="0" w:space="0" w:color="auto"/>
                <w:right w:val="none" w:sz="0" w:space="0" w:color="auto"/>
              </w:divBdr>
            </w:div>
          </w:divsChild>
        </w:div>
        <w:div w:id="1895583272">
          <w:marLeft w:val="0"/>
          <w:marRight w:val="0"/>
          <w:marTop w:val="0"/>
          <w:marBottom w:val="0"/>
          <w:divBdr>
            <w:top w:val="none" w:sz="0" w:space="0" w:color="auto"/>
            <w:left w:val="none" w:sz="0" w:space="0" w:color="auto"/>
            <w:bottom w:val="none" w:sz="0" w:space="0" w:color="auto"/>
            <w:right w:val="none" w:sz="0" w:space="0" w:color="auto"/>
          </w:divBdr>
          <w:divsChild>
            <w:div w:id="515265538">
              <w:marLeft w:val="0"/>
              <w:marRight w:val="0"/>
              <w:marTop w:val="0"/>
              <w:marBottom w:val="0"/>
              <w:divBdr>
                <w:top w:val="none" w:sz="0" w:space="0" w:color="auto"/>
                <w:left w:val="none" w:sz="0" w:space="0" w:color="auto"/>
                <w:bottom w:val="none" w:sz="0" w:space="0" w:color="auto"/>
                <w:right w:val="none" w:sz="0" w:space="0" w:color="auto"/>
              </w:divBdr>
            </w:div>
          </w:divsChild>
        </w:div>
        <w:div w:id="1976374370">
          <w:marLeft w:val="0"/>
          <w:marRight w:val="0"/>
          <w:marTop w:val="0"/>
          <w:marBottom w:val="0"/>
          <w:divBdr>
            <w:top w:val="none" w:sz="0" w:space="0" w:color="auto"/>
            <w:left w:val="none" w:sz="0" w:space="0" w:color="auto"/>
            <w:bottom w:val="none" w:sz="0" w:space="0" w:color="auto"/>
            <w:right w:val="none" w:sz="0" w:space="0" w:color="auto"/>
          </w:divBdr>
          <w:divsChild>
            <w:div w:id="2126382827">
              <w:marLeft w:val="0"/>
              <w:marRight w:val="0"/>
              <w:marTop w:val="0"/>
              <w:marBottom w:val="0"/>
              <w:divBdr>
                <w:top w:val="none" w:sz="0" w:space="0" w:color="auto"/>
                <w:left w:val="none" w:sz="0" w:space="0" w:color="auto"/>
                <w:bottom w:val="none" w:sz="0" w:space="0" w:color="auto"/>
                <w:right w:val="none" w:sz="0" w:space="0" w:color="auto"/>
              </w:divBdr>
            </w:div>
          </w:divsChild>
        </w:div>
        <w:div w:id="1989749914">
          <w:marLeft w:val="0"/>
          <w:marRight w:val="0"/>
          <w:marTop w:val="0"/>
          <w:marBottom w:val="0"/>
          <w:divBdr>
            <w:top w:val="none" w:sz="0" w:space="0" w:color="auto"/>
            <w:left w:val="none" w:sz="0" w:space="0" w:color="auto"/>
            <w:bottom w:val="none" w:sz="0" w:space="0" w:color="auto"/>
            <w:right w:val="none" w:sz="0" w:space="0" w:color="auto"/>
          </w:divBdr>
          <w:divsChild>
            <w:div w:id="383990411">
              <w:marLeft w:val="0"/>
              <w:marRight w:val="0"/>
              <w:marTop w:val="0"/>
              <w:marBottom w:val="0"/>
              <w:divBdr>
                <w:top w:val="none" w:sz="0" w:space="0" w:color="auto"/>
                <w:left w:val="none" w:sz="0" w:space="0" w:color="auto"/>
                <w:bottom w:val="none" w:sz="0" w:space="0" w:color="auto"/>
                <w:right w:val="none" w:sz="0" w:space="0" w:color="auto"/>
              </w:divBdr>
            </w:div>
          </w:divsChild>
        </w:div>
        <w:div w:id="2058771081">
          <w:marLeft w:val="0"/>
          <w:marRight w:val="0"/>
          <w:marTop w:val="0"/>
          <w:marBottom w:val="0"/>
          <w:divBdr>
            <w:top w:val="none" w:sz="0" w:space="0" w:color="auto"/>
            <w:left w:val="none" w:sz="0" w:space="0" w:color="auto"/>
            <w:bottom w:val="none" w:sz="0" w:space="0" w:color="auto"/>
            <w:right w:val="none" w:sz="0" w:space="0" w:color="auto"/>
          </w:divBdr>
          <w:divsChild>
            <w:div w:id="107815161">
              <w:marLeft w:val="0"/>
              <w:marRight w:val="0"/>
              <w:marTop w:val="0"/>
              <w:marBottom w:val="0"/>
              <w:divBdr>
                <w:top w:val="none" w:sz="0" w:space="0" w:color="auto"/>
                <w:left w:val="none" w:sz="0" w:space="0" w:color="auto"/>
                <w:bottom w:val="none" w:sz="0" w:space="0" w:color="auto"/>
                <w:right w:val="none" w:sz="0" w:space="0" w:color="auto"/>
              </w:divBdr>
            </w:div>
          </w:divsChild>
        </w:div>
        <w:div w:id="2114781878">
          <w:marLeft w:val="0"/>
          <w:marRight w:val="0"/>
          <w:marTop w:val="0"/>
          <w:marBottom w:val="0"/>
          <w:divBdr>
            <w:top w:val="none" w:sz="0" w:space="0" w:color="auto"/>
            <w:left w:val="none" w:sz="0" w:space="0" w:color="auto"/>
            <w:bottom w:val="none" w:sz="0" w:space="0" w:color="auto"/>
            <w:right w:val="none" w:sz="0" w:space="0" w:color="auto"/>
          </w:divBdr>
          <w:divsChild>
            <w:div w:id="1972009979">
              <w:marLeft w:val="0"/>
              <w:marRight w:val="0"/>
              <w:marTop w:val="0"/>
              <w:marBottom w:val="0"/>
              <w:divBdr>
                <w:top w:val="none" w:sz="0" w:space="0" w:color="auto"/>
                <w:left w:val="none" w:sz="0" w:space="0" w:color="auto"/>
                <w:bottom w:val="none" w:sz="0" w:space="0" w:color="auto"/>
                <w:right w:val="none" w:sz="0" w:space="0" w:color="auto"/>
              </w:divBdr>
            </w:div>
          </w:divsChild>
        </w:div>
        <w:div w:id="2134515403">
          <w:marLeft w:val="0"/>
          <w:marRight w:val="0"/>
          <w:marTop w:val="0"/>
          <w:marBottom w:val="0"/>
          <w:divBdr>
            <w:top w:val="none" w:sz="0" w:space="0" w:color="auto"/>
            <w:left w:val="none" w:sz="0" w:space="0" w:color="auto"/>
            <w:bottom w:val="none" w:sz="0" w:space="0" w:color="auto"/>
            <w:right w:val="none" w:sz="0" w:space="0" w:color="auto"/>
          </w:divBdr>
          <w:divsChild>
            <w:div w:id="1891961496">
              <w:marLeft w:val="0"/>
              <w:marRight w:val="0"/>
              <w:marTop w:val="0"/>
              <w:marBottom w:val="0"/>
              <w:divBdr>
                <w:top w:val="none" w:sz="0" w:space="0" w:color="auto"/>
                <w:left w:val="none" w:sz="0" w:space="0" w:color="auto"/>
                <w:bottom w:val="none" w:sz="0" w:space="0" w:color="auto"/>
                <w:right w:val="none" w:sz="0" w:space="0" w:color="auto"/>
              </w:divBdr>
            </w:div>
          </w:divsChild>
        </w:div>
        <w:div w:id="2142187834">
          <w:marLeft w:val="0"/>
          <w:marRight w:val="0"/>
          <w:marTop w:val="0"/>
          <w:marBottom w:val="0"/>
          <w:divBdr>
            <w:top w:val="none" w:sz="0" w:space="0" w:color="auto"/>
            <w:left w:val="none" w:sz="0" w:space="0" w:color="auto"/>
            <w:bottom w:val="none" w:sz="0" w:space="0" w:color="auto"/>
            <w:right w:val="none" w:sz="0" w:space="0" w:color="auto"/>
          </w:divBdr>
          <w:divsChild>
            <w:div w:id="1943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27735">
      <w:bodyDiv w:val="1"/>
      <w:marLeft w:val="0"/>
      <w:marRight w:val="0"/>
      <w:marTop w:val="0"/>
      <w:marBottom w:val="0"/>
      <w:divBdr>
        <w:top w:val="none" w:sz="0" w:space="0" w:color="auto"/>
        <w:left w:val="none" w:sz="0" w:space="0" w:color="auto"/>
        <w:bottom w:val="none" w:sz="0" w:space="0" w:color="auto"/>
        <w:right w:val="none" w:sz="0" w:space="0" w:color="auto"/>
      </w:divBdr>
    </w:div>
    <w:div w:id="1616719029">
      <w:bodyDiv w:val="1"/>
      <w:marLeft w:val="0"/>
      <w:marRight w:val="0"/>
      <w:marTop w:val="0"/>
      <w:marBottom w:val="0"/>
      <w:divBdr>
        <w:top w:val="none" w:sz="0" w:space="0" w:color="auto"/>
        <w:left w:val="none" w:sz="0" w:space="0" w:color="auto"/>
        <w:bottom w:val="none" w:sz="0" w:space="0" w:color="auto"/>
        <w:right w:val="none" w:sz="0" w:space="0" w:color="auto"/>
      </w:divBdr>
    </w:div>
    <w:div w:id="1617592199">
      <w:bodyDiv w:val="1"/>
      <w:marLeft w:val="0"/>
      <w:marRight w:val="0"/>
      <w:marTop w:val="0"/>
      <w:marBottom w:val="0"/>
      <w:divBdr>
        <w:top w:val="none" w:sz="0" w:space="0" w:color="auto"/>
        <w:left w:val="none" w:sz="0" w:space="0" w:color="auto"/>
        <w:bottom w:val="none" w:sz="0" w:space="0" w:color="auto"/>
        <w:right w:val="none" w:sz="0" w:space="0" w:color="auto"/>
      </w:divBdr>
    </w:div>
    <w:div w:id="1767650883">
      <w:bodyDiv w:val="1"/>
      <w:marLeft w:val="0"/>
      <w:marRight w:val="0"/>
      <w:marTop w:val="0"/>
      <w:marBottom w:val="0"/>
      <w:divBdr>
        <w:top w:val="none" w:sz="0" w:space="0" w:color="auto"/>
        <w:left w:val="none" w:sz="0" w:space="0" w:color="auto"/>
        <w:bottom w:val="none" w:sz="0" w:space="0" w:color="auto"/>
        <w:right w:val="none" w:sz="0" w:space="0" w:color="auto"/>
      </w:divBdr>
    </w:div>
    <w:div w:id="1814174420">
      <w:bodyDiv w:val="1"/>
      <w:marLeft w:val="0"/>
      <w:marRight w:val="0"/>
      <w:marTop w:val="0"/>
      <w:marBottom w:val="0"/>
      <w:divBdr>
        <w:top w:val="none" w:sz="0" w:space="0" w:color="auto"/>
        <w:left w:val="none" w:sz="0" w:space="0" w:color="auto"/>
        <w:bottom w:val="none" w:sz="0" w:space="0" w:color="auto"/>
        <w:right w:val="none" w:sz="0" w:space="0" w:color="auto"/>
      </w:divBdr>
    </w:div>
    <w:div w:id="1989701852">
      <w:bodyDiv w:val="1"/>
      <w:marLeft w:val="0"/>
      <w:marRight w:val="0"/>
      <w:marTop w:val="0"/>
      <w:marBottom w:val="0"/>
      <w:divBdr>
        <w:top w:val="none" w:sz="0" w:space="0" w:color="auto"/>
        <w:left w:val="none" w:sz="0" w:space="0" w:color="auto"/>
        <w:bottom w:val="none" w:sz="0" w:space="0" w:color="auto"/>
        <w:right w:val="none" w:sz="0" w:space="0" w:color="auto"/>
      </w:divBdr>
      <w:divsChild>
        <w:div w:id="64884505">
          <w:marLeft w:val="0"/>
          <w:marRight w:val="0"/>
          <w:marTop w:val="0"/>
          <w:marBottom w:val="0"/>
          <w:divBdr>
            <w:top w:val="none" w:sz="0" w:space="0" w:color="auto"/>
            <w:left w:val="none" w:sz="0" w:space="0" w:color="auto"/>
            <w:bottom w:val="none" w:sz="0" w:space="0" w:color="auto"/>
            <w:right w:val="none" w:sz="0" w:space="0" w:color="auto"/>
          </w:divBdr>
          <w:divsChild>
            <w:div w:id="585965126">
              <w:marLeft w:val="0"/>
              <w:marRight w:val="0"/>
              <w:marTop w:val="0"/>
              <w:marBottom w:val="0"/>
              <w:divBdr>
                <w:top w:val="none" w:sz="0" w:space="0" w:color="auto"/>
                <w:left w:val="none" w:sz="0" w:space="0" w:color="auto"/>
                <w:bottom w:val="none" w:sz="0" w:space="0" w:color="auto"/>
                <w:right w:val="none" w:sz="0" w:space="0" w:color="auto"/>
              </w:divBdr>
            </w:div>
          </w:divsChild>
        </w:div>
        <w:div w:id="95558607">
          <w:marLeft w:val="0"/>
          <w:marRight w:val="0"/>
          <w:marTop w:val="0"/>
          <w:marBottom w:val="0"/>
          <w:divBdr>
            <w:top w:val="none" w:sz="0" w:space="0" w:color="auto"/>
            <w:left w:val="none" w:sz="0" w:space="0" w:color="auto"/>
            <w:bottom w:val="none" w:sz="0" w:space="0" w:color="auto"/>
            <w:right w:val="none" w:sz="0" w:space="0" w:color="auto"/>
          </w:divBdr>
          <w:divsChild>
            <w:div w:id="1446970088">
              <w:marLeft w:val="0"/>
              <w:marRight w:val="0"/>
              <w:marTop w:val="0"/>
              <w:marBottom w:val="0"/>
              <w:divBdr>
                <w:top w:val="none" w:sz="0" w:space="0" w:color="auto"/>
                <w:left w:val="none" w:sz="0" w:space="0" w:color="auto"/>
                <w:bottom w:val="none" w:sz="0" w:space="0" w:color="auto"/>
                <w:right w:val="none" w:sz="0" w:space="0" w:color="auto"/>
              </w:divBdr>
            </w:div>
          </w:divsChild>
        </w:div>
        <w:div w:id="212273984">
          <w:marLeft w:val="0"/>
          <w:marRight w:val="0"/>
          <w:marTop w:val="0"/>
          <w:marBottom w:val="0"/>
          <w:divBdr>
            <w:top w:val="none" w:sz="0" w:space="0" w:color="auto"/>
            <w:left w:val="none" w:sz="0" w:space="0" w:color="auto"/>
            <w:bottom w:val="none" w:sz="0" w:space="0" w:color="auto"/>
            <w:right w:val="none" w:sz="0" w:space="0" w:color="auto"/>
          </w:divBdr>
          <w:divsChild>
            <w:div w:id="850144580">
              <w:marLeft w:val="0"/>
              <w:marRight w:val="0"/>
              <w:marTop w:val="0"/>
              <w:marBottom w:val="0"/>
              <w:divBdr>
                <w:top w:val="none" w:sz="0" w:space="0" w:color="auto"/>
                <w:left w:val="none" w:sz="0" w:space="0" w:color="auto"/>
                <w:bottom w:val="none" w:sz="0" w:space="0" w:color="auto"/>
                <w:right w:val="none" w:sz="0" w:space="0" w:color="auto"/>
              </w:divBdr>
            </w:div>
          </w:divsChild>
        </w:div>
        <w:div w:id="248512877">
          <w:marLeft w:val="0"/>
          <w:marRight w:val="0"/>
          <w:marTop w:val="0"/>
          <w:marBottom w:val="0"/>
          <w:divBdr>
            <w:top w:val="none" w:sz="0" w:space="0" w:color="auto"/>
            <w:left w:val="none" w:sz="0" w:space="0" w:color="auto"/>
            <w:bottom w:val="none" w:sz="0" w:space="0" w:color="auto"/>
            <w:right w:val="none" w:sz="0" w:space="0" w:color="auto"/>
          </w:divBdr>
          <w:divsChild>
            <w:div w:id="376971944">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sChild>
        </w:div>
        <w:div w:id="295335128">
          <w:marLeft w:val="0"/>
          <w:marRight w:val="0"/>
          <w:marTop w:val="0"/>
          <w:marBottom w:val="0"/>
          <w:divBdr>
            <w:top w:val="none" w:sz="0" w:space="0" w:color="auto"/>
            <w:left w:val="none" w:sz="0" w:space="0" w:color="auto"/>
            <w:bottom w:val="none" w:sz="0" w:space="0" w:color="auto"/>
            <w:right w:val="none" w:sz="0" w:space="0" w:color="auto"/>
          </w:divBdr>
          <w:divsChild>
            <w:div w:id="1519737649">
              <w:marLeft w:val="0"/>
              <w:marRight w:val="0"/>
              <w:marTop w:val="0"/>
              <w:marBottom w:val="0"/>
              <w:divBdr>
                <w:top w:val="none" w:sz="0" w:space="0" w:color="auto"/>
                <w:left w:val="none" w:sz="0" w:space="0" w:color="auto"/>
                <w:bottom w:val="none" w:sz="0" w:space="0" w:color="auto"/>
                <w:right w:val="none" w:sz="0" w:space="0" w:color="auto"/>
              </w:divBdr>
            </w:div>
          </w:divsChild>
        </w:div>
        <w:div w:id="448359788">
          <w:marLeft w:val="0"/>
          <w:marRight w:val="0"/>
          <w:marTop w:val="0"/>
          <w:marBottom w:val="0"/>
          <w:divBdr>
            <w:top w:val="none" w:sz="0" w:space="0" w:color="auto"/>
            <w:left w:val="none" w:sz="0" w:space="0" w:color="auto"/>
            <w:bottom w:val="none" w:sz="0" w:space="0" w:color="auto"/>
            <w:right w:val="none" w:sz="0" w:space="0" w:color="auto"/>
          </w:divBdr>
          <w:divsChild>
            <w:div w:id="1980381265">
              <w:marLeft w:val="0"/>
              <w:marRight w:val="0"/>
              <w:marTop w:val="0"/>
              <w:marBottom w:val="0"/>
              <w:divBdr>
                <w:top w:val="none" w:sz="0" w:space="0" w:color="auto"/>
                <w:left w:val="none" w:sz="0" w:space="0" w:color="auto"/>
                <w:bottom w:val="none" w:sz="0" w:space="0" w:color="auto"/>
                <w:right w:val="none" w:sz="0" w:space="0" w:color="auto"/>
              </w:divBdr>
            </w:div>
          </w:divsChild>
        </w:div>
        <w:div w:id="461462013">
          <w:marLeft w:val="0"/>
          <w:marRight w:val="0"/>
          <w:marTop w:val="0"/>
          <w:marBottom w:val="0"/>
          <w:divBdr>
            <w:top w:val="none" w:sz="0" w:space="0" w:color="auto"/>
            <w:left w:val="none" w:sz="0" w:space="0" w:color="auto"/>
            <w:bottom w:val="none" w:sz="0" w:space="0" w:color="auto"/>
            <w:right w:val="none" w:sz="0" w:space="0" w:color="auto"/>
          </w:divBdr>
          <w:divsChild>
            <w:div w:id="257835283">
              <w:marLeft w:val="0"/>
              <w:marRight w:val="0"/>
              <w:marTop w:val="0"/>
              <w:marBottom w:val="0"/>
              <w:divBdr>
                <w:top w:val="none" w:sz="0" w:space="0" w:color="auto"/>
                <w:left w:val="none" w:sz="0" w:space="0" w:color="auto"/>
                <w:bottom w:val="none" w:sz="0" w:space="0" w:color="auto"/>
                <w:right w:val="none" w:sz="0" w:space="0" w:color="auto"/>
              </w:divBdr>
            </w:div>
          </w:divsChild>
        </w:div>
        <w:div w:id="598217846">
          <w:marLeft w:val="0"/>
          <w:marRight w:val="0"/>
          <w:marTop w:val="0"/>
          <w:marBottom w:val="0"/>
          <w:divBdr>
            <w:top w:val="none" w:sz="0" w:space="0" w:color="auto"/>
            <w:left w:val="none" w:sz="0" w:space="0" w:color="auto"/>
            <w:bottom w:val="none" w:sz="0" w:space="0" w:color="auto"/>
            <w:right w:val="none" w:sz="0" w:space="0" w:color="auto"/>
          </w:divBdr>
          <w:divsChild>
            <w:div w:id="164131842">
              <w:marLeft w:val="0"/>
              <w:marRight w:val="0"/>
              <w:marTop w:val="0"/>
              <w:marBottom w:val="0"/>
              <w:divBdr>
                <w:top w:val="none" w:sz="0" w:space="0" w:color="auto"/>
                <w:left w:val="none" w:sz="0" w:space="0" w:color="auto"/>
                <w:bottom w:val="none" w:sz="0" w:space="0" w:color="auto"/>
                <w:right w:val="none" w:sz="0" w:space="0" w:color="auto"/>
              </w:divBdr>
            </w:div>
          </w:divsChild>
        </w:div>
        <w:div w:id="675422702">
          <w:marLeft w:val="0"/>
          <w:marRight w:val="0"/>
          <w:marTop w:val="0"/>
          <w:marBottom w:val="0"/>
          <w:divBdr>
            <w:top w:val="none" w:sz="0" w:space="0" w:color="auto"/>
            <w:left w:val="none" w:sz="0" w:space="0" w:color="auto"/>
            <w:bottom w:val="none" w:sz="0" w:space="0" w:color="auto"/>
            <w:right w:val="none" w:sz="0" w:space="0" w:color="auto"/>
          </w:divBdr>
          <w:divsChild>
            <w:div w:id="1336419438">
              <w:marLeft w:val="0"/>
              <w:marRight w:val="0"/>
              <w:marTop w:val="0"/>
              <w:marBottom w:val="0"/>
              <w:divBdr>
                <w:top w:val="none" w:sz="0" w:space="0" w:color="auto"/>
                <w:left w:val="none" w:sz="0" w:space="0" w:color="auto"/>
                <w:bottom w:val="none" w:sz="0" w:space="0" w:color="auto"/>
                <w:right w:val="none" w:sz="0" w:space="0" w:color="auto"/>
              </w:divBdr>
            </w:div>
          </w:divsChild>
        </w:div>
        <w:div w:id="722603130">
          <w:marLeft w:val="0"/>
          <w:marRight w:val="0"/>
          <w:marTop w:val="0"/>
          <w:marBottom w:val="0"/>
          <w:divBdr>
            <w:top w:val="none" w:sz="0" w:space="0" w:color="auto"/>
            <w:left w:val="none" w:sz="0" w:space="0" w:color="auto"/>
            <w:bottom w:val="none" w:sz="0" w:space="0" w:color="auto"/>
            <w:right w:val="none" w:sz="0" w:space="0" w:color="auto"/>
          </w:divBdr>
          <w:divsChild>
            <w:div w:id="1909412814">
              <w:marLeft w:val="0"/>
              <w:marRight w:val="0"/>
              <w:marTop w:val="0"/>
              <w:marBottom w:val="0"/>
              <w:divBdr>
                <w:top w:val="none" w:sz="0" w:space="0" w:color="auto"/>
                <w:left w:val="none" w:sz="0" w:space="0" w:color="auto"/>
                <w:bottom w:val="none" w:sz="0" w:space="0" w:color="auto"/>
                <w:right w:val="none" w:sz="0" w:space="0" w:color="auto"/>
              </w:divBdr>
            </w:div>
          </w:divsChild>
        </w:div>
        <w:div w:id="874002539">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sChild>
        </w:div>
        <w:div w:id="880552522">
          <w:marLeft w:val="0"/>
          <w:marRight w:val="0"/>
          <w:marTop w:val="0"/>
          <w:marBottom w:val="0"/>
          <w:divBdr>
            <w:top w:val="none" w:sz="0" w:space="0" w:color="auto"/>
            <w:left w:val="none" w:sz="0" w:space="0" w:color="auto"/>
            <w:bottom w:val="none" w:sz="0" w:space="0" w:color="auto"/>
            <w:right w:val="none" w:sz="0" w:space="0" w:color="auto"/>
          </w:divBdr>
          <w:divsChild>
            <w:div w:id="991451160">
              <w:marLeft w:val="0"/>
              <w:marRight w:val="0"/>
              <w:marTop w:val="0"/>
              <w:marBottom w:val="0"/>
              <w:divBdr>
                <w:top w:val="none" w:sz="0" w:space="0" w:color="auto"/>
                <w:left w:val="none" w:sz="0" w:space="0" w:color="auto"/>
                <w:bottom w:val="none" w:sz="0" w:space="0" w:color="auto"/>
                <w:right w:val="none" w:sz="0" w:space="0" w:color="auto"/>
              </w:divBdr>
            </w:div>
          </w:divsChild>
        </w:div>
        <w:div w:id="938217682">
          <w:marLeft w:val="0"/>
          <w:marRight w:val="0"/>
          <w:marTop w:val="0"/>
          <w:marBottom w:val="0"/>
          <w:divBdr>
            <w:top w:val="none" w:sz="0" w:space="0" w:color="auto"/>
            <w:left w:val="none" w:sz="0" w:space="0" w:color="auto"/>
            <w:bottom w:val="none" w:sz="0" w:space="0" w:color="auto"/>
            <w:right w:val="none" w:sz="0" w:space="0" w:color="auto"/>
          </w:divBdr>
          <w:divsChild>
            <w:div w:id="1951353646">
              <w:marLeft w:val="0"/>
              <w:marRight w:val="0"/>
              <w:marTop w:val="0"/>
              <w:marBottom w:val="0"/>
              <w:divBdr>
                <w:top w:val="none" w:sz="0" w:space="0" w:color="auto"/>
                <w:left w:val="none" w:sz="0" w:space="0" w:color="auto"/>
                <w:bottom w:val="none" w:sz="0" w:space="0" w:color="auto"/>
                <w:right w:val="none" w:sz="0" w:space="0" w:color="auto"/>
              </w:divBdr>
            </w:div>
          </w:divsChild>
        </w:div>
        <w:div w:id="1196311514">
          <w:marLeft w:val="0"/>
          <w:marRight w:val="0"/>
          <w:marTop w:val="0"/>
          <w:marBottom w:val="0"/>
          <w:divBdr>
            <w:top w:val="none" w:sz="0" w:space="0" w:color="auto"/>
            <w:left w:val="none" w:sz="0" w:space="0" w:color="auto"/>
            <w:bottom w:val="none" w:sz="0" w:space="0" w:color="auto"/>
            <w:right w:val="none" w:sz="0" w:space="0" w:color="auto"/>
          </w:divBdr>
          <w:divsChild>
            <w:div w:id="1617567384">
              <w:marLeft w:val="0"/>
              <w:marRight w:val="0"/>
              <w:marTop w:val="0"/>
              <w:marBottom w:val="0"/>
              <w:divBdr>
                <w:top w:val="none" w:sz="0" w:space="0" w:color="auto"/>
                <w:left w:val="none" w:sz="0" w:space="0" w:color="auto"/>
                <w:bottom w:val="none" w:sz="0" w:space="0" w:color="auto"/>
                <w:right w:val="none" w:sz="0" w:space="0" w:color="auto"/>
              </w:divBdr>
            </w:div>
          </w:divsChild>
        </w:div>
        <w:div w:id="1347247845">
          <w:marLeft w:val="0"/>
          <w:marRight w:val="0"/>
          <w:marTop w:val="0"/>
          <w:marBottom w:val="0"/>
          <w:divBdr>
            <w:top w:val="none" w:sz="0" w:space="0" w:color="auto"/>
            <w:left w:val="none" w:sz="0" w:space="0" w:color="auto"/>
            <w:bottom w:val="none" w:sz="0" w:space="0" w:color="auto"/>
            <w:right w:val="none" w:sz="0" w:space="0" w:color="auto"/>
          </w:divBdr>
          <w:divsChild>
            <w:div w:id="757023664">
              <w:marLeft w:val="0"/>
              <w:marRight w:val="0"/>
              <w:marTop w:val="0"/>
              <w:marBottom w:val="0"/>
              <w:divBdr>
                <w:top w:val="none" w:sz="0" w:space="0" w:color="auto"/>
                <w:left w:val="none" w:sz="0" w:space="0" w:color="auto"/>
                <w:bottom w:val="none" w:sz="0" w:space="0" w:color="auto"/>
                <w:right w:val="none" w:sz="0" w:space="0" w:color="auto"/>
              </w:divBdr>
            </w:div>
          </w:divsChild>
        </w:div>
        <w:div w:id="1465809952">
          <w:marLeft w:val="0"/>
          <w:marRight w:val="0"/>
          <w:marTop w:val="0"/>
          <w:marBottom w:val="0"/>
          <w:divBdr>
            <w:top w:val="none" w:sz="0" w:space="0" w:color="auto"/>
            <w:left w:val="none" w:sz="0" w:space="0" w:color="auto"/>
            <w:bottom w:val="none" w:sz="0" w:space="0" w:color="auto"/>
            <w:right w:val="none" w:sz="0" w:space="0" w:color="auto"/>
          </w:divBdr>
          <w:divsChild>
            <w:div w:id="720905311">
              <w:marLeft w:val="0"/>
              <w:marRight w:val="0"/>
              <w:marTop w:val="0"/>
              <w:marBottom w:val="0"/>
              <w:divBdr>
                <w:top w:val="none" w:sz="0" w:space="0" w:color="auto"/>
                <w:left w:val="none" w:sz="0" w:space="0" w:color="auto"/>
                <w:bottom w:val="none" w:sz="0" w:space="0" w:color="auto"/>
                <w:right w:val="none" w:sz="0" w:space="0" w:color="auto"/>
              </w:divBdr>
            </w:div>
          </w:divsChild>
        </w:div>
        <w:div w:id="1564176524">
          <w:marLeft w:val="0"/>
          <w:marRight w:val="0"/>
          <w:marTop w:val="0"/>
          <w:marBottom w:val="0"/>
          <w:divBdr>
            <w:top w:val="none" w:sz="0" w:space="0" w:color="auto"/>
            <w:left w:val="none" w:sz="0" w:space="0" w:color="auto"/>
            <w:bottom w:val="none" w:sz="0" w:space="0" w:color="auto"/>
            <w:right w:val="none" w:sz="0" w:space="0" w:color="auto"/>
          </w:divBdr>
          <w:divsChild>
            <w:div w:id="1812363825">
              <w:marLeft w:val="0"/>
              <w:marRight w:val="0"/>
              <w:marTop w:val="0"/>
              <w:marBottom w:val="0"/>
              <w:divBdr>
                <w:top w:val="none" w:sz="0" w:space="0" w:color="auto"/>
                <w:left w:val="none" w:sz="0" w:space="0" w:color="auto"/>
                <w:bottom w:val="none" w:sz="0" w:space="0" w:color="auto"/>
                <w:right w:val="none" w:sz="0" w:space="0" w:color="auto"/>
              </w:divBdr>
            </w:div>
          </w:divsChild>
        </w:div>
        <w:div w:id="1579367277">
          <w:marLeft w:val="0"/>
          <w:marRight w:val="0"/>
          <w:marTop w:val="0"/>
          <w:marBottom w:val="0"/>
          <w:divBdr>
            <w:top w:val="none" w:sz="0" w:space="0" w:color="auto"/>
            <w:left w:val="none" w:sz="0" w:space="0" w:color="auto"/>
            <w:bottom w:val="none" w:sz="0" w:space="0" w:color="auto"/>
            <w:right w:val="none" w:sz="0" w:space="0" w:color="auto"/>
          </w:divBdr>
          <w:divsChild>
            <w:div w:id="295795116">
              <w:marLeft w:val="0"/>
              <w:marRight w:val="0"/>
              <w:marTop w:val="0"/>
              <w:marBottom w:val="0"/>
              <w:divBdr>
                <w:top w:val="none" w:sz="0" w:space="0" w:color="auto"/>
                <w:left w:val="none" w:sz="0" w:space="0" w:color="auto"/>
                <w:bottom w:val="none" w:sz="0" w:space="0" w:color="auto"/>
                <w:right w:val="none" w:sz="0" w:space="0" w:color="auto"/>
              </w:divBdr>
            </w:div>
          </w:divsChild>
        </w:div>
        <w:div w:id="1674724828">
          <w:marLeft w:val="0"/>
          <w:marRight w:val="0"/>
          <w:marTop w:val="0"/>
          <w:marBottom w:val="0"/>
          <w:divBdr>
            <w:top w:val="none" w:sz="0" w:space="0" w:color="auto"/>
            <w:left w:val="none" w:sz="0" w:space="0" w:color="auto"/>
            <w:bottom w:val="none" w:sz="0" w:space="0" w:color="auto"/>
            <w:right w:val="none" w:sz="0" w:space="0" w:color="auto"/>
          </w:divBdr>
          <w:divsChild>
            <w:div w:id="1102456867">
              <w:marLeft w:val="0"/>
              <w:marRight w:val="0"/>
              <w:marTop w:val="0"/>
              <w:marBottom w:val="0"/>
              <w:divBdr>
                <w:top w:val="none" w:sz="0" w:space="0" w:color="auto"/>
                <w:left w:val="none" w:sz="0" w:space="0" w:color="auto"/>
                <w:bottom w:val="none" w:sz="0" w:space="0" w:color="auto"/>
                <w:right w:val="none" w:sz="0" w:space="0" w:color="auto"/>
              </w:divBdr>
            </w:div>
          </w:divsChild>
        </w:div>
        <w:div w:id="1723863130">
          <w:marLeft w:val="0"/>
          <w:marRight w:val="0"/>
          <w:marTop w:val="0"/>
          <w:marBottom w:val="0"/>
          <w:divBdr>
            <w:top w:val="none" w:sz="0" w:space="0" w:color="auto"/>
            <w:left w:val="none" w:sz="0" w:space="0" w:color="auto"/>
            <w:bottom w:val="none" w:sz="0" w:space="0" w:color="auto"/>
            <w:right w:val="none" w:sz="0" w:space="0" w:color="auto"/>
          </w:divBdr>
          <w:divsChild>
            <w:div w:id="336931052">
              <w:marLeft w:val="0"/>
              <w:marRight w:val="0"/>
              <w:marTop w:val="0"/>
              <w:marBottom w:val="0"/>
              <w:divBdr>
                <w:top w:val="none" w:sz="0" w:space="0" w:color="auto"/>
                <w:left w:val="none" w:sz="0" w:space="0" w:color="auto"/>
                <w:bottom w:val="none" w:sz="0" w:space="0" w:color="auto"/>
                <w:right w:val="none" w:sz="0" w:space="0" w:color="auto"/>
              </w:divBdr>
            </w:div>
            <w:div w:id="1047989394">
              <w:marLeft w:val="0"/>
              <w:marRight w:val="0"/>
              <w:marTop w:val="0"/>
              <w:marBottom w:val="0"/>
              <w:divBdr>
                <w:top w:val="none" w:sz="0" w:space="0" w:color="auto"/>
                <w:left w:val="none" w:sz="0" w:space="0" w:color="auto"/>
                <w:bottom w:val="none" w:sz="0" w:space="0" w:color="auto"/>
                <w:right w:val="none" w:sz="0" w:space="0" w:color="auto"/>
              </w:divBdr>
            </w:div>
          </w:divsChild>
        </w:div>
        <w:div w:id="1913466824">
          <w:marLeft w:val="0"/>
          <w:marRight w:val="0"/>
          <w:marTop w:val="0"/>
          <w:marBottom w:val="0"/>
          <w:divBdr>
            <w:top w:val="none" w:sz="0" w:space="0" w:color="auto"/>
            <w:left w:val="none" w:sz="0" w:space="0" w:color="auto"/>
            <w:bottom w:val="none" w:sz="0" w:space="0" w:color="auto"/>
            <w:right w:val="none" w:sz="0" w:space="0" w:color="auto"/>
          </w:divBdr>
          <w:divsChild>
            <w:div w:id="1651859496">
              <w:marLeft w:val="0"/>
              <w:marRight w:val="0"/>
              <w:marTop w:val="0"/>
              <w:marBottom w:val="0"/>
              <w:divBdr>
                <w:top w:val="none" w:sz="0" w:space="0" w:color="auto"/>
                <w:left w:val="none" w:sz="0" w:space="0" w:color="auto"/>
                <w:bottom w:val="none" w:sz="0" w:space="0" w:color="auto"/>
                <w:right w:val="none" w:sz="0" w:space="0" w:color="auto"/>
              </w:divBdr>
            </w:div>
          </w:divsChild>
        </w:div>
        <w:div w:id="1945764001">
          <w:marLeft w:val="0"/>
          <w:marRight w:val="0"/>
          <w:marTop w:val="0"/>
          <w:marBottom w:val="0"/>
          <w:divBdr>
            <w:top w:val="none" w:sz="0" w:space="0" w:color="auto"/>
            <w:left w:val="none" w:sz="0" w:space="0" w:color="auto"/>
            <w:bottom w:val="none" w:sz="0" w:space="0" w:color="auto"/>
            <w:right w:val="none" w:sz="0" w:space="0" w:color="auto"/>
          </w:divBdr>
          <w:divsChild>
            <w:div w:id="685908537">
              <w:marLeft w:val="0"/>
              <w:marRight w:val="0"/>
              <w:marTop w:val="0"/>
              <w:marBottom w:val="0"/>
              <w:divBdr>
                <w:top w:val="none" w:sz="0" w:space="0" w:color="auto"/>
                <w:left w:val="none" w:sz="0" w:space="0" w:color="auto"/>
                <w:bottom w:val="none" w:sz="0" w:space="0" w:color="auto"/>
                <w:right w:val="none" w:sz="0" w:space="0" w:color="auto"/>
              </w:divBdr>
            </w:div>
          </w:divsChild>
        </w:div>
        <w:div w:id="2023621940">
          <w:marLeft w:val="0"/>
          <w:marRight w:val="0"/>
          <w:marTop w:val="0"/>
          <w:marBottom w:val="0"/>
          <w:divBdr>
            <w:top w:val="none" w:sz="0" w:space="0" w:color="auto"/>
            <w:left w:val="none" w:sz="0" w:space="0" w:color="auto"/>
            <w:bottom w:val="none" w:sz="0" w:space="0" w:color="auto"/>
            <w:right w:val="none" w:sz="0" w:space="0" w:color="auto"/>
          </w:divBdr>
          <w:divsChild>
            <w:div w:id="1776747850">
              <w:marLeft w:val="0"/>
              <w:marRight w:val="0"/>
              <w:marTop w:val="0"/>
              <w:marBottom w:val="0"/>
              <w:divBdr>
                <w:top w:val="none" w:sz="0" w:space="0" w:color="auto"/>
                <w:left w:val="none" w:sz="0" w:space="0" w:color="auto"/>
                <w:bottom w:val="none" w:sz="0" w:space="0" w:color="auto"/>
                <w:right w:val="none" w:sz="0" w:space="0" w:color="auto"/>
              </w:divBdr>
            </w:div>
          </w:divsChild>
        </w:div>
        <w:div w:id="2075465472">
          <w:marLeft w:val="0"/>
          <w:marRight w:val="0"/>
          <w:marTop w:val="0"/>
          <w:marBottom w:val="0"/>
          <w:divBdr>
            <w:top w:val="none" w:sz="0" w:space="0" w:color="auto"/>
            <w:left w:val="none" w:sz="0" w:space="0" w:color="auto"/>
            <w:bottom w:val="none" w:sz="0" w:space="0" w:color="auto"/>
            <w:right w:val="none" w:sz="0" w:space="0" w:color="auto"/>
          </w:divBdr>
          <w:divsChild>
            <w:div w:id="27702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scot/publications/securing-green-recovery-path-net-zero-update-climate-change-plan-20182032/documents/" TargetMode="External"/><Relationship Id="rId26" Type="http://schemas.openxmlformats.org/officeDocument/2006/relationships/footer" Target="footer2.xml"/><Relationship Id="rId39" Type="http://schemas.openxmlformats.org/officeDocument/2006/relationships/hyperlink" Target="https://www.gov.scot/publications/securing-green-recovery-path-net-zero-update-climate-change-plan-20182032/documents/" TargetMode="External"/><Relationship Id="rId21" Type="http://schemas.openxmlformats.org/officeDocument/2006/relationships/hyperlink" Target="https://www.transport.gov.scot/our-approach/strategy/strategic-transport-projects-review-2/" TargetMode="External"/><Relationship Id="rId34" Type="http://schemas.openxmlformats.org/officeDocument/2006/relationships/hyperlink" Target="https://www.nrscotland.gov.uk/statistics-and-data/statistics/statistics-by-theme/population/population-estimates/mid-year-population-estimates/mid-2020" TargetMode="External"/><Relationship Id="rId42" Type="http://schemas.openxmlformats.org/officeDocument/2006/relationships/hyperlink" Target="https://www.gov.scot/publications/religiously-aggravated-offending-scotland-2016-2017/documents/" TargetMode="External"/><Relationship Id="rId47" Type="http://schemas.openxmlformats.org/officeDocument/2006/relationships/hyperlink" Target="https://www.transport.gov.scot/publication/transport-and-travel-in-scotland-2019-results-from-the-scottish-household-survey" TargetMode="External"/><Relationship Id="rId50" Type="http://schemas.openxmlformats.org/officeDocument/2006/relationships/hyperlink" Target="https://wheelsforwellbeing.org.uk/campaigning/publications-and-research/" TargetMode="External"/><Relationship Id="rId55"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ransformingplanning.scot/national-planning-framework/" TargetMode="External"/><Relationship Id="rId29" Type="http://schemas.openxmlformats.org/officeDocument/2006/relationships/hyperlink" Target="https://www.sustrans.org.uk/our-blog/projects/uk-wide/scotland/hands-up-scotland-survey/" TargetMode="External"/><Relationship Id="rId41" Type="http://schemas.openxmlformats.org/officeDocument/2006/relationships/hyperlink" Target="https://www.gov.scot/publications/child-chance-tackling-child-poverty-delivery-plan-2018-22/"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transport.gov.scot/media/50946/draft-technical-report-january-2022-stpr2.pdf" TargetMode="External"/><Relationship Id="rId37" Type="http://schemas.openxmlformats.org/officeDocument/2006/relationships/hyperlink" Target="https://www.gov.scot/publications/fairer-greener-scotland-programme-government-2021-22/documents/" TargetMode="External"/><Relationship Id="rId40" Type="http://schemas.openxmlformats.org/officeDocument/2006/relationships/hyperlink" Target="https://www.gov.scot/publications/protecting-scotland-renewing-scotland-governments-programme-scotland-2020-2021/documents/" TargetMode="External"/><Relationship Id="rId45" Type="http://schemas.openxmlformats.org/officeDocument/2006/relationships/hyperlink" Target="https://www.sustrans.org.uk/media/2930/2930.pdf" TargetMode="External"/><Relationship Id="rId53" Type="http://schemas.openxmlformats.org/officeDocument/2006/relationships/header" Target="header6.xml"/><Relationship Id="rId58"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transport.gov.scot/publication/update-and-phase-1-recommendations-february-2021-stpr2/" TargetMode="External"/><Relationship Id="rId28" Type="http://schemas.openxmlformats.org/officeDocument/2006/relationships/hyperlink" Target="https://www.gov.scot/collections/scottish-household-survey/" TargetMode="External"/><Relationship Id="rId36" Type="http://schemas.openxmlformats.org/officeDocument/2006/relationships/hyperlink" Target="https://www.transformingplanning.scot/national-planning-framework" TargetMode="External"/><Relationship Id="rId49" Type="http://schemas.openxmlformats.org/officeDocument/2006/relationships/hyperlink" Target="https://www.transport.gov.scot/publication/national-transport-strategy-2/" TargetMode="External"/><Relationship Id="rId57" Type="http://schemas.openxmlformats.org/officeDocument/2006/relationships/header" Target="header10.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scot/publications/cleaner-air-scotland-2-towards-better-place-everyone/documents/" TargetMode="External"/><Relationship Id="rId31" Type="http://schemas.openxmlformats.org/officeDocument/2006/relationships/hyperlink" Target="https://doi.org/10.1093/eurheartj/ehv216" TargetMode="External"/><Relationship Id="rId44" Type="http://schemas.openxmlformats.org/officeDocument/2006/relationships/hyperlink" Target="https://www.stonewallscotland.org.uk/lgbt-scotland-hate-crime-and-discrimination" TargetMode="External"/><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hyperlink" Target="https://www.equalityhumanrights.com/en/publication-download/technical-guidance-public-sector-equality-duty-scotland" TargetMode="External"/><Relationship Id="rId35" Type="http://schemas.openxmlformats.org/officeDocument/2006/relationships/hyperlink" Target="https://www.pathsforall.org.uk/active-travel/at-success-stories" TargetMode="External"/><Relationship Id="rId43" Type="http://schemas.openxmlformats.org/officeDocument/2006/relationships/hyperlink" Target="https://itgl.lu/wp-content/uploads/2015/04/SB-2008-3.pdf" TargetMode="External"/><Relationship Id="rId48" Type="http://schemas.openxmlformats.org/officeDocument/2006/relationships/hyperlink" Target="https://www.transport.gov.scot/publication/key-reported-road-casualties-scotland-2019/" TargetMode="External"/><Relationship Id="rId56"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hyperlink" Target="https://www.who.int/violence_injury_prevention/publications/road_traffic/world_report/speed_en.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transport.gov.scot/publication/national-transport-strategy-2/" TargetMode="External"/><Relationship Id="rId25" Type="http://schemas.openxmlformats.org/officeDocument/2006/relationships/header" Target="header4.xml"/><Relationship Id="rId33" Type="http://schemas.openxmlformats.org/officeDocument/2006/relationships/hyperlink" Target="https://www.transport.gov.scot/media/50908/equality-impact-assessment-draft-report-january-2022-stpr2.pdf" TargetMode="External"/><Relationship Id="rId38" Type="http://schemas.openxmlformats.org/officeDocument/2006/relationships/hyperlink" Target="https://www.gov.scot/publications/cleaner-air-scotland-2-towards-better-place-everyone/documents/" TargetMode="External"/><Relationship Id="rId46" Type="http://schemas.openxmlformats.org/officeDocument/2006/relationships/hyperlink" Target="https://www.transport.gov.scot/publication/disability-and-transport-findings-from-the-scottish-household-survey-july-2021" TargetMode="External"/><Relationship Id="rId59"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A35954506</value>
    </field>
    <field name="Objective-Title">
      <value order="0">STPR2_EqIA_Draft_Report_IssuedtoTS171221_with TS Comments Dec_21</value>
    </field>
    <field name="Objective-Description">
      <value order="0"/>
    </field>
    <field name="Objective-CreationStamp">
      <value order="0">2021-12-23T17:54:11Z</value>
    </field>
    <field name="Objective-IsApproved">
      <value order="0">false</value>
    </field>
    <field name="Objective-IsPublished">
      <value order="0">false</value>
    </field>
    <field name="Objective-DatePublished">
      <value order="0"/>
    </field>
    <field name="Objective-ModificationStamp">
      <value order="0">2022-01-05T09:40:19Z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 Appraisal: 2021-2026</value>
    </field>
    <field name="Objective-Parent">
      <value order="0">LATIS - Strategic Transport Planning - Strategic Transport Projects Review (STPR) - Appraisal: 2021-2026</value>
    </field>
    <field name="Objective-State">
      <value order="0">Being Drafted</value>
    </field>
    <field name="Objective-VersionId">
      <value order="0">vA53059773</value>
    </field>
    <field name="Objective-Version">
      <value order="0">0.2</value>
    </field>
    <field name="Objective-VersionNumber">
      <value order="0">2</value>
    </field>
    <field name="Objective-VersionComment">
      <value order="0"/>
    </field>
    <field name="Objective-FileNumber">
      <value order="0">POL/35625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82A9340C-7006-4018-804C-A42FD48CF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4.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5.xml><?xml version="1.0" encoding="utf-8"?>
<ds:datastoreItem xmlns:ds="http://schemas.openxmlformats.org/officeDocument/2006/customXml" ds:itemID="{C4F2D666-7F66-4D9C-9DA8-F9663BFA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41</Pages>
  <Words>14014</Words>
  <Characters>82965</Characters>
  <Application>Microsoft Office Word</Application>
  <DocSecurity>0</DocSecurity>
  <Lines>1481</Lines>
  <Paragraphs>682</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96297</CharactersWithSpaces>
  <SharedDoc>false</SharedDoc>
  <HLinks>
    <vt:vector size="432" baseType="variant">
      <vt:variant>
        <vt:i4>2555984</vt:i4>
      </vt:variant>
      <vt:variant>
        <vt:i4>375</vt:i4>
      </vt:variant>
      <vt:variant>
        <vt:i4>0</vt:i4>
      </vt:variant>
      <vt:variant>
        <vt:i4>5</vt:i4>
      </vt:variant>
      <vt:variant>
        <vt:lpwstr>https://www.who.int/violence_injury_prevention/publications/road_traffic/world_report/speed_en.pdf</vt:lpwstr>
      </vt:variant>
      <vt:variant>
        <vt:lpwstr/>
      </vt:variant>
      <vt:variant>
        <vt:i4>4784222</vt:i4>
      </vt:variant>
      <vt:variant>
        <vt:i4>372</vt:i4>
      </vt:variant>
      <vt:variant>
        <vt:i4>0</vt:i4>
      </vt:variant>
      <vt:variant>
        <vt:i4>5</vt:i4>
      </vt:variant>
      <vt:variant>
        <vt:lpwstr>https://wheelsforwellbeing.org.uk/campaigning/publications-and-research/</vt:lpwstr>
      </vt:variant>
      <vt:variant>
        <vt:lpwstr/>
      </vt:variant>
      <vt:variant>
        <vt:i4>131097</vt:i4>
      </vt:variant>
      <vt:variant>
        <vt:i4>369</vt:i4>
      </vt:variant>
      <vt:variant>
        <vt:i4>0</vt:i4>
      </vt:variant>
      <vt:variant>
        <vt:i4>5</vt:i4>
      </vt:variant>
      <vt:variant>
        <vt:lpwstr>https://www.transport.gov.scot/publication/national-transport-strategy-2/</vt:lpwstr>
      </vt:variant>
      <vt:variant>
        <vt:lpwstr/>
      </vt:variant>
      <vt:variant>
        <vt:i4>6357093</vt:i4>
      </vt:variant>
      <vt:variant>
        <vt:i4>366</vt:i4>
      </vt:variant>
      <vt:variant>
        <vt:i4>0</vt:i4>
      </vt:variant>
      <vt:variant>
        <vt:i4>5</vt:i4>
      </vt:variant>
      <vt:variant>
        <vt:lpwstr>https://www.transport.gov.scot/publication/key-reported-road-casualties-scotland-2019/</vt:lpwstr>
      </vt:variant>
      <vt:variant>
        <vt:lpwstr/>
      </vt:variant>
      <vt:variant>
        <vt:i4>3932278</vt:i4>
      </vt:variant>
      <vt:variant>
        <vt:i4>363</vt:i4>
      </vt:variant>
      <vt:variant>
        <vt:i4>0</vt:i4>
      </vt:variant>
      <vt:variant>
        <vt:i4>5</vt:i4>
      </vt:variant>
      <vt:variant>
        <vt:lpwstr>https://www.transport.gov.scot/publication/transport-and-travel-in-scotland-2019-results-from-the-scottish-household-survey</vt:lpwstr>
      </vt:variant>
      <vt:variant>
        <vt:lpwstr/>
      </vt:variant>
      <vt:variant>
        <vt:i4>5373983</vt:i4>
      </vt:variant>
      <vt:variant>
        <vt:i4>360</vt:i4>
      </vt:variant>
      <vt:variant>
        <vt:i4>0</vt:i4>
      </vt:variant>
      <vt:variant>
        <vt:i4>5</vt:i4>
      </vt:variant>
      <vt:variant>
        <vt:lpwstr>https://www.transport.gov.scot/publication/disability-and-transport-findings-from-the-scottish-household-survey-july-2021</vt:lpwstr>
      </vt:variant>
      <vt:variant>
        <vt:lpwstr/>
      </vt:variant>
      <vt:variant>
        <vt:i4>6815866</vt:i4>
      </vt:variant>
      <vt:variant>
        <vt:i4>357</vt:i4>
      </vt:variant>
      <vt:variant>
        <vt:i4>0</vt:i4>
      </vt:variant>
      <vt:variant>
        <vt:i4>5</vt:i4>
      </vt:variant>
      <vt:variant>
        <vt:lpwstr>https://www.sustrans.org.uk/media/2930/2930.pdf</vt:lpwstr>
      </vt:variant>
      <vt:variant>
        <vt:lpwstr/>
      </vt:variant>
      <vt:variant>
        <vt:i4>5439559</vt:i4>
      </vt:variant>
      <vt:variant>
        <vt:i4>354</vt:i4>
      </vt:variant>
      <vt:variant>
        <vt:i4>0</vt:i4>
      </vt:variant>
      <vt:variant>
        <vt:i4>5</vt:i4>
      </vt:variant>
      <vt:variant>
        <vt:lpwstr>https://www.stonewallscotland.org.uk/lgbt-scotland-hate-crime-and-discrimination</vt:lpwstr>
      </vt:variant>
      <vt:variant>
        <vt:lpwstr/>
      </vt:variant>
      <vt:variant>
        <vt:i4>4587612</vt:i4>
      </vt:variant>
      <vt:variant>
        <vt:i4>351</vt:i4>
      </vt:variant>
      <vt:variant>
        <vt:i4>0</vt:i4>
      </vt:variant>
      <vt:variant>
        <vt:i4>5</vt:i4>
      </vt:variant>
      <vt:variant>
        <vt:lpwstr>https://itgl.lu/wp-content/uploads/2015/04/SB-2008-3.pdf</vt:lpwstr>
      </vt:variant>
      <vt:variant>
        <vt:lpwstr/>
      </vt:variant>
      <vt:variant>
        <vt:i4>5898314</vt:i4>
      </vt:variant>
      <vt:variant>
        <vt:i4>348</vt:i4>
      </vt:variant>
      <vt:variant>
        <vt:i4>0</vt:i4>
      </vt:variant>
      <vt:variant>
        <vt:i4>5</vt:i4>
      </vt:variant>
      <vt:variant>
        <vt:lpwstr>https://www.gov.scot/publications/religiously-aggravated-offending-scotland-2016-2017/documents/</vt:lpwstr>
      </vt:variant>
      <vt:variant>
        <vt:lpwstr/>
      </vt:variant>
      <vt:variant>
        <vt:i4>1900554</vt:i4>
      </vt:variant>
      <vt:variant>
        <vt:i4>345</vt:i4>
      </vt:variant>
      <vt:variant>
        <vt:i4>0</vt:i4>
      </vt:variant>
      <vt:variant>
        <vt:i4>5</vt:i4>
      </vt:variant>
      <vt:variant>
        <vt:lpwstr>https://www.gov.scot/publications/child-chance-tackling-child-poverty-delivery-plan-2018-22/</vt:lpwstr>
      </vt:variant>
      <vt:variant>
        <vt:lpwstr/>
      </vt:variant>
      <vt:variant>
        <vt:i4>7078004</vt:i4>
      </vt:variant>
      <vt:variant>
        <vt:i4>342</vt:i4>
      </vt:variant>
      <vt:variant>
        <vt:i4>0</vt:i4>
      </vt:variant>
      <vt:variant>
        <vt:i4>5</vt:i4>
      </vt:variant>
      <vt:variant>
        <vt:lpwstr>https://www.gov.scot/publications/protecting-scotland-renewing-scotland-governments-programme-scotland-2020-2021/documents/</vt:lpwstr>
      </vt:variant>
      <vt:variant>
        <vt:lpwstr/>
      </vt:variant>
      <vt:variant>
        <vt:i4>6881316</vt:i4>
      </vt:variant>
      <vt:variant>
        <vt:i4>339</vt:i4>
      </vt:variant>
      <vt:variant>
        <vt:i4>0</vt:i4>
      </vt:variant>
      <vt:variant>
        <vt:i4>5</vt:i4>
      </vt:variant>
      <vt:variant>
        <vt:lpwstr>https://www.gov.scot/publications/securing-green-recovery-path-net-zero-update-climate-change-plan-20182032/documents/</vt:lpwstr>
      </vt:variant>
      <vt:variant>
        <vt:lpwstr/>
      </vt:variant>
      <vt:variant>
        <vt:i4>655364</vt:i4>
      </vt:variant>
      <vt:variant>
        <vt:i4>336</vt:i4>
      </vt:variant>
      <vt:variant>
        <vt:i4>0</vt:i4>
      </vt:variant>
      <vt:variant>
        <vt:i4>5</vt:i4>
      </vt:variant>
      <vt:variant>
        <vt:lpwstr>https://www.gov.scot/publications/cleaner-air-scotland-2-towards-better-place-everyone/documents/</vt:lpwstr>
      </vt:variant>
      <vt:variant>
        <vt:lpwstr/>
      </vt:variant>
      <vt:variant>
        <vt:i4>4784197</vt:i4>
      </vt:variant>
      <vt:variant>
        <vt:i4>333</vt:i4>
      </vt:variant>
      <vt:variant>
        <vt:i4>0</vt:i4>
      </vt:variant>
      <vt:variant>
        <vt:i4>5</vt:i4>
      </vt:variant>
      <vt:variant>
        <vt:lpwstr>https://www.gov.scot/publications/fairer-greener-scotland-programme-government-2021-22/documents/</vt:lpwstr>
      </vt:variant>
      <vt:variant>
        <vt:lpwstr/>
      </vt:variant>
      <vt:variant>
        <vt:i4>3473469</vt:i4>
      </vt:variant>
      <vt:variant>
        <vt:i4>330</vt:i4>
      </vt:variant>
      <vt:variant>
        <vt:i4>0</vt:i4>
      </vt:variant>
      <vt:variant>
        <vt:i4>5</vt:i4>
      </vt:variant>
      <vt:variant>
        <vt:lpwstr>https://www.gov.scot/publications/scotland-2045-fourth-national-planning-framework-draft/documents/</vt:lpwstr>
      </vt:variant>
      <vt:variant>
        <vt:lpwstr/>
      </vt:variant>
      <vt:variant>
        <vt:i4>6357040</vt:i4>
      </vt:variant>
      <vt:variant>
        <vt:i4>327</vt:i4>
      </vt:variant>
      <vt:variant>
        <vt:i4>0</vt:i4>
      </vt:variant>
      <vt:variant>
        <vt:i4>5</vt:i4>
      </vt:variant>
      <vt:variant>
        <vt:lpwstr>https://www.pathsforall.org.uk/active-travel/at-success-stories</vt:lpwstr>
      </vt:variant>
      <vt:variant>
        <vt:lpwstr/>
      </vt:variant>
      <vt:variant>
        <vt:i4>7864354</vt:i4>
      </vt:variant>
      <vt:variant>
        <vt:i4>324</vt:i4>
      </vt:variant>
      <vt:variant>
        <vt:i4>0</vt:i4>
      </vt:variant>
      <vt:variant>
        <vt:i4>5</vt:i4>
      </vt:variant>
      <vt:variant>
        <vt:lpwstr>https://www.nrscotland.gov.uk/statistics-and-data/statistics/statistics-by-theme/population/population-estimates/mid-year-population-estimates/mid-2020</vt:lpwstr>
      </vt:variant>
      <vt:variant>
        <vt:lpwstr/>
      </vt:variant>
      <vt:variant>
        <vt:i4>5898260</vt:i4>
      </vt:variant>
      <vt:variant>
        <vt:i4>321</vt:i4>
      </vt:variant>
      <vt:variant>
        <vt:i4>0</vt:i4>
      </vt:variant>
      <vt:variant>
        <vt:i4>5</vt:i4>
      </vt:variant>
      <vt:variant>
        <vt:lpwstr>https://www.transport.gov.scot/media/50908/equality-impact-assessment-draft-report-january-2022-stpr2.pdf</vt:lpwstr>
      </vt:variant>
      <vt:variant>
        <vt:lpwstr/>
      </vt:variant>
      <vt:variant>
        <vt:i4>4718597</vt:i4>
      </vt:variant>
      <vt:variant>
        <vt:i4>318</vt:i4>
      </vt:variant>
      <vt:variant>
        <vt:i4>0</vt:i4>
      </vt:variant>
      <vt:variant>
        <vt:i4>5</vt:i4>
      </vt:variant>
      <vt:variant>
        <vt:lpwstr>https://www.transport.gov.scot/media/50946/draft-technical-report-january-2022-stpr2.pdf</vt:lpwstr>
      </vt:variant>
      <vt:variant>
        <vt:lpwstr/>
      </vt:variant>
      <vt:variant>
        <vt:i4>5308433</vt:i4>
      </vt:variant>
      <vt:variant>
        <vt:i4>315</vt:i4>
      </vt:variant>
      <vt:variant>
        <vt:i4>0</vt:i4>
      </vt:variant>
      <vt:variant>
        <vt:i4>5</vt:i4>
      </vt:variant>
      <vt:variant>
        <vt:lpwstr>https://doi.org/10.1093/eurheartj/ehv216</vt:lpwstr>
      </vt:variant>
      <vt:variant>
        <vt:lpwstr/>
      </vt:variant>
      <vt:variant>
        <vt:i4>2162791</vt:i4>
      </vt:variant>
      <vt:variant>
        <vt:i4>312</vt:i4>
      </vt:variant>
      <vt:variant>
        <vt:i4>0</vt:i4>
      </vt:variant>
      <vt:variant>
        <vt:i4>5</vt:i4>
      </vt:variant>
      <vt:variant>
        <vt:lpwstr>https://www.equalityhumanrights.com/en/publication-download/technical-guidance-public-sector-equality-duty-scotland</vt:lpwstr>
      </vt:variant>
      <vt:variant>
        <vt:lpwstr/>
      </vt:variant>
      <vt:variant>
        <vt:i4>8126583</vt:i4>
      </vt:variant>
      <vt:variant>
        <vt:i4>300</vt:i4>
      </vt:variant>
      <vt:variant>
        <vt:i4>0</vt:i4>
      </vt:variant>
      <vt:variant>
        <vt:i4>5</vt:i4>
      </vt:variant>
      <vt:variant>
        <vt:lpwstr>https://www.sustrans.org.uk/our-blog/projects/uk-wide/scotland/hands-up-scotland-survey/</vt:lpwstr>
      </vt:variant>
      <vt:variant>
        <vt:lpwstr>:~:text=The%20Hands%20Up%20Scotland%20Survey%20looks%20at%20how,will%20take%20place%20between%2013%20and%2017%20September.</vt:lpwstr>
      </vt:variant>
      <vt:variant>
        <vt:i4>6619179</vt:i4>
      </vt:variant>
      <vt:variant>
        <vt:i4>297</vt:i4>
      </vt:variant>
      <vt:variant>
        <vt:i4>0</vt:i4>
      </vt:variant>
      <vt:variant>
        <vt:i4>5</vt:i4>
      </vt:variant>
      <vt:variant>
        <vt:lpwstr>https://www.gov.scot/collections/scottish-household-survey/</vt:lpwstr>
      </vt:variant>
      <vt:variant>
        <vt:lpwstr/>
      </vt:variant>
      <vt:variant>
        <vt:i4>6946926</vt:i4>
      </vt:variant>
      <vt:variant>
        <vt:i4>270</vt:i4>
      </vt:variant>
      <vt:variant>
        <vt:i4>0</vt:i4>
      </vt:variant>
      <vt:variant>
        <vt:i4>5</vt:i4>
      </vt:variant>
      <vt:variant>
        <vt:lpwstr>https://www.transport.gov.scot/publication/update-and-phase-1-recommendations-february-2021-stpr2/</vt:lpwstr>
      </vt:variant>
      <vt:variant>
        <vt:lpwstr/>
      </vt:variant>
      <vt:variant>
        <vt:i4>7209010</vt:i4>
      </vt:variant>
      <vt:variant>
        <vt:i4>264</vt:i4>
      </vt:variant>
      <vt:variant>
        <vt:i4>0</vt:i4>
      </vt:variant>
      <vt:variant>
        <vt:i4>5</vt:i4>
      </vt:variant>
      <vt:variant>
        <vt:lpwstr>https://www.transport.gov.scot/our-approach/strategy/strategic-transport-projects-review-2/</vt:lpwstr>
      </vt:variant>
      <vt:variant>
        <vt:lpwstr/>
      </vt:variant>
      <vt:variant>
        <vt:i4>3473469</vt:i4>
      </vt:variant>
      <vt:variant>
        <vt:i4>261</vt:i4>
      </vt:variant>
      <vt:variant>
        <vt:i4>0</vt:i4>
      </vt:variant>
      <vt:variant>
        <vt:i4>5</vt:i4>
      </vt:variant>
      <vt:variant>
        <vt:lpwstr>https://www.gov.scot/publications/scotland-2045-fourth-national-planning-framework-draft/documents/</vt:lpwstr>
      </vt:variant>
      <vt:variant>
        <vt:lpwstr/>
      </vt:variant>
      <vt:variant>
        <vt:i4>655364</vt:i4>
      </vt:variant>
      <vt:variant>
        <vt:i4>258</vt:i4>
      </vt:variant>
      <vt:variant>
        <vt:i4>0</vt:i4>
      </vt:variant>
      <vt:variant>
        <vt:i4>5</vt:i4>
      </vt:variant>
      <vt:variant>
        <vt:lpwstr>https://www.gov.scot/publications/cleaner-air-scotland-2-towards-better-place-everyone/documents/</vt:lpwstr>
      </vt:variant>
      <vt:variant>
        <vt:lpwstr/>
      </vt:variant>
      <vt:variant>
        <vt:i4>6881316</vt:i4>
      </vt:variant>
      <vt:variant>
        <vt:i4>255</vt:i4>
      </vt:variant>
      <vt:variant>
        <vt:i4>0</vt:i4>
      </vt:variant>
      <vt:variant>
        <vt:i4>5</vt:i4>
      </vt:variant>
      <vt:variant>
        <vt:lpwstr>https://www.gov.scot/publications/securing-green-recovery-path-net-zero-update-climate-change-plan-20182032/documents/</vt:lpwstr>
      </vt:variant>
      <vt:variant>
        <vt:lpwstr/>
      </vt:variant>
      <vt:variant>
        <vt:i4>131097</vt:i4>
      </vt:variant>
      <vt:variant>
        <vt:i4>252</vt:i4>
      </vt:variant>
      <vt:variant>
        <vt:i4>0</vt:i4>
      </vt:variant>
      <vt:variant>
        <vt:i4>5</vt:i4>
      </vt:variant>
      <vt:variant>
        <vt:lpwstr>https://www.transport.gov.scot/publication/national-transport-strategy-2/</vt:lpwstr>
      </vt:variant>
      <vt:variant>
        <vt:lpwstr/>
      </vt:variant>
      <vt:variant>
        <vt:i4>1245247</vt:i4>
      </vt:variant>
      <vt:variant>
        <vt:i4>245</vt:i4>
      </vt:variant>
      <vt:variant>
        <vt:i4>0</vt:i4>
      </vt:variant>
      <vt:variant>
        <vt:i4>5</vt:i4>
      </vt:variant>
      <vt:variant>
        <vt:lpwstr/>
      </vt:variant>
      <vt:variant>
        <vt:lpwstr>_Toc117502922</vt:lpwstr>
      </vt:variant>
      <vt:variant>
        <vt:i4>1245247</vt:i4>
      </vt:variant>
      <vt:variant>
        <vt:i4>239</vt:i4>
      </vt:variant>
      <vt:variant>
        <vt:i4>0</vt:i4>
      </vt:variant>
      <vt:variant>
        <vt:i4>5</vt:i4>
      </vt:variant>
      <vt:variant>
        <vt:lpwstr/>
      </vt:variant>
      <vt:variant>
        <vt:lpwstr>_Toc117502921</vt:lpwstr>
      </vt:variant>
      <vt:variant>
        <vt:i4>1245247</vt:i4>
      </vt:variant>
      <vt:variant>
        <vt:i4>233</vt:i4>
      </vt:variant>
      <vt:variant>
        <vt:i4>0</vt:i4>
      </vt:variant>
      <vt:variant>
        <vt:i4>5</vt:i4>
      </vt:variant>
      <vt:variant>
        <vt:lpwstr/>
      </vt:variant>
      <vt:variant>
        <vt:lpwstr>_Toc117502920</vt:lpwstr>
      </vt:variant>
      <vt:variant>
        <vt:i4>1048639</vt:i4>
      </vt:variant>
      <vt:variant>
        <vt:i4>227</vt:i4>
      </vt:variant>
      <vt:variant>
        <vt:i4>0</vt:i4>
      </vt:variant>
      <vt:variant>
        <vt:i4>5</vt:i4>
      </vt:variant>
      <vt:variant>
        <vt:lpwstr/>
      </vt:variant>
      <vt:variant>
        <vt:lpwstr>_Toc117502916</vt:lpwstr>
      </vt:variant>
      <vt:variant>
        <vt:i4>1048639</vt:i4>
      </vt:variant>
      <vt:variant>
        <vt:i4>221</vt:i4>
      </vt:variant>
      <vt:variant>
        <vt:i4>0</vt:i4>
      </vt:variant>
      <vt:variant>
        <vt:i4>5</vt:i4>
      </vt:variant>
      <vt:variant>
        <vt:lpwstr/>
      </vt:variant>
      <vt:variant>
        <vt:lpwstr>_Toc117502915</vt:lpwstr>
      </vt:variant>
      <vt:variant>
        <vt:i4>1048639</vt:i4>
      </vt:variant>
      <vt:variant>
        <vt:i4>215</vt:i4>
      </vt:variant>
      <vt:variant>
        <vt:i4>0</vt:i4>
      </vt:variant>
      <vt:variant>
        <vt:i4>5</vt:i4>
      </vt:variant>
      <vt:variant>
        <vt:lpwstr/>
      </vt:variant>
      <vt:variant>
        <vt:lpwstr>_Toc117502914</vt:lpwstr>
      </vt:variant>
      <vt:variant>
        <vt:i4>1048639</vt:i4>
      </vt:variant>
      <vt:variant>
        <vt:i4>209</vt:i4>
      </vt:variant>
      <vt:variant>
        <vt:i4>0</vt:i4>
      </vt:variant>
      <vt:variant>
        <vt:i4>5</vt:i4>
      </vt:variant>
      <vt:variant>
        <vt:lpwstr/>
      </vt:variant>
      <vt:variant>
        <vt:lpwstr>_Toc117502913</vt:lpwstr>
      </vt:variant>
      <vt:variant>
        <vt:i4>1048639</vt:i4>
      </vt:variant>
      <vt:variant>
        <vt:i4>203</vt:i4>
      </vt:variant>
      <vt:variant>
        <vt:i4>0</vt:i4>
      </vt:variant>
      <vt:variant>
        <vt:i4>5</vt:i4>
      </vt:variant>
      <vt:variant>
        <vt:lpwstr/>
      </vt:variant>
      <vt:variant>
        <vt:lpwstr>_Toc117502912</vt:lpwstr>
      </vt:variant>
      <vt:variant>
        <vt:i4>1048639</vt:i4>
      </vt:variant>
      <vt:variant>
        <vt:i4>197</vt:i4>
      </vt:variant>
      <vt:variant>
        <vt:i4>0</vt:i4>
      </vt:variant>
      <vt:variant>
        <vt:i4>5</vt:i4>
      </vt:variant>
      <vt:variant>
        <vt:lpwstr/>
      </vt:variant>
      <vt:variant>
        <vt:lpwstr>_Toc117502911</vt:lpwstr>
      </vt:variant>
      <vt:variant>
        <vt:i4>1048639</vt:i4>
      </vt:variant>
      <vt:variant>
        <vt:i4>191</vt:i4>
      </vt:variant>
      <vt:variant>
        <vt:i4>0</vt:i4>
      </vt:variant>
      <vt:variant>
        <vt:i4>5</vt:i4>
      </vt:variant>
      <vt:variant>
        <vt:lpwstr/>
      </vt:variant>
      <vt:variant>
        <vt:lpwstr>_Toc117502910</vt:lpwstr>
      </vt:variant>
      <vt:variant>
        <vt:i4>1114175</vt:i4>
      </vt:variant>
      <vt:variant>
        <vt:i4>185</vt:i4>
      </vt:variant>
      <vt:variant>
        <vt:i4>0</vt:i4>
      </vt:variant>
      <vt:variant>
        <vt:i4>5</vt:i4>
      </vt:variant>
      <vt:variant>
        <vt:lpwstr/>
      </vt:variant>
      <vt:variant>
        <vt:lpwstr>_Toc117502909</vt:lpwstr>
      </vt:variant>
      <vt:variant>
        <vt:i4>1114175</vt:i4>
      </vt:variant>
      <vt:variant>
        <vt:i4>179</vt:i4>
      </vt:variant>
      <vt:variant>
        <vt:i4>0</vt:i4>
      </vt:variant>
      <vt:variant>
        <vt:i4>5</vt:i4>
      </vt:variant>
      <vt:variant>
        <vt:lpwstr/>
      </vt:variant>
      <vt:variant>
        <vt:lpwstr>_Toc117502908</vt:lpwstr>
      </vt:variant>
      <vt:variant>
        <vt:i4>1114175</vt:i4>
      </vt:variant>
      <vt:variant>
        <vt:i4>173</vt:i4>
      </vt:variant>
      <vt:variant>
        <vt:i4>0</vt:i4>
      </vt:variant>
      <vt:variant>
        <vt:i4>5</vt:i4>
      </vt:variant>
      <vt:variant>
        <vt:lpwstr/>
      </vt:variant>
      <vt:variant>
        <vt:lpwstr>_Toc117502907</vt:lpwstr>
      </vt:variant>
      <vt:variant>
        <vt:i4>1114175</vt:i4>
      </vt:variant>
      <vt:variant>
        <vt:i4>167</vt:i4>
      </vt:variant>
      <vt:variant>
        <vt:i4>0</vt:i4>
      </vt:variant>
      <vt:variant>
        <vt:i4>5</vt:i4>
      </vt:variant>
      <vt:variant>
        <vt:lpwstr/>
      </vt:variant>
      <vt:variant>
        <vt:lpwstr>_Toc117502906</vt:lpwstr>
      </vt:variant>
      <vt:variant>
        <vt:i4>1114175</vt:i4>
      </vt:variant>
      <vt:variant>
        <vt:i4>161</vt:i4>
      </vt:variant>
      <vt:variant>
        <vt:i4>0</vt:i4>
      </vt:variant>
      <vt:variant>
        <vt:i4>5</vt:i4>
      </vt:variant>
      <vt:variant>
        <vt:lpwstr/>
      </vt:variant>
      <vt:variant>
        <vt:lpwstr>_Toc117502905</vt:lpwstr>
      </vt:variant>
      <vt:variant>
        <vt:i4>1114175</vt:i4>
      </vt:variant>
      <vt:variant>
        <vt:i4>155</vt:i4>
      </vt:variant>
      <vt:variant>
        <vt:i4>0</vt:i4>
      </vt:variant>
      <vt:variant>
        <vt:i4>5</vt:i4>
      </vt:variant>
      <vt:variant>
        <vt:lpwstr/>
      </vt:variant>
      <vt:variant>
        <vt:lpwstr>_Toc117502904</vt:lpwstr>
      </vt:variant>
      <vt:variant>
        <vt:i4>1114175</vt:i4>
      </vt:variant>
      <vt:variant>
        <vt:i4>149</vt:i4>
      </vt:variant>
      <vt:variant>
        <vt:i4>0</vt:i4>
      </vt:variant>
      <vt:variant>
        <vt:i4>5</vt:i4>
      </vt:variant>
      <vt:variant>
        <vt:lpwstr/>
      </vt:variant>
      <vt:variant>
        <vt:lpwstr>_Toc117502903</vt:lpwstr>
      </vt:variant>
      <vt:variant>
        <vt:i4>1114175</vt:i4>
      </vt:variant>
      <vt:variant>
        <vt:i4>143</vt:i4>
      </vt:variant>
      <vt:variant>
        <vt:i4>0</vt:i4>
      </vt:variant>
      <vt:variant>
        <vt:i4>5</vt:i4>
      </vt:variant>
      <vt:variant>
        <vt:lpwstr/>
      </vt:variant>
      <vt:variant>
        <vt:lpwstr>_Toc117502902</vt:lpwstr>
      </vt:variant>
      <vt:variant>
        <vt:i4>1114175</vt:i4>
      </vt:variant>
      <vt:variant>
        <vt:i4>137</vt:i4>
      </vt:variant>
      <vt:variant>
        <vt:i4>0</vt:i4>
      </vt:variant>
      <vt:variant>
        <vt:i4>5</vt:i4>
      </vt:variant>
      <vt:variant>
        <vt:lpwstr/>
      </vt:variant>
      <vt:variant>
        <vt:lpwstr>_Toc117502901</vt:lpwstr>
      </vt:variant>
      <vt:variant>
        <vt:i4>1114175</vt:i4>
      </vt:variant>
      <vt:variant>
        <vt:i4>131</vt:i4>
      </vt:variant>
      <vt:variant>
        <vt:i4>0</vt:i4>
      </vt:variant>
      <vt:variant>
        <vt:i4>5</vt:i4>
      </vt:variant>
      <vt:variant>
        <vt:lpwstr/>
      </vt:variant>
      <vt:variant>
        <vt:lpwstr>_Toc117502900</vt:lpwstr>
      </vt:variant>
      <vt:variant>
        <vt:i4>1572926</vt:i4>
      </vt:variant>
      <vt:variant>
        <vt:i4>125</vt:i4>
      </vt:variant>
      <vt:variant>
        <vt:i4>0</vt:i4>
      </vt:variant>
      <vt:variant>
        <vt:i4>5</vt:i4>
      </vt:variant>
      <vt:variant>
        <vt:lpwstr/>
      </vt:variant>
      <vt:variant>
        <vt:lpwstr>_Toc117502899</vt:lpwstr>
      </vt:variant>
      <vt:variant>
        <vt:i4>1572926</vt:i4>
      </vt:variant>
      <vt:variant>
        <vt:i4>119</vt:i4>
      </vt:variant>
      <vt:variant>
        <vt:i4>0</vt:i4>
      </vt:variant>
      <vt:variant>
        <vt:i4>5</vt:i4>
      </vt:variant>
      <vt:variant>
        <vt:lpwstr/>
      </vt:variant>
      <vt:variant>
        <vt:lpwstr>_Toc117502898</vt:lpwstr>
      </vt:variant>
      <vt:variant>
        <vt:i4>1572926</vt:i4>
      </vt:variant>
      <vt:variant>
        <vt:i4>113</vt:i4>
      </vt:variant>
      <vt:variant>
        <vt:i4>0</vt:i4>
      </vt:variant>
      <vt:variant>
        <vt:i4>5</vt:i4>
      </vt:variant>
      <vt:variant>
        <vt:lpwstr/>
      </vt:variant>
      <vt:variant>
        <vt:lpwstr>_Toc117502897</vt:lpwstr>
      </vt:variant>
      <vt:variant>
        <vt:i4>1572926</vt:i4>
      </vt:variant>
      <vt:variant>
        <vt:i4>107</vt:i4>
      </vt:variant>
      <vt:variant>
        <vt:i4>0</vt:i4>
      </vt:variant>
      <vt:variant>
        <vt:i4>5</vt:i4>
      </vt:variant>
      <vt:variant>
        <vt:lpwstr/>
      </vt:variant>
      <vt:variant>
        <vt:lpwstr>_Toc117502896</vt:lpwstr>
      </vt:variant>
      <vt:variant>
        <vt:i4>1572926</vt:i4>
      </vt:variant>
      <vt:variant>
        <vt:i4>101</vt:i4>
      </vt:variant>
      <vt:variant>
        <vt:i4>0</vt:i4>
      </vt:variant>
      <vt:variant>
        <vt:i4>5</vt:i4>
      </vt:variant>
      <vt:variant>
        <vt:lpwstr/>
      </vt:variant>
      <vt:variant>
        <vt:lpwstr>_Toc117502895</vt:lpwstr>
      </vt:variant>
      <vt:variant>
        <vt:i4>1572926</vt:i4>
      </vt:variant>
      <vt:variant>
        <vt:i4>95</vt:i4>
      </vt:variant>
      <vt:variant>
        <vt:i4>0</vt:i4>
      </vt:variant>
      <vt:variant>
        <vt:i4>5</vt:i4>
      </vt:variant>
      <vt:variant>
        <vt:lpwstr/>
      </vt:variant>
      <vt:variant>
        <vt:lpwstr>_Toc117502894</vt:lpwstr>
      </vt:variant>
      <vt:variant>
        <vt:i4>1572926</vt:i4>
      </vt:variant>
      <vt:variant>
        <vt:i4>89</vt:i4>
      </vt:variant>
      <vt:variant>
        <vt:i4>0</vt:i4>
      </vt:variant>
      <vt:variant>
        <vt:i4>5</vt:i4>
      </vt:variant>
      <vt:variant>
        <vt:lpwstr/>
      </vt:variant>
      <vt:variant>
        <vt:lpwstr>_Toc117502893</vt:lpwstr>
      </vt:variant>
      <vt:variant>
        <vt:i4>1572926</vt:i4>
      </vt:variant>
      <vt:variant>
        <vt:i4>83</vt:i4>
      </vt:variant>
      <vt:variant>
        <vt:i4>0</vt:i4>
      </vt:variant>
      <vt:variant>
        <vt:i4>5</vt:i4>
      </vt:variant>
      <vt:variant>
        <vt:lpwstr/>
      </vt:variant>
      <vt:variant>
        <vt:lpwstr>_Toc117502892</vt:lpwstr>
      </vt:variant>
      <vt:variant>
        <vt:i4>1572926</vt:i4>
      </vt:variant>
      <vt:variant>
        <vt:i4>77</vt:i4>
      </vt:variant>
      <vt:variant>
        <vt:i4>0</vt:i4>
      </vt:variant>
      <vt:variant>
        <vt:i4>5</vt:i4>
      </vt:variant>
      <vt:variant>
        <vt:lpwstr/>
      </vt:variant>
      <vt:variant>
        <vt:lpwstr>_Toc117502891</vt:lpwstr>
      </vt:variant>
      <vt:variant>
        <vt:i4>1572926</vt:i4>
      </vt:variant>
      <vt:variant>
        <vt:i4>71</vt:i4>
      </vt:variant>
      <vt:variant>
        <vt:i4>0</vt:i4>
      </vt:variant>
      <vt:variant>
        <vt:i4>5</vt:i4>
      </vt:variant>
      <vt:variant>
        <vt:lpwstr/>
      </vt:variant>
      <vt:variant>
        <vt:lpwstr>_Toc117502890</vt:lpwstr>
      </vt:variant>
      <vt:variant>
        <vt:i4>1638462</vt:i4>
      </vt:variant>
      <vt:variant>
        <vt:i4>65</vt:i4>
      </vt:variant>
      <vt:variant>
        <vt:i4>0</vt:i4>
      </vt:variant>
      <vt:variant>
        <vt:i4>5</vt:i4>
      </vt:variant>
      <vt:variant>
        <vt:lpwstr/>
      </vt:variant>
      <vt:variant>
        <vt:lpwstr>_Toc117502889</vt:lpwstr>
      </vt:variant>
      <vt:variant>
        <vt:i4>1638462</vt:i4>
      </vt:variant>
      <vt:variant>
        <vt:i4>59</vt:i4>
      </vt:variant>
      <vt:variant>
        <vt:i4>0</vt:i4>
      </vt:variant>
      <vt:variant>
        <vt:i4>5</vt:i4>
      </vt:variant>
      <vt:variant>
        <vt:lpwstr/>
      </vt:variant>
      <vt:variant>
        <vt:lpwstr>_Toc117502888</vt:lpwstr>
      </vt:variant>
      <vt:variant>
        <vt:i4>1638462</vt:i4>
      </vt:variant>
      <vt:variant>
        <vt:i4>53</vt:i4>
      </vt:variant>
      <vt:variant>
        <vt:i4>0</vt:i4>
      </vt:variant>
      <vt:variant>
        <vt:i4>5</vt:i4>
      </vt:variant>
      <vt:variant>
        <vt:lpwstr/>
      </vt:variant>
      <vt:variant>
        <vt:lpwstr>_Toc117502887</vt:lpwstr>
      </vt:variant>
      <vt:variant>
        <vt:i4>1638462</vt:i4>
      </vt:variant>
      <vt:variant>
        <vt:i4>47</vt:i4>
      </vt:variant>
      <vt:variant>
        <vt:i4>0</vt:i4>
      </vt:variant>
      <vt:variant>
        <vt:i4>5</vt:i4>
      </vt:variant>
      <vt:variant>
        <vt:lpwstr/>
      </vt:variant>
      <vt:variant>
        <vt:lpwstr>_Toc117502886</vt:lpwstr>
      </vt:variant>
      <vt:variant>
        <vt:i4>1638462</vt:i4>
      </vt:variant>
      <vt:variant>
        <vt:i4>41</vt:i4>
      </vt:variant>
      <vt:variant>
        <vt:i4>0</vt:i4>
      </vt:variant>
      <vt:variant>
        <vt:i4>5</vt:i4>
      </vt:variant>
      <vt:variant>
        <vt:lpwstr/>
      </vt:variant>
      <vt:variant>
        <vt:lpwstr>_Toc117502885</vt:lpwstr>
      </vt:variant>
      <vt:variant>
        <vt:i4>1638462</vt:i4>
      </vt:variant>
      <vt:variant>
        <vt:i4>35</vt:i4>
      </vt:variant>
      <vt:variant>
        <vt:i4>0</vt:i4>
      </vt:variant>
      <vt:variant>
        <vt:i4>5</vt:i4>
      </vt:variant>
      <vt:variant>
        <vt:lpwstr/>
      </vt:variant>
      <vt:variant>
        <vt:lpwstr>_Toc117502884</vt:lpwstr>
      </vt:variant>
      <vt:variant>
        <vt:i4>1638462</vt:i4>
      </vt:variant>
      <vt:variant>
        <vt:i4>29</vt:i4>
      </vt:variant>
      <vt:variant>
        <vt:i4>0</vt:i4>
      </vt:variant>
      <vt:variant>
        <vt:i4>5</vt:i4>
      </vt:variant>
      <vt:variant>
        <vt:lpwstr/>
      </vt:variant>
      <vt:variant>
        <vt:lpwstr>_Toc117502883</vt:lpwstr>
      </vt:variant>
      <vt:variant>
        <vt:i4>1638462</vt:i4>
      </vt:variant>
      <vt:variant>
        <vt:i4>23</vt:i4>
      </vt:variant>
      <vt:variant>
        <vt:i4>0</vt:i4>
      </vt:variant>
      <vt:variant>
        <vt:i4>5</vt:i4>
      </vt:variant>
      <vt:variant>
        <vt:lpwstr/>
      </vt:variant>
      <vt:variant>
        <vt:lpwstr>_Toc117502882</vt:lpwstr>
      </vt:variant>
      <vt:variant>
        <vt:i4>1638462</vt:i4>
      </vt:variant>
      <vt:variant>
        <vt:i4>17</vt:i4>
      </vt:variant>
      <vt:variant>
        <vt:i4>0</vt:i4>
      </vt:variant>
      <vt:variant>
        <vt:i4>5</vt:i4>
      </vt:variant>
      <vt:variant>
        <vt:lpwstr/>
      </vt:variant>
      <vt:variant>
        <vt:lpwstr>_Toc117502881</vt:lpwstr>
      </vt:variant>
      <vt:variant>
        <vt:i4>1638462</vt:i4>
      </vt:variant>
      <vt:variant>
        <vt:i4>11</vt:i4>
      </vt:variant>
      <vt:variant>
        <vt:i4>0</vt:i4>
      </vt:variant>
      <vt:variant>
        <vt:i4>5</vt:i4>
      </vt:variant>
      <vt:variant>
        <vt:lpwstr/>
      </vt:variant>
      <vt:variant>
        <vt:lpwstr>_Toc117502880</vt:lpwstr>
      </vt:variant>
      <vt:variant>
        <vt:i4>1441854</vt:i4>
      </vt:variant>
      <vt:variant>
        <vt:i4>5</vt:i4>
      </vt:variant>
      <vt:variant>
        <vt:i4>0</vt:i4>
      </vt:variant>
      <vt:variant>
        <vt:i4>5</vt:i4>
      </vt:variant>
      <vt:variant>
        <vt:lpwstr/>
      </vt:variant>
      <vt:variant>
        <vt:lpwstr>_Toc117502879</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Stirling, Sam</cp:lastModifiedBy>
  <cp:revision>216</cp:revision>
  <cp:lastPrinted>2022-12-07T11:47:00Z</cp:lastPrinted>
  <dcterms:created xsi:type="dcterms:W3CDTF">2022-01-18T18:38:00Z</dcterms:created>
  <dcterms:modified xsi:type="dcterms:W3CDTF">2022-12-07T11:47:00Z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A35954506</vt:lpwstr>
  </property>
  <property fmtid="{D5CDD505-2E9C-101B-9397-08002B2CF9AE}" pid="4" name="Objective-Title">
    <vt:lpwstr>STPR2_EqIA_Draft_Report_IssuedtoTS171221_with TS Comments Dec_21</vt:lpwstr>
  </property>
  <property fmtid="{D5CDD505-2E9C-101B-9397-08002B2CF9AE}" pid="5" name="Objective-Description">
    <vt:lpwstr/>
  </property>
  <property fmtid="{D5CDD505-2E9C-101B-9397-08002B2CF9AE}" pid="6" name="Objective-CreationStamp">
    <vt:filetime>2021-12-23T17:54:11Z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2022-01-05T09:40:19Z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 Appraisal: 2021-2026</vt:lpwstr>
  </property>
  <property fmtid="{D5CDD505-2E9C-101B-9397-08002B2CF9AE}" pid="13" name="Objective-Parent">
    <vt:lpwstr>LATIS - Strategic Transport Planning - Strategic Transport Projects Review (STPR) - Appraisal: 2021-2026</vt:lpwstr>
  </property>
  <property fmtid="{D5CDD505-2E9C-101B-9397-08002B2CF9AE}" pid="14" name="Objective-State">
    <vt:lpwstr>Being Drafted</vt:lpwstr>
  </property>
  <property fmtid="{D5CDD505-2E9C-101B-9397-08002B2CF9AE}" pid="15" name="Objective-VersionId">
    <vt:lpwstr>vA53059773</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POL/35625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