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5F39B" w14:textId="592F6F7B" w:rsidR="00402CD7" w:rsidRPr="00391D71" w:rsidRDefault="00402CD7" w:rsidP="1855F8E6">
      <w:pPr>
        <w:pStyle w:val="STPR2Title1"/>
        <w:spacing w:after="0" w:line="240" w:lineRule="auto"/>
        <w:rPr>
          <w:rFonts w:ascii="Arial" w:hAnsi="Arial"/>
          <w:color w:val="363636"/>
          <w:lang w:val="en-GB"/>
        </w:rPr>
      </w:pPr>
      <w:r w:rsidRPr="00391D71">
        <w:rPr>
          <w:rFonts w:ascii="Arial" w:hAnsi="Arial" w:hint="eastAsia"/>
          <w:noProof/>
          <w:color w:val="363636"/>
        </w:rPr>
        <w:drawing>
          <wp:anchor distT="0" distB="0" distL="114300" distR="114300" simplePos="0" relativeHeight="251658241" behindDoc="1" locked="1" layoutInCell="1" allowOverlap="1" wp14:anchorId="003B3766" wp14:editId="20321D6D">
            <wp:simplePos x="0" y="0"/>
            <wp:positionH relativeFrom="page">
              <wp:align>left</wp:align>
            </wp:positionH>
            <wp:positionV relativeFrom="page">
              <wp:align>top</wp:align>
            </wp:positionV>
            <wp:extent cx="7552944" cy="10689336"/>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r w:rsidRPr="00391D71">
        <w:rPr>
          <w:rFonts w:ascii="Arial" w:hAnsi="Arial" w:hint="eastAsia"/>
          <w:noProof/>
          <w:color w:val="363636"/>
        </w:rPr>
        <w:drawing>
          <wp:anchor distT="0" distB="0" distL="114300" distR="114300" simplePos="0" relativeHeight="251658240" behindDoc="1" locked="1" layoutInCell="1" allowOverlap="1" wp14:anchorId="215D076D" wp14:editId="3D9FA03C">
            <wp:simplePos x="0" y="0"/>
            <wp:positionH relativeFrom="page">
              <wp:align>left</wp:align>
            </wp:positionH>
            <wp:positionV relativeFrom="page">
              <wp:align>top</wp:align>
            </wp:positionV>
            <wp:extent cx="7552944" cy="10689336"/>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r w:rsidR="6312F562" w:rsidRPr="00391D71">
        <w:rPr>
          <w:rFonts w:ascii="Arial" w:hAnsi="Arial" w:hint="eastAsia"/>
          <w:color w:val="363636"/>
          <w:lang w:val="en-GB"/>
        </w:rPr>
        <w:t>Strategic Transport Projects Review (STPR2)</w:t>
      </w:r>
    </w:p>
    <w:p w14:paraId="0F1F73E1" w14:textId="77777777" w:rsidR="00402CD7" w:rsidRPr="00391D71" w:rsidRDefault="00402CD7" w:rsidP="00402CD7">
      <w:pPr>
        <w:pStyle w:val="STPR2Title1"/>
        <w:spacing w:after="11000" w:line="240" w:lineRule="auto"/>
        <w:rPr>
          <w:rFonts w:ascii="Arial" w:hAnsi="Arial"/>
          <w:color w:val="363636"/>
          <w:szCs w:val="36"/>
          <w:lang w:val="en-GB"/>
        </w:rPr>
      </w:pPr>
      <w:r w:rsidRPr="00391D71">
        <w:rPr>
          <w:rFonts w:ascii="Arial" w:hAnsi="Arial" w:hint="eastAsia"/>
          <w:color w:val="363636"/>
          <w:szCs w:val="36"/>
          <w:lang w:val="en-GB"/>
        </w:rPr>
        <w:t>Consultancy Support Services Contract</w:t>
      </w:r>
      <w:r w:rsidRPr="00391D71">
        <w:rPr>
          <w:rFonts w:ascii="Arial" w:hAnsi="Arial" w:hint="eastAsia"/>
          <w:noProof/>
          <w:color w:val="363636"/>
        </w:rPr>
        <w:drawing>
          <wp:anchor distT="0" distB="0" distL="114300" distR="114300" simplePos="0" relativeHeight="251658242" behindDoc="1" locked="1" layoutInCell="1" allowOverlap="1" wp14:anchorId="49B11641" wp14:editId="2FD2FC22">
            <wp:simplePos x="0" y="0"/>
            <wp:positionH relativeFrom="page">
              <wp:align>left</wp:align>
            </wp:positionH>
            <wp:positionV relativeFrom="page">
              <wp:align>top</wp:align>
            </wp:positionV>
            <wp:extent cx="7552944" cy="10689336"/>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p>
    <w:p w14:paraId="411CCD2B" w14:textId="77777777" w:rsidR="00FE63DB" w:rsidRDefault="00FE63DB" w:rsidP="00402CD7">
      <w:pPr>
        <w:pStyle w:val="STPR2Title2"/>
        <w:rPr>
          <w:lang w:val="en-GB"/>
        </w:rPr>
      </w:pPr>
    </w:p>
    <w:p w14:paraId="44AD27CD" w14:textId="0B3DF636" w:rsidR="00402CD7" w:rsidRPr="00580EE2" w:rsidRDefault="00FE63DB" w:rsidP="00402CD7">
      <w:pPr>
        <w:pStyle w:val="STPR2Title2"/>
        <w:rPr>
          <w:rFonts w:ascii="Arial" w:hAnsi="Arial"/>
          <w:lang w:val="en-GB"/>
        </w:rPr>
      </w:pPr>
      <w:r w:rsidRPr="00580EE2">
        <w:rPr>
          <w:rFonts w:ascii="Arial" w:hAnsi="Arial" w:hint="eastAsia"/>
          <w:lang w:val="en-GB"/>
        </w:rPr>
        <w:t xml:space="preserve">Island Communities Impact Assessment </w:t>
      </w:r>
      <w:r w:rsidR="00402CD7" w:rsidRPr="00580EE2">
        <w:rPr>
          <w:rFonts w:ascii="Arial" w:hAnsi="Arial" w:hint="eastAsia"/>
          <w:lang w:val="en-GB"/>
        </w:rPr>
        <w:t>(</w:t>
      </w:r>
      <w:r w:rsidRPr="00580EE2">
        <w:rPr>
          <w:rFonts w:ascii="Arial" w:hAnsi="Arial" w:hint="eastAsia"/>
          <w:lang w:val="en-GB"/>
        </w:rPr>
        <w:t>ICIA</w:t>
      </w:r>
      <w:r w:rsidR="00402CD7" w:rsidRPr="00580EE2">
        <w:rPr>
          <w:rFonts w:ascii="Arial" w:hAnsi="Arial" w:hint="eastAsia"/>
          <w:lang w:val="en-GB"/>
        </w:rPr>
        <w:t xml:space="preserve">) </w:t>
      </w:r>
      <w:r w:rsidR="00B71F51">
        <w:rPr>
          <w:rFonts w:ascii="Arial" w:hAnsi="Arial"/>
          <w:lang w:val="en-GB"/>
        </w:rPr>
        <w:t xml:space="preserve">Final </w:t>
      </w:r>
      <w:r w:rsidR="00402CD7" w:rsidRPr="00580EE2">
        <w:rPr>
          <w:rFonts w:ascii="Arial" w:hAnsi="Arial" w:hint="eastAsia"/>
          <w:lang w:val="en-GB"/>
        </w:rPr>
        <w:t>Report</w:t>
      </w:r>
    </w:p>
    <w:p w14:paraId="41DCABA1" w14:textId="3CD562BE" w:rsidR="00402CD7" w:rsidRPr="00580EE2" w:rsidRDefault="00F8657A" w:rsidP="00402CD7">
      <w:pPr>
        <w:pStyle w:val="STPR2Title3"/>
        <w:spacing w:after="100" w:afterAutospacing="1"/>
        <w:rPr>
          <w:rFonts w:ascii="Arial" w:hAnsi="Arial"/>
          <w:lang w:val="en-GB"/>
        </w:rPr>
      </w:pPr>
      <w:r w:rsidRPr="00580EE2">
        <w:rPr>
          <w:rFonts w:ascii="Arial" w:hAnsi="Arial" w:hint="eastAsia"/>
          <w:lang w:val="en-GB"/>
        </w:rPr>
        <w:t>December</w:t>
      </w:r>
      <w:r w:rsidR="003132A8" w:rsidRPr="00580EE2">
        <w:rPr>
          <w:rFonts w:ascii="Arial" w:hAnsi="Arial" w:hint="eastAsia"/>
          <w:lang w:val="en-GB"/>
        </w:rPr>
        <w:t xml:space="preserve"> 2022</w:t>
      </w:r>
    </w:p>
    <w:p w14:paraId="1D940664" w14:textId="77777777" w:rsidR="00402CD7" w:rsidRDefault="00402CD7" w:rsidP="00402CD7">
      <w:pPr>
        <w:pStyle w:val="STPR2Title3"/>
        <w:spacing w:after="100" w:afterAutospacing="1"/>
        <w:rPr>
          <w:lang w:val="en-GB"/>
        </w:rPr>
      </w:pPr>
    </w:p>
    <w:p w14:paraId="1732BA81" w14:textId="48AFB154" w:rsidR="00D85E61" w:rsidRPr="00E645D5" w:rsidRDefault="00D85E61" w:rsidP="006F53DF">
      <w:pPr>
        <w:pStyle w:val="STPR2Title3"/>
        <w:rPr>
          <w:lang w:val="en-GB"/>
        </w:rPr>
        <w:sectPr w:rsidR="00D85E61" w:rsidRPr="00E645D5" w:rsidSect="008A4739">
          <w:type w:val="continuous"/>
          <w:pgSz w:w="11906" w:h="16838" w:code="9"/>
          <w:pgMar w:top="1134" w:right="1134" w:bottom="1134" w:left="1134" w:header="454" w:footer="567" w:gutter="0"/>
          <w:cols w:space="720"/>
          <w:noEndnote/>
          <w:docGrid w:linePitch="299"/>
        </w:sectPr>
      </w:pPr>
    </w:p>
    <w:bookmarkStart w:id="0" w:name="_Hlk85013139" w:displacedByCustomXml="next"/>
    <w:sdt>
      <w:sdtPr>
        <w:rPr>
          <w:rFonts w:asciiTheme="minorHAnsi" w:hAnsiTheme="minorHAnsi" w:cstheme="minorBidi"/>
          <w:bCs w:val="0"/>
          <w:color w:val="auto"/>
          <w:sz w:val="22"/>
          <w:szCs w:val="22"/>
          <w:lang w:val="en-GB" w:eastAsia="en-GB"/>
        </w:rPr>
        <w:id w:val="-503209858"/>
        <w:docPartObj>
          <w:docPartGallery w:val="Table of Contents"/>
          <w:docPartUnique/>
        </w:docPartObj>
      </w:sdtPr>
      <w:sdtEndPr>
        <w:rPr>
          <w:rFonts w:ascii="Arial" w:hAnsi="Arial" w:cs="Arial"/>
          <w:b/>
          <w:noProof/>
        </w:rPr>
      </w:sdtEndPr>
      <w:sdtContent>
        <w:p w14:paraId="759AE7D6" w14:textId="15681900" w:rsidR="00CF520A" w:rsidRDefault="00CF520A" w:rsidP="00F110EE">
          <w:pPr>
            <w:pStyle w:val="TOCHeading"/>
            <w:numPr>
              <w:ilvl w:val="0"/>
              <w:numId w:val="0"/>
            </w:numPr>
            <w:ind w:left="360" w:hanging="360"/>
          </w:pPr>
          <w:r w:rsidRPr="00F110EE">
            <w:t>Contents</w:t>
          </w:r>
        </w:p>
        <w:p w14:paraId="769DD444" w14:textId="510DB007" w:rsidR="00DC4CAC" w:rsidRDefault="00F110EE">
          <w:pPr>
            <w:pStyle w:val="TOC1"/>
            <w:rPr>
              <w:rFonts w:asciiTheme="minorHAnsi" w:hAnsiTheme="minorHAnsi" w:cstheme="minorBidi"/>
              <w:b w:val="0"/>
              <w:color w:val="auto"/>
              <w:sz w:val="22"/>
              <w:szCs w:val="22"/>
              <w:lang w:val="en-US" w:eastAsia="en-US"/>
            </w:rPr>
          </w:pPr>
          <w:r>
            <w:rPr>
              <w:b w:val="0"/>
              <w:szCs w:val="24"/>
            </w:rPr>
            <w:fldChar w:fldCharType="begin"/>
          </w:r>
          <w:r>
            <w:rPr>
              <w:b w:val="0"/>
              <w:szCs w:val="24"/>
            </w:rPr>
            <w:instrText xml:space="preserve"> TOC \h \z \u \t "Heading 1,1,Heading 2,2,Heading 3,3" </w:instrText>
          </w:r>
          <w:r>
            <w:rPr>
              <w:b w:val="0"/>
              <w:szCs w:val="24"/>
            </w:rPr>
            <w:fldChar w:fldCharType="separate"/>
          </w:r>
          <w:hyperlink w:anchor="_Toc121213925" w:history="1">
            <w:r w:rsidR="00DC4CAC" w:rsidRPr="002635FB">
              <w:rPr>
                <w:rStyle w:val="Hyperlink"/>
              </w:rPr>
              <w:t>1.</w:t>
            </w:r>
            <w:r w:rsidR="00DC4CAC">
              <w:rPr>
                <w:rFonts w:asciiTheme="minorHAnsi" w:hAnsiTheme="minorHAnsi" w:cstheme="minorBidi"/>
                <w:b w:val="0"/>
                <w:color w:val="auto"/>
                <w:sz w:val="22"/>
                <w:szCs w:val="22"/>
                <w:lang w:val="en-US" w:eastAsia="en-US"/>
              </w:rPr>
              <w:tab/>
            </w:r>
            <w:r w:rsidR="00DC4CAC" w:rsidRPr="002635FB">
              <w:rPr>
                <w:rStyle w:val="Hyperlink"/>
              </w:rPr>
              <w:t>Introduction</w:t>
            </w:r>
            <w:r w:rsidR="00DC4CAC">
              <w:rPr>
                <w:webHidden/>
              </w:rPr>
              <w:tab/>
            </w:r>
            <w:r w:rsidR="00DC4CAC">
              <w:rPr>
                <w:webHidden/>
              </w:rPr>
              <w:fldChar w:fldCharType="begin"/>
            </w:r>
            <w:r w:rsidR="00DC4CAC">
              <w:rPr>
                <w:webHidden/>
              </w:rPr>
              <w:instrText xml:space="preserve"> PAGEREF _Toc121213925 \h </w:instrText>
            </w:r>
            <w:r w:rsidR="00DC4CAC">
              <w:rPr>
                <w:webHidden/>
              </w:rPr>
            </w:r>
            <w:r w:rsidR="00DC4CAC">
              <w:rPr>
                <w:webHidden/>
              </w:rPr>
              <w:fldChar w:fldCharType="separate"/>
            </w:r>
            <w:r w:rsidR="00B71F51">
              <w:rPr>
                <w:webHidden/>
              </w:rPr>
              <w:t>3</w:t>
            </w:r>
            <w:r w:rsidR="00DC4CAC">
              <w:rPr>
                <w:webHidden/>
              </w:rPr>
              <w:fldChar w:fldCharType="end"/>
            </w:r>
          </w:hyperlink>
        </w:p>
        <w:p w14:paraId="1FE5234D" w14:textId="2AF2CF7A" w:rsidR="00DC4CAC" w:rsidRDefault="00293A74">
          <w:pPr>
            <w:pStyle w:val="TOC2"/>
            <w:tabs>
              <w:tab w:val="left" w:pos="1320"/>
            </w:tabs>
            <w:rPr>
              <w:rFonts w:asciiTheme="minorHAnsi" w:hAnsiTheme="minorHAnsi" w:cstheme="minorBidi"/>
              <w:color w:val="auto"/>
              <w:sz w:val="22"/>
              <w:szCs w:val="22"/>
              <w:lang w:val="en-US" w:eastAsia="en-US"/>
            </w:rPr>
          </w:pPr>
          <w:hyperlink w:anchor="_Toc121213926" w:history="1">
            <w:r w:rsidR="00DC4CAC" w:rsidRPr="002635FB">
              <w:rPr>
                <w:rStyle w:val="Hyperlink"/>
              </w:rPr>
              <w:t>1.1.</w:t>
            </w:r>
            <w:r w:rsidR="00DC4CAC">
              <w:rPr>
                <w:rFonts w:asciiTheme="minorHAnsi" w:hAnsiTheme="minorHAnsi" w:cstheme="minorBidi"/>
                <w:color w:val="auto"/>
                <w:sz w:val="22"/>
                <w:szCs w:val="22"/>
                <w:lang w:val="en-US" w:eastAsia="en-US"/>
              </w:rPr>
              <w:tab/>
            </w:r>
            <w:r w:rsidR="00DC4CAC" w:rsidRPr="002635FB">
              <w:rPr>
                <w:rStyle w:val="Hyperlink"/>
              </w:rPr>
              <w:t>Background</w:t>
            </w:r>
            <w:r w:rsidR="00DC4CAC">
              <w:rPr>
                <w:webHidden/>
              </w:rPr>
              <w:tab/>
            </w:r>
            <w:r w:rsidR="00DC4CAC">
              <w:rPr>
                <w:webHidden/>
              </w:rPr>
              <w:fldChar w:fldCharType="begin"/>
            </w:r>
            <w:r w:rsidR="00DC4CAC">
              <w:rPr>
                <w:webHidden/>
              </w:rPr>
              <w:instrText xml:space="preserve"> PAGEREF _Toc121213926 \h </w:instrText>
            </w:r>
            <w:r w:rsidR="00DC4CAC">
              <w:rPr>
                <w:webHidden/>
              </w:rPr>
            </w:r>
            <w:r w:rsidR="00DC4CAC">
              <w:rPr>
                <w:webHidden/>
              </w:rPr>
              <w:fldChar w:fldCharType="separate"/>
            </w:r>
            <w:r w:rsidR="00B71F51">
              <w:rPr>
                <w:webHidden/>
              </w:rPr>
              <w:t>3</w:t>
            </w:r>
            <w:r w:rsidR="00DC4CAC">
              <w:rPr>
                <w:webHidden/>
              </w:rPr>
              <w:fldChar w:fldCharType="end"/>
            </w:r>
          </w:hyperlink>
        </w:p>
        <w:p w14:paraId="3487F858" w14:textId="00E017D4" w:rsidR="00DC4CAC" w:rsidRDefault="00293A74">
          <w:pPr>
            <w:pStyle w:val="TOC2"/>
            <w:tabs>
              <w:tab w:val="left" w:pos="1320"/>
            </w:tabs>
            <w:rPr>
              <w:rFonts w:asciiTheme="minorHAnsi" w:hAnsiTheme="minorHAnsi" w:cstheme="minorBidi"/>
              <w:color w:val="auto"/>
              <w:sz w:val="22"/>
              <w:szCs w:val="22"/>
              <w:lang w:val="en-US" w:eastAsia="en-US"/>
            </w:rPr>
          </w:pPr>
          <w:hyperlink w:anchor="_Toc121213927" w:history="1">
            <w:r w:rsidR="00DC4CAC" w:rsidRPr="002635FB">
              <w:rPr>
                <w:rStyle w:val="Hyperlink"/>
              </w:rPr>
              <w:t>1.2.</w:t>
            </w:r>
            <w:r w:rsidR="00DC4CAC">
              <w:rPr>
                <w:rFonts w:asciiTheme="minorHAnsi" w:hAnsiTheme="minorHAnsi" w:cstheme="minorBidi"/>
                <w:color w:val="auto"/>
                <w:sz w:val="22"/>
                <w:szCs w:val="22"/>
                <w:lang w:val="en-US" w:eastAsia="en-US"/>
              </w:rPr>
              <w:tab/>
            </w:r>
            <w:r w:rsidR="00DC4CAC" w:rsidRPr="002635FB">
              <w:rPr>
                <w:rStyle w:val="Hyperlink"/>
              </w:rPr>
              <w:t>STPR2 Integrated Impact Assessments</w:t>
            </w:r>
            <w:r w:rsidR="00DC4CAC">
              <w:rPr>
                <w:webHidden/>
              </w:rPr>
              <w:tab/>
            </w:r>
            <w:r w:rsidR="00DC4CAC">
              <w:rPr>
                <w:webHidden/>
              </w:rPr>
              <w:fldChar w:fldCharType="begin"/>
            </w:r>
            <w:r w:rsidR="00DC4CAC">
              <w:rPr>
                <w:webHidden/>
              </w:rPr>
              <w:instrText xml:space="preserve"> PAGEREF _Toc121213927 \h </w:instrText>
            </w:r>
            <w:r w:rsidR="00DC4CAC">
              <w:rPr>
                <w:webHidden/>
              </w:rPr>
            </w:r>
            <w:r w:rsidR="00DC4CAC">
              <w:rPr>
                <w:webHidden/>
              </w:rPr>
              <w:fldChar w:fldCharType="separate"/>
            </w:r>
            <w:r w:rsidR="00B71F51">
              <w:rPr>
                <w:webHidden/>
              </w:rPr>
              <w:t>3</w:t>
            </w:r>
            <w:r w:rsidR="00DC4CAC">
              <w:rPr>
                <w:webHidden/>
              </w:rPr>
              <w:fldChar w:fldCharType="end"/>
            </w:r>
          </w:hyperlink>
        </w:p>
        <w:p w14:paraId="5F4F2AB9" w14:textId="5F2F4CFF" w:rsidR="00DC4CAC" w:rsidRDefault="00293A74">
          <w:pPr>
            <w:pStyle w:val="TOC2"/>
            <w:tabs>
              <w:tab w:val="left" w:pos="1320"/>
            </w:tabs>
            <w:rPr>
              <w:rFonts w:asciiTheme="minorHAnsi" w:hAnsiTheme="minorHAnsi" w:cstheme="minorBidi"/>
              <w:color w:val="auto"/>
              <w:sz w:val="22"/>
              <w:szCs w:val="22"/>
              <w:lang w:val="en-US" w:eastAsia="en-US"/>
            </w:rPr>
          </w:pPr>
          <w:hyperlink w:anchor="_Toc121213928" w:history="1">
            <w:r w:rsidR="00DC4CAC" w:rsidRPr="002635FB">
              <w:rPr>
                <w:rStyle w:val="Hyperlink"/>
              </w:rPr>
              <w:t>1.3.</w:t>
            </w:r>
            <w:r w:rsidR="00DC4CAC">
              <w:rPr>
                <w:rFonts w:asciiTheme="minorHAnsi" w:hAnsiTheme="minorHAnsi" w:cstheme="minorBidi"/>
                <w:color w:val="auto"/>
                <w:sz w:val="22"/>
                <w:szCs w:val="22"/>
                <w:lang w:val="en-US" w:eastAsia="en-US"/>
              </w:rPr>
              <w:tab/>
            </w:r>
            <w:r w:rsidR="00DC4CAC" w:rsidRPr="002635FB">
              <w:rPr>
                <w:rStyle w:val="Hyperlink"/>
              </w:rPr>
              <w:t>Purpose and Structure of ICIA Report</w:t>
            </w:r>
            <w:r w:rsidR="00DC4CAC">
              <w:rPr>
                <w:webHidden/>
              </w:rPr>
              <w:tab/>
            </w:r>
            <w:r w:rsidR="00DC4CAC">
              <w:rPr>
                <w:webHidden/>
              </w:rPr>
              <w:fldChar w:fldCharType="begin"/>
            </w:r>
            <w:r w:rsidR="00DC4CAC">
              <w:rPr>
                <w:webHidden/>
              </w:rPr>
              <w:instrText xml:space="preserve"> PAGEREF _Toc121213928 \h </w:instrText>
            </w:r>
            <w:r w:rsidR="00DC4CAC">
              <w:rPr>
                <w:webHidden/>
              </w:rPr>
            </w:r>
            <w:r w:rsidR="00DC4CAC">
              <w:rPr>
                <w:webHidden/>
              </w:rPr>
              <w:fldChar w:fldCharType="separate"/>
            </w:r>
            <w:r w:rsidR="00B71F51">
              <w:rPr>
                <w:webHidden/>
              </w:rPr>
              <w:t>4</w:t>
            </w:r>
            <w:r w:rsidR="00DC4CAC">
              <w:rPr>
                <w:webHidden/>
              </w:rPr>
              <w:fldChar w:fldCharType="end"/>
            </w:r>
          </w:hyperlink>
        </w:p>
        <w:p w14:paraId="7B26E47A" w14:textId="6CF59E55" w:rsidR="00DC4CAC" w:rsidRDefault="00293A74">
          <w:pPr>
            <w:pStyle w:val="TOC1"/>
            <w:rPr>
              <w:rFonts w:asciiTheme="minorHAnsi" w:hAnsiTheme="minorHAnsi" w:cstheme="minorBidi"/>
              <w:b w:val="0"/>
              <w:color w:val="auto"/>
              <w:sz w:val="22"/>
              <w:szCs w:val="22"/>
              <w:lang w:val="en-US" w:eastAsia="en-US"/>
            </w:rPr>
          </w:pPr>
          <w:hyperlink w:anchor="_Toc121213929" w:history="1">
            <w:r w:rsidR="00DC4CAC" w:rsidRPr="002635FB">
              <w:rPr>
                <w:rStyle w:val="Hyperlink"/>
              </w:rPr>
              <w:t>2.</w:t>
            </w:r>
            <w:r w:rsidR="00DC4CAC">
              <w:rPr>
                <w:rFonts w:asciiTheme="minorHAnsi" w:hAnsiTheme="minorHAnsi" w:cstheme="minorBidi"/>
                <w:b w:val="0"/>
                <w:color w:val="auto"/>
                <w:sz w:val="22"/>
                <w:szCs w:val="22"/>
                <w:lang w:val="en-US" w:eastAsia="en-US"/>
              </w:rPr>
              <w:tab/>
            </w:r>
            <w:r w:rsidR="00DC4CAC" w:rsidRPr="002635FB">
              <w:rPr>
                <w:rStyle w:val="Hyperlink"/>
              </w:rPr>
              <w:t>Legislation, Policy and Guidance</w:t>
            </w:r>
            <w:r w:rsidR="00DC4CAC">
              <w:rPr>
                <w:webHidden/>
              </w:rPr>
              <w:tab/>
            </w:r>
            <w:r w:rsidR="00DC4CAC">
              <w:rPr>
                <w:webHidden/>
              </w:rPr>
              <w:fldChar w:fldCharType="begin"/>
            </w:r>
            <w:r w:rsidR="00DC4CAC">
              <w:rPr>
                <w:webHidden/>
              </w:rPr>
              <w:instrText xml:space="preserve"> PAGEREF _Toc121213929 \h </w:instrText>
            </w:r>
            <w:r w:rsidR="00DC4CAC">
              <w:rPr>
                <w:webHidden/>
              </w:rPr>
            </w:r>
            <w:r w:rsidR="00DC4CAC">
              <w:rPr>
                <w:webHidden/>
              </w:rPr>
              <w:fldChar w:fldCharType="separate"/>
            </w:r>
            <w:r w:rsidR="00B71F51">
              <w:rPr>
                <w:webHidden/>
              </w:rPr>
              <w:t>6</w:t>
            </w:r>
            <w:r w:rsidR="00DC4CAC">
              <w:rPr>
                <w:webHidden/>
              </w:rPr>
              <w:fldChar w:fldCharType="end"/>
            </w:r>
          </w:hyperlink>
        </w:p>
        <w:p w14:paraId="1E182464" w14:textId="082AC312" w:rsidR="00DC4CAC" w:rsidRDefault="00293A74">
          <w:pPr>
            <w:pStyle w:val="TOC2"/>
            <w:tabs>
              <w:tab w:val="left" w:pos="1320"/>
            </w:tabs>
            <w:rPr>
              <w:rFonts w:asciiTheme="minorHAnsi" w:hAnsiTheme="minorHAnsi" w:cstheme="minorBidi"/>
              <w:color w:val="auto"/>
              <w:sz w:val="22"/>
              <w:szCs w:val="22"/>
              <w:lang w:val="en-US" w:eastAsia="en-US"/>
            </w:rPr>
          </w:pPr>
          <w:hyperlink w:anchor="_Toc121213930" w:history="1">
            <w:r w:rsidR="00DC4CAC" w:rsidRPr="002635FB">
              <w:rPr>
                <w:rStyle w:val="Hyperlink"/>
              </w:rPr>
              <w:t>2.1.</w:t>
            </w:r>
            <w:r w:rsidR="00DC4CAC">
              <w:rPr>
                <w:rFonts w:asciiTheme="minorHAnsi" w:hAnsiTheme="minorHAnsi" w:cstheme="minorBidi"/>
                <w:color w:val="auto"/>
                <w:sz w:val="22"/>
                <w:szCs w:val="22"/>
                <w:lang w:val="en-US" w:eastAsia="en-US"/>
              </w:rPr>
              <w:tab/>
            </w:r>
            <w:r w:rsidR="00DC4CAC" w:rsidRPr="002635FB">
              <w:rPr>
                <w:rStyle w:val="Hyperlink"/>
              </w:rPr>
              <w:t>Islands (Scotland) Act 2018</w:t>
            </w:r>
            <w:r w:rsidR="00DC4CAC">
              <w:rPr>
                <w:webHidden/>
              </w:rPr>
              <w:tab/>
            </w:r>
            <w:r w:rsidR="00DC4CAC">
              <w:rPr>
                <w:webHidden/>
              </w:rPr>
              <w:fldChar w:fldCharType="begin"/>
            </w:r>
            <w:r w:rsidR="00DC4CAC">
              <w:rPr>
                <w:webHidden/>
              </w:rPr>
              <w:instrText xml:space="preserve"> PAGEREF _Toc121213930 \h </w:instrText>
            </w:r>
            <w:r w:rsidR="00DC4CAC">
              <w:rPr>
                <w:webHidden/>
              </w:rPr>
            </w:r>
            <w:r w:rsidR="00DC4CAC">
              <w:rPr>
                <w:webHidden/>
              </w:rPr>
              <w:fldChar w:fldCharType="separate"/>
            </w:r>
            <w:r w:rsidR="00B71F51">
              <w:rPr>
                <w:webHidden/>
              </w:rPr>
              <w:t>6</w:t>
            </w:r>
            <w:r w:rsidR="00DC4CAC">
              <w:rPr>
                <w:webHidden/>
              </w:rPr>
              <w:fldChar w:fldCharType="end"/>
            </w:r>
          </w:hyperlink>
        </w:p>
        <w:p w14:paraId="1F38E4C6" w14:textId="33619C76" w:rsidR="00DC4CAC" w:rsidRDefault="00293A74">
          <w:pPr>
            <w:pStyle w:val="TOC2"/>
            <w:tabs>
              <w:tab w:val="left" w:pos="1320"/>
            </w:tabs>
            <w:rPr>
              <w:rFonts w:asciiTheme="minorHAnsi" w:hAnsiTheme="minorHAnsi" w:cstheme="minorBidi"/>
              <w:color w:val="auto"/>
              <w:sz w:val="22"/>
              <w:szCs w:val="22"/>
              <w:lang w:val="en-US" w:eastAsia="en-US"/>
            </w:rPr>
          </w:pPr>
          <w:hyperlink w:anchor="_Toc121213931" w:history="1">
            <w:r w:rsidR="00DC4CAC" w:rsidRPr="002635FB">
              <w:rPr>
                <w:rStyle w:val="Hyperlink"/>
              </w:rPr>
              <w:t>2.2.</w:t>
            </w:r>
            <w:r w:rsidR="00DC4CAC">
              <w:rPr>
                <w:rFonts w:asciiTheme="minorHAnsi" w:hAnsiTheme="minorHAnsi" w:cstheme="minorBidi"/>
                <w:color w:val="auto"/>
                <w:sz w:val="22"/>
                <w:szCs w:val="22"/>
                <w:lang w:val="en-US" w:eastAsia="en-US"/>
              </w:rPr>
              <w:tab/>
            </w:r>
            <w:r w:rsidR="00DC4CAC" w:rsidRPr="002635FB">
              <w:rPr>
                <w:rStyle w:val="Hyperlink"/>
              </w:rPr>
              <w:t>The National Islands Plan 2019</w:t>
            </w:r>
            <w:r w:rsidR="00DC4CAC">
              <w:rPr>
                <w:webHidden/>
              </w:rPr>
              <w:tab/>
            </w:r>
            <w:r w:rsidR="00DC4CAC">
              <w:rPr>
                <w:webHidden/>
              </w:rPr>
              <w:fldChar w:fldCharType="begin"/>
            </w:r>
            <w:r w:rsidR="00DC4CAC">
              <w:rPr>
                <w:webHidden/>
              </w:rPr>
              <w:instrText xml:space="preserve"> PAGEREF _Toc121213931 \h </w:instrText>
            </w:r>
            <w:r w:rsidR="00DC4CAC">
              <w:rPr>
                <w:webHidden/>
              </w:rPr>
            </w:r>
            <w:r w:rsidR="00DC4CAC">
              <w:rPr>
                <w:webHidden/>
              </w:rPr>
              <w:fldChar w:fldCharType="separate"/>
            </w:r>
            <w:r w:rsidR="00B71F51">
              <w:rPr>
                <w:webHidden/>
              </w:rPr>
              <w:t>6</w:t>
            </w:r>
            <w:r w:rsidR="00DC4CAC">
              <w:rPr>
                <w:webHidden/>
              </w:rPr>
              <w:fldChar w:fldCharType="end"/>
            </w:r>
          </w:hyperlink>
        </w:p>
        <w:p w14:paraId="64AD4E9A" w14:textId="4567C1A8" w:rsidR="00DC4CAC" w:rsidRDefault="00293A74">
          <w:pPr>
            <w:pStyle w:val="TOC2"/>
            <w:tabs>
              <w:tab w:val="left" w:pos="1320"/>
            </w:tabs>
            <w:rPr>
              <w:rFonts w:asciiTheme="minorHAnsi" w:hAnsiTheme="minorHAnsi" w:cstheme="minorBidi"/>
              <w:color w:val="auto"/>
              <w:sz w:val="22"/>
              <w:szCs w:val="22"/>
              <w:lang w:val="en-US" w:eastAsia="en-US"/>
            </w:rPr>
          </w:pPr>
          <w:hyperlink w:anchor="_Toc121213932" w:history="1">
            <w:r w:rsidR="00DC4CAC" w:rsidRPr="002635FB">
              <w:rPr>
                <w:rStyle w:val="Hyperlink"/>
              </w:rPr>
              <w:t>2.3.</w:t>
            </w:r>
            <w:r w:rsidR="00DC4CAC">
              <w:rPr>
                <w:rFonts w:asciiTheme="minorHAnsi" w:hAnsiTheme="minorHAnsi" w:cstheme="minorBidi"/>
                <w:color w:val="auto"/>
                <w:sz w:val="22"/>
                <w:szCs w:val="22"/>
                <w:lang w:val="en-US" w:eastAsia="en-US"/>
              </w:rPr>
              <w:tab/>
            </w:r>
            <w:r w:rsidR="00DC4CAC" w:rsidRPr="002635FB">
              <w:rPr>
                <w:rStyle w:val="Hyperlink"/>
              </w:rPr>
              <w:t>Island Communities Impact Assessments: Guidance and Toolkit</w:t>
            </w:r>
            <w:r w:rsidR="00DC4CAC">
              <w:rPr>
                <w:webHidden/>
              </w:rPr>
              <w:tab/>
            </w:r>
            <w:r w:rsidR="00DC4CAC">
              <w:rPr>
                <w:webHidden/>
              </w:rPr>
              <w:fldChar w:fldCharType="begin"/>
            </w:r>
            <w:r w:rsidR="00DC4CAC">
              <w:rPr>
                <w:webHidden/>
              </w:rPr>
              <w:instrText xml:space="preserve"> PAGEREF _Toc121213932 \h </w:instrText>
            </w:r>
            <w:r w:rsidR="00DC4CAC">
              <w:rPr>
                <w:webHidden/>
              </w:rPr>
            </w:r>
            <w:r w:rsidR="00DC4CAC">
              <w:rPr>
                <w:webHidden/>
              </w:rPr>
              <w:fldChar w:fldCharType="separate"/>
            </w:r>
            <w:r w:rsidR="00B71F51">
              <w:rPr>
                <w:webHidden/>
              </w:rPr>
              <w:t>7</w:t>
            </w:r>
            <w:r w:rsidR="00DC4CAC">
              <w:rPr>
                <w:webHidden/>
              </w:rPr>
              <w:fldChar w:fldCharType="end"/>
            </w:r>
          </w:hyperlink>
        </w:p>
        <w:p w14:paraId="67AD5F81" w14:textId="324385CA" w:rsidR="00DC4CAC" w:rsidRDefault="00293A74">
          <w:pPr>
            <w:pStyle w:val="TOC2"/>
            <w:tabs>
              <w:tab w:val="left" w:pos="1320"/>
            </w:tabs>
            <w:rPr>
              <w:rFonts w:asciiTheme="minorHAnsi" w:hAnsiTheme="minorHAnsi" w:cstheme="minorBidi"/>
              <w:color w:val="auto"/>
              <w:sz w:val="22"/>
              <w:szCs w:val="22"/>
              <w:lang w:val="en-US" w:eastAsia="en-US"/>
            </w:rPr>
          </w:pPr>
          <w:hyperlink w:anchor="_Toc121213933" w:history="1">
            <w:r w:rsidR="00DC4CAC" w:rsidRPr="002635FB">
              <w:rPr>
                <w:rStyle w:val="Hyperlink"/>
              </w:rPr>
              <w:t>2.4.</w:t>
            </w:r>
            <w:r w:rsidR="00DC4CAC">
              <w:rPr>
                <w:rFonts w:asciiTheme="minorHAnsi" w:hAnsiTheme="minorHAnsi" w:cstheme="minorBidi"/>
                <w:color w:val="auto"/>
                <w:sz w:val="22"/>
                <w:szCs w:val="22"/>
                <w:lang w:val="en-US" w:eastAsia="en-US"/>
              </w:rPr>
              <w:tab/>
            </w:r>
            <w:r w:rsidR="00DC4CAC" w:rsidRPr="002635FB">
              <w:rPr>
                <w:rStyle w:val="Hyperlink"/>
              </w:rPr>
              <w:t>ICIA Guidance and the STPR2 process</w:t>
            </w:r>
            <w:r w:rsidR="00DC4CAC">
              <w:rPr>
                <w:webHidden/>
              </w:rPr>
              <w:tab/>
            </w:r>
            <w:r w:rsidR="00DC4CAC">
              <w:rPr>
                <w:webHidden/>
              </w:rPr>
              <w:fldChar w:fldCharType="begin"/>
            </w:r>
            <w:r w:rsidR="00DC4CAC">
              <w:rPr>
                <w:webHidden/>
              </w:rPr>
              <w:instrText xml:space="preserve"> PAGEREF _Toc121213933 \h </w:instrText>
            </w:r>
            <w:r w:rsidR="00DC4CAC">
              <w:rPr>
                <w:webHidden/>
              </w:rPr>
            </w:r>
            <w:r w:rsidR="00DC4CAC">
              <w:rPr>
                <w:webHidden/>
              </w:rPr>
              <w:fldChar w:fldCharType="separate"/>
            </w:r>
            <w:r w:rsidR="00B71F51">
              <w:rPr>
                <w:webHidden/>
              </w:rPr>
              <w:t>8</w:t>
            </w:r>
            <w:r w:rsidR="00DC4CAC">
              <w:rPr>
                <w:webHidden/>
              </w:rPr>
              <w:fldChar w:fldCharType="end"/>
            </w:r>
          </w:hyperlink>
        </w:p>
        <w:p w14:paraId="0135D7D8" w14:textId="6BB64A91" w:rsidR="00DC4CAC" w:rsidRDefault="00293A74">
          <w:pPr>
            <w:pStyle w:val="TOC1"/>
            <w:rPr>
              <w:rFonts w:asciiTheme="minorHAnsi" w:hAnsiTheme="minorHAnsi" w:cstheme="minorBidi"/>
              <w:b w:val="0"/>
              <w:color w:val="auto"/>
              <w:sz w:val="22"/>
              <w:szCs w:val="22"/>
              <w:lang w:val="en-US" w:eastAsia="en-US"/>
            </w:rPr>
          </w:pPr>
          <w:hyperlink w:anchor="_Toc121213934" w:history="1">
            <w:r w:rsidR="00DC4CAC" w:rsidRPr="002635FB">
              <w:rPr>
                <w:rStyle w:val="Hyperlink"/>
              </w:rPr>
              <w:t>3.</w:t>
            </w:r>
            <w:r w:rsidR="00DC4CAC">
              <w:rPr>
                <w:rFonts w:asciiTheme="minorHAnsi" w:hAnsiTheme="minorHAnsi" w:cstheme="minorBidi"/>
                <w:b w:val="0"/>
                <w:color w:val="auto"/>
                <w:sz w:val="22"/>
                <w:szCs w:val="22"/>
                <w:lang w:val="en-US" w:eastAsia="en-US"/>
              </w:rPr>
              <w:tab/>
            </w:r>
            <w:r w:rsidR="00DC4CAC" w:rsidRPr="002635FB">
              <w:rPr>
                <w:rStyle w:val="Hyperlink"/>
              </w:rPr>
              <w:t>Baseline Summary</w:t>
            </w:r>
            <w:r w:rsidR="00DC4CAC">
              <w:rPr>
                <w:webHidden/>
              </w:rPr>
              <w:tab/>
            </w:r>
            <w:r w:rsidR="00DC4CAC">
              <w:rPr>
                <w:webHidden/>
              </w:rPr>
              <w:fldChar w:fldCharType="begin"/>
            </w:r>
            <w:r w:rsidR="00DC4CAC">
              <w:rPr>
                <w:webHidden/>
              </w:rPr>
              <w:instrText xml:space="preserve"> PAGEREF _Toc121213934 \h </w:instrText>
            </w:r>
            <w:r w:rsidR="00DC4CAC">
              <w:rPr>
                <w:webHidden/>
              </w:rPr>
            </w:r>
            <w:r w:rsidR="00DC4CAC">
              <w:rPr>
                <w:webHidden/>
              </w:rPr>
              <w:fldChar w:fldCharType="separate"/>
            </w:r>
            <w:r w:rsidR="00B71F51">
              <w:rPr>
                <w:webHidden/>
              </w:rPr>
              <w:t>11</w:t>
            </w:r>
            <w:r w:rsidR="00DC4CAC">
              <w:rPr>
                <w:webHidden/>
              </w:rPr>
              <w:fldChar w:fldCharType="end"/>
            </w:r>
          </w:hyperlink>
        </w:p>
        <w:p w14:paraId="09A6363D" w14:textId="783357A0" w:rsidR="00DC4CAC" w:rsidRDefault="00293A74">
          <w:pPr>
            <w:pStyle w:val="TOC2"/>
            <w:tabs>
              <w:tab w:val="left" w:pos="1320"/>
            </w:tabs>
            <w:rPr>
              <w:rFonts w:asciiTheme="minorHAnsi" w:hAnsiTheme="minorHAnsi" w:cstheme="minorBidi"/>
              <w:color w:val="auto"/>
              <w:sz w:val="22"/>
              <w:szCs w:val="22"/>
              <w:lang w:val="en-US" w:eastAsia="en-US"/>
            </w:rPr>
          </w:pPr>
          <w:hyperlink w:anchor="_Toc121213935" w:history="1">
            <w:r w:rsidR="00DC4CAC" w:rsidRPr="002635FB">
              <w:rPr>
                <w:rStyle w:val="Hyperlink"/>
              </w:rPr>
              <w:t>3.1.</w:t>
            </w:r>
            <w:r w:rsidR="00DC4CAC">
              <w:rPr>
                <w:rFonts w:asciiTheme="minorHAnsi" w:hAnsiTheme="minorHAnsi" w:cstheme="minorBidi"/>
                <w:color w:val="auto"/>
                <w:sz w:val="22"/>
                <w:szCs w:val="22"/>
                <w:lang w:val="en-US" w:eastAsia="en-US"/>
              </w:rPr>
              <w:tab/>
            </w:r>
            <w:r w:rsidR="00DC4CAC" w:rsidRPr="002635FB">
              <w:rPr>
                <w:rStyle w:val="Hyperlink"/>
              </w:rPr>
              <w:t>Introduction</w:t>
            </w:r>
            <w:r w:rsidR="00DC4CAC">
              <w:rPr>
                <w:webHidden/>
              </w:rPr>
              <w:tab/>
            </w:r>
            <w:r w:rsidR="00DC4CAC">
              <w:rPr>
                <w:webHidden/>
              </w:rPr>
              <w:fldChar w:fldCharType="begin"/>
            </w:r>
            <w:r w:rsidR="00DC4CAC">
              <w:rPr>
                <w:webHidden/>
              </w:rPr>
              <w:instrText xml:space="preserve"> PAGEREF _Toc121213935 \h </w:instrText>
            </w:r>
            <w:r w:rsidR="00DC4CAC">
              <w:rPr>
                <w:webHidden/>
              </w:rPr>
            </w:r>
            <w:r w:rsidR="00DC4CAC">
              <w:rPr>
                <w:webHidden/>
              </w:rPr>
              <w:fldChar w:fldCharType="separate"/>
            </w:r>
            <w:r w:rsidR="00B71F51">
              <w:rPr>
                <w:webHidden/>
              </w:rPr>
              <w:t>11</w:t>
            </w:r>
            <w:r w:rsidR="00DC4CAC">
              <w:rPr>
                <w:webHidden/>
              </w:rPr>
              <w:fldChar w:fldCharType="end"/>
            </w:r>
          </w:hyperlink>
        </w:p>
        <w:p w14:paraId="487B818D" w14:textId="2279C882" w:rsidR="00DC4CAC" w:rsidRDefault="00293A74">
          <w:pPr>
            <w:pStyle w:val="TOC2"/>
            <w:tabs>
              <w:tab w:val="left" w:pos="1320"/>
            </w:tabs>
            <w:rPr>
              <w:rFonts w:asciiTheme="minorHAnsi" w:hAnsiTheme="minorHAnsi" w:cstheme="minorBidi"/>
              <w:color w:val="auto"/>
              <w:sz w:val="22"/>
              <w:szCs w:val="22"/>
              <w:lang w:val="en-US" w:eastAsia="en-US"/>
            </w:rPr>
          </w:pPr>
          <w:hyperlink w:anchor="_Toc121213936" w:history="1">
            <w:r w:rsidR="00DC4CAC" w:rsidRPr="002635FB">
              <w:rPr>
                <w:rStyle w:val="Hyperlink"/>
              </w:rPr>
              <w:t>3.2.</w:t>
            </w:r>
            <w:r w:rsidR="00DC4CAC">
              <w:rPr>
                <w:rFonts w:asciiTheme="minorHAnsi" w:hAnsiTheme="minorHAnsi" w:cstheme="minorBidi"/>
                <w:color w:val="auto"/>
                <w:sz w:val="22"/>
                <w:szCs w:val="22"/>
                <w:lang w:val="en-US" w:eastAsia="en-US"/>
              </w:rPr>
              <w:tab/>
            </w:r>
            <w:r w:rsidR="00DC4CAC" w:rsidRPr="002635FB">
              <w:rPr>
                <w:rStyle w:val="Hyperlink"/>
              </w:rPr>
              <w:t>Island Communities - Population</w:t>
            </w:r>
            <w:r w:rsidR="00DC4CAC">
              <w:rPr>
                <w:webHidden/>
              </w:rPr>
              <w:tab/>
            </w:r>
            <w:r w:rsidR="00DC4CAC">
              <w:rPr>
                <w:webHidden/>
              </w:rPr>
              <w:fldChar w:fldCharType="begin"/>
            </w:r>
            <w:r w:rsidR="00DC4CAC">
              <w:rPr>
                <w:webHidden/>
              </w:rPr>
              <w:instrText xml:space="preserve"> PAGEREF _Toc121213936 \h </w:instrText>
            </w:r>
            <w:r w:rsidR="00DC4CAC">
              <w:rPr>
                <w:webHidden/>
              </w:rPr>
            </w:r>
            <w:r w:rsidR="00DC4CAC">
              <w:rPr>
                <w:webHidden/>
              </w:rPr>
              <w:fldChar w:fldCharType="separate"/>
            </w:r>
            <w:r w:rsidR="00B71F51">
              <w:rPr>
                <w:webHidden/>
              </w:rPr>
              <w:t>11</w:t>
            </w:r>
            <w:r w:rsidR="00DC4CAC">
              <w:rPr>
                <w:webHidden/>
              </w:rPr>
              <w:fldChar w:fldCharType="end"/>
            </w:r>
          </w:hyperlink>
        </w:p>
        <w:p w14:paraId="4525D6D3" w14:textId="70541927" w:rsidR="00DC4CAC" w:rsidRDefault="00293A74">
          <w:pPr>
            <w:pStyle w:val="TOC2"/>
            <w:tabs>
              <w:tab w:val="left" w:pos="1320"/>
            </w:tabs>
            <w:rPr>
              <w:rFonts w:asciiTheme="minorHAnsi" w:hAnsiTheme="minorHAnsi" w:cstheme="minorBidi"/>
              <w:color w:val="auto"/>
              <w:sz w:val="22"/>
              <w:szCs w:val="22"/>
              <w:lang w:val="en-US" w:eastAsia="en-US"/>
            </w:rPr>
          </w:pPr>
          <w:hyperlink w:anchor="_Toc121213937" w:history="1">
            <w:r w:rsidR="00DC4CAC" w:rsidRPr="002635FB">
              <w:rPr>
                <w:rStyle w:val="Hyperlink"/>
              </w:rPr>
              <w:t>3.3.</w:t>
            </w:r>
            <w:r w:rsidR="00DC4CAC">
              <w:rPr>
                <w:rFonts w:asciiTheme="minorHAnsi" w:hAnsiTheme="minorHAnsi" w:cstheme="minorBidi"/>
                <w:color w:val="auto"/>
                <w:sz w:val="22"/>
                <w:szCs w:val="22"/>
                <w:lang w:val="en-US" w:eastAsia="en-US"/>
              </w:rPr>
              <w:tab/>
            </w:r>
            <w:r w:rsidR="00DC4CAC" w:rsidRPr="002635FB">
              <w:rPr>
                <w:rStyle w:val="Hyperlink"/>
              </w:rPr>
              <w:t>Employment, Income and Wealth</w:t>
            </w:r>
            <w:r w:rsidR="00DC4CAC">
              <w:rPr>
                <w:webHidden/>
              </w:rPr>
              <w:tab/>
            </w:r>
            <w:r w:rsidR="00DC4CAC">
              <w:rPr>
                <w:webHidden/>
              </w:rPr>
              <w:fldChar w:fldCharType="begin"/>
            </w:r>
            <w:r w:rsidR="00DC4CAC">
              <w:rPr>
                <w:webHidden/>
              </w:rPr>
              <w:instrText xml:space="preserve"> PAGEREF _Toc121213937 \h </w:instrText>
            </w:r>
            <w:r w:rsidR="00DC4CAC">
              <w:rPr>
                <w:webHidden/>
              </w:rPr>
            </w:r>
            <w:r w:rsidR="00DC4CAC">
              <w:rPr>
                <w:webHidden/>
              </w:rPr>
              <w:fldChar w:fldCharType="separate"/>
            </w:r>
            <w:r w:rsidR="00B71F51">
              <w:rPr>
                <w:webHidden/>
              </w:rPr>
              <w:t>12</w:t>
            </w:r>
            <w:r w:rsidR="00DC4CAC">
              <w:rPr>
                <w:webHidden/>
              </w:rPr>
              <w:fldChar w:fldCharType="end"/>
            </w:r>
          </w:hyperlink>
        </w:p>
        <w:p w14:paraId="57AF41A8" w14:textId="2B35960F" w:rsidR="00DC4CAC" w:rsidRDefault="00293A74">
          <w:pPr>
            <w:pStyle w:val="TOC2"/>
            <w:tabs>
              <w:tab w:val="left" w:pos="1320"/>
            </w:tabs>
            <w:rPr>
              <w:rFonts w:asciiTheme="minorHAnsi" w:hAnsiTheme="minorHAnsi" w:cstheme="minorBidi"/>
              <w:color w:val="auto"/>
              <w:sz w:val="22"/>
              <w:szCs w:val="22"/>
              <w:lang w:val="en-US" w:eastAsia="en-US"/>
            </w:rPr>
          </w:pPr>
          <w:hyperlink w:anchor="_Toc121213938" w:history="1">
            <w:r w:rsidR="00DC4CAC" w:rsidRPr="002635FB">
              <w:rPr>
                <w:rStyle w:val="Hyperlink"/>
              </w:rPr>
              <w:t>3.4.</w:t>
            </w:r>
            <w:r w:rsidR="00DC4CAC">
              <w:rPr>
                <w:rFonts w:asciiTheme="minorHAnsi" w:hAnsiTheme="minorHAnsi" w:cstheme="minorBidi"/>
                <w:color w:val="auto"/>
                <w:sz w:val="22"/>
                <w:szCs w:val="22"/>
                <w:lang w:val="en-US" w:eastAsia="en-US"/>
              </w:rPr>
              <w:tab/>
            </w:r>
            <w:r w:rsidR="00DC4CAC" w:rsidRPr="002635FB">
              <w:rPr>
                <w:rStyle w:val="Hyperlink"/>
              </w:rPr>
              <w:t>Education and Skills</w:t>
            </w:r>
            <w:r w:rsidR="00DC4CAC">
              <w:rPr>
                <w:webHidden/>
              </w:rPr>
              <w:tab/>
            </w:r>
            <w:r w:rsidR="00DC4CAC">
              <w:rPr>
                <w:webHidden/>
              </w:rPr>
              <w:fldChar w:fldCharType="begin"/>
            </w:r>
            <w:r w:rsidR="00DC4CAC">
              <w:rPr>
                <w:webHidden/>
              </w:rPr>
              <w:instrText xml:space="preserve"> PAGEREF _Toc121213938 \h </w:instrText>
            </w:r>
            <w:r w:rsidR="00DC4CAC">
              <w:rPr>
                <w:webHidden/>
              </w:rPr>
            </w:r>
            <w:r w:rsidR="00DC4CAC">
              <w:rPr>
                <w:webHidden/>
              </w:rPr>
              <w:fldChar w:fldCharType="separate"/>
            </w:r>
            <w:r w:rsidR="00B71F51">
              <w:rPr>
                <w:webHidden/>
              </w:rPr>
              <w:t>12</w:t>
            </w:r>
            <w:r w:rsidR="00DC4CAC">
              <w:rPr>
                <w:webHidden/>
              </w:rPr>
              <w:fldChar w:fldCharType="end"/>
            </w:r>
          </w:hyperlink>
        </w:p>
        <w:p w14:paraId="79769E2C" w14:textId="10520F24" w:rsidR="00DC4CAC" w:rsidRDefault="00293A74">
          <w:pPr>
            <w:pStyle w:val="TOC2"/>
            <w:tabs>
              <w:tab w:val="left" w:pos="1320"/>
            </w:tabs>
            <w:rPr>
              <w:rFonts w:asciiTheme="minorHAnsi" w:hAnsiTheme="minorHAnsi" w:cstheme="minorBidi"/>
              <w:color w:val="auto"/>
              <w:sz w:val="22"/>
              <w:szCs w:val="22"/>
              <w:lang w:val="en-US" w:eastAsia="en-US"/>
            </w:rPr>
          </w:pPr>
          <w:hyperlink w:anchor="_Toc121213939" w:history="1">
            <w:r w:rsidR="00DC4CAC" w:rsidRPr="002635FB">
              <w:rPr>
                <w:rStyle w:val="Hyperlink"/>
              </w:rPr>
              <w:t>3.5.</w:t>
            </w:r>
            <w:r w:rsidR="00DC4CAC">
              <w:rPr>
                <w:rFonts w:asciiTheme="minorHAnsi" w:hAnsiTheme="minorHAnsi" w:cstheme="minorBidi"/>
                <w:color w:val="auto"/>
                <w:sz w:val="22"/>
                <w:szCs w:val="22"/>
                <w:lang w:val="en-US" w:eastAsia="en-US"/>
              </w:rPr>
              <w:tab/>
            </w:r>
            <w:r w:rsidR="00DC4CAC" w:rsidRPr="002635FB">
              <w:rPr>
                <w:rStyle w:val="Hyperlink"/>
              </w:rPr>
              <w:t>Health and Health Inequality</w:t>
            </w:r>
            <w:r w:rsidR="00DC4CAC">
              <w:rPr>
                <w:webHidden/>
              </w:rPr>
              <w:tab/>
            </w:r>
            <w:r w:rsidR="00DC4CAC">
              <w:rPr>
                <w:webHidden/>
              </w:rPr>
              <w:fldChar w:fldCharType="begin"/>
            </w:r>
            <w:r w:rsidR="00DC4CAC">
              <w:rPr>
                <w:webHidden/>
              </w:rPr>
              <w:instrText xml:space="preserve"> PAGEREF _Toc121213939 \h </w:instrText>
            </w:r>
            <w:r w:rsidR="00DC4CAC">
              <w:rPr>
                <w:webHidden/>
              </w:rPr>
            </w:r>
            <w:r w:rsidR="00DC4CAC">
              <w:rPr>
                <w:webHidden/>
              </w:rPr>
              <w:fldChar w:fldCharType="separate"/>
            </w:r>
            <w:r w:rsidR="00B71F51">
              <w:rPr>
                <w:webHidden/>
              </w:rPr>
              <w:t>13</w:t>
            </w:r>
            <w:r w:rsidR="00DC4CAC">
              <w:rPr>
                <w:webHidden/>
              </w:rPr>
              <w:fldChar w:fldCharType="end"/>
            </w:r>
          </w:hyperlink>
        </w:p>
        <w:p w14:paraId="569EFD83" w14:textId="37DC6BB7" w:rsidR="00DC4CAC" w:rsidRDefault="00293A74">
          <w:pPr>
            <w:pStyle w:val="TOC2"/>
            <w:tabs>
              <w:tab w:val="left" w:pos="1320"/>
            </w:tabs>
            <w:rPr>
              <w:rFonts w:asciiTheme="minorHAnsi" w:hAnsiTheme="minorHAnsi" w:cstheme="minorBidi"/>
              <w:color w:val="auto"/>
              <w:sz w:val="22"/>
              <w:szCs w:val="22"/>
              <w:lang w:val="en-US" w:eastAsia="en-US"/>
            </w:rPr>
          </w:pPr>
          <w:hyperlink w:anchor="_Toc121213940" w:history="1">
            <w:r w:rsidR="00DC4CAC" w:rsidRPr="002635FB">
              <w:rPr>
                <w:rStyle w:val="Hyperlink"/>
              </w:rPr>
              <w:t>3.6.</w:t>
            </w:r>
            <w:r w:rsidR="00DC4CAC">
              <w:rPr>
                <w:rFonts w:asciiTheme="minorHAnsi" w:hAnsiTheme="minorHAnsi" w:cstheme="minorBidi"/>
                <w:color w:val="auto"/>
                <w:sz w:val="22"/>
                <w:szCs w:val="22"/>
                <w:lang w:val="en-US" w:eastAsia="en-US"/>
              </w:rPr>
              <w:tab/>
            </w:r>
            <w:r w:rsidR="00DC4CAC" w:rsidRPr="002635FB">
              <w:rPr>
                <w:rStyle w:val="Hyperlink"/>
              </w:rPr>
              <w:t>Transport Accessibility and Connectivity</w:t>
            </w:r>
            <w:r w:rsidR="00DC4CAC">
              <w:rPr>
                <w:webHidden/>
              </w:rPr>
              <w:tab/>
            </w:r>
            <w:r w:rsidR="00DC4CAC">
              <w:rPr>
                <w:webHidden/>
              </w:rPr>
              <w:fldChar w:fldCharType="begin"/>
            </w:r>
            <w:r w:rsidR="00DC4CAC">
              <w:rPr>
                <w:webHidden/>
              </w:rPr>
              <w:instrText xml:space="preserve"> PAGEREF _Toc121213940 \h </w:instrText>
            </w:r>
            <w:r w:rsidR="00DC4CAC">
              <w:rPr>
                <w:webHidden/>
              </w:rPr>
            </w:r>
            <w:r w:rsidR="00DC4CAC">
              <w:rPr>
                <w:webHidden/>
              </w:rPr>
              <w:fldChar w:fldCharType="separate"/>
            </w:r>
            <w:r w:rsidR="00B71F51">
              <w:rPr>
                <w:webHidden/>
              </w:rPr>
              <w:t>13</w:t>
            </w:r>
            <w:r w:rsidR="00DC4CAC">
              <w:rPr>
                <w:webHidden/>
              </w:rPr>
              <w:fldChar w:fldCharType="end"/>
            </w:r>
          </w:hyperlink>
        </w:p>
        <w:p w14:paraId="2C706A6D" w14:textId="5CB2490A" w:rsidR="00DC4CAC" w:rsidRDefault="00293A74">
          <w:pPr>
            <w:pStyle w:val="TOC2"/>
            <w:tabs>
              <w:tab w:val="left" w:pos="1320"/>
            </w:tabs>
            <w:rPr>
              <w:rFonts w:asciiTheme="minorHAnsi" w:hAnsiTheme="minorHAnsi" w:cstheme="minorBidi"/>
              <w:color w:val="auto"/>
              <w:sz w:val="22"/>
              <w:szCs w:val="22"/>
              <w:lang w:val="en-US" w:eastAsia="en-US"/>
            </w:rPr>
          </w:pPr>
          <w:hyperlink w:anchor="_Toc121213941" w:history="1">
            <w:r w:rsidR="00DC4CAC" w:rsidRPr="002635FB">
              <w:rPr>
                <w:rStyle w:val="Hyperlink"/>
              </w:rPr>
              <w:t>3.7.</w:t>
            </w:r>
            <w:r w:rsidR="00DC4CAC">
              <w:rPr>
                <w:rFonts w:asciiTheme="minorHAnsi" w:hAnsiTheme="minorHAnsi" w:cstheme="minorBidi"/>
                <w:color w:val="auto"/>
                <w:sz w:val="22"/>
                <w:szCs w:val="22"/>
                <w:lang w:val="en-US" w:eastAsia="en-US"/>
              </w:rPr>
              <w:tab/>
            </w:r>
            <w:r w:rsidR="00DC4CAC" w:rsidRPr="002635FB">
              <w:rPr>
                <w:rStyle w:val="Hyperlink"/>
              </w:rPr>
              <w:t>Variation across Island Communities compared to Scotland</w:t>
            </w:r>
            <w:r w:rsidR="00DC4CAC">
              <w:rPr>
                <w:webHidden/>
              </w:rPr>
              <w:tab/>
            </w:r>
            <w:r w:rsidR="00DC4CAC">
              <w:rPr>
                <w:webHidden/>
              </w:rPr>
              <w:fldChar w:fldCharType="begin"/>
            </w:r>
            <w:r w:rsidR="00DC4CAC">
              <w:rPr>
                <w:webHidden/>
              </w:rPr>
              <w:instrText xml:space="preserve"> PAGEREF _Toc121213941 \h </w:instrText>
            </w:r>
            <w:r w:rsidR="00DC4CAC">
              <w:rPr>
                <w:webHidden/>
              </w:rPr>
            </w:r>
            <w:r w:rsidR="00DC4CAC">
              <w:rPr>
                <w:webHidden/>
              </w:rPr>
              <w:fldChar w:fldCharType="separate"/>
            </w:r>
            <w:r w:rsidR="00B71F51">
              <w:rPr>
                <w:webHidden/>
              </w:rPr>
              <w:t>14</w:t>
            </w:r>
            <w:r w:rsidR="00DC4CAC">
              <w:rPr>
                <w:webHidden/>
              </w:rPr>
              <w:fldChar w:fldCharType="end"/>
            </w:r>
          </w:hyperlink>
        </w:p>
        <w:p w14:paraId="6FAF9749" w14:textId="739BC963" w:rsidR="00DC4CAC" w:rsidRDefault="00293A74">
          <w:pPr>
            <w:pStyle w:val="TOC1"/>
            <w:rPr>
              <w:rFonts w:asciiTheme="minorHAnsi" w:hAnsiTheme="minorHAnsi" w:cstheme="minorBidi"/>
              <w:b w:val="0"/>
              <w:color w:val="auto"/>
              <w:sz w:val="22"/>
              <w:szCs w:val="22"/>
              <w:lang w:val="en-US" w:eastAsia="en-US"/>
            </w:rPr>
          </w:pPr>
          <w:hyperlink w:anchor="_Toc121213942" w:history="1">
            <w:r w:rsidR="00DC4CAC" w:rsidRPr="002635FB">
              <w:rPr>
                <w:rStyle w:val="Hyperlink"/>
              </w:rPr>
              <w:t>4.</w:t>
            </w:r>
            <w:r w:rsidR="00DC4CAC">
              <w:rPr>
                <w:rFonts w:asciiTheme="minorHAnsi" w:hAnsiTheme="minorHAnsi" w:cstheme="minorBidi"/>
                <w:b w:val="0"/>
                <w:color w:val="auto"/>
                <w:sz w:val="22"/>
                <w:szCs w:val="22"/>
                <w:lang w:val="en-US" w:eastAsia="en-US"/>
              </w:rPr>
              <w:tab/>
            </w:r>
            <w:r w:rsidR="00DC4CAC" w:rsidRPr="002635FB">
              <w:rPr>
                <w:rStyle w:val="Hyperlink"/>
              </w:rPr>
              <w:t>Engagement</w:t>
            </w:r>
            <w:r w:rsidR="00DC4CAC">
              <w:rPr>
                <w:webHidden/>
              </w:rPr>
              <w:tab/>
            </w:r>
            <w:r w:rsidR="00DC4CAC">
              <w:rPr>
                <w:webHidden/>
              </w:rPr>
              <w:fldChar w:fldCharType="begin"/>
            </w:r>
            <w:r w:rsidR="00DC4CAC">
              <w:rPr>
                <w:webHidden/>
              </w:rPr>
              <w:instrText xml:space="preserve"> PAGEREF _Toc121213942 \h </w:instrText>
            </w:r>
            <w:r w:rsidR="00DC4CAC">
              <w:rPr>
                <w:webHidden/>
              </w:rPr>
            </w:r>
            <w:r w:rsidR="00DC4CAC">
              <w:rPr>
                <w:webHidden/>
              </w:rPr>
              <w:fldChar w:fldCharType="separate"/>
            </w:r>
            <w:r w:rsidR="00B71F51">
              <w:rPr>
                <w:webHidden/>
              </w:rPr>
              <w:t>18</w:t>
            </w:r>
            <w:r w:rsidR="00DC4CAC">
              <w:rPr>
                <w:webHidden/>
              </w:rPr>
              <w:fldChar w:fldCharType="end"/>
            </w:r>
          </w:hyperlink>
        </w:p>
        <w:p w14:paraId="3E4BB47F" w14:textId="5533F7BF" w:rsidR="00DC4CAC" w:rsidRDefault="00293A74">
          <w:pPr>
            <w:pStyle w:val="TOC2"/>
            <w:tabs>
              <w:tab w:val="left" w:pos="1320"/>
            </w:tabs>
            <w:rPr>
              <w:rFonts w:asciiTheme="minorHAnsi" w:hAnsiTheme="minorHAnsi" w:cstheme="minorBidi"/>
              <w:color w:val="auto"/>
              <w:sz w:val="22"/>
              <w:szCs w:val="22"/>
              <w:lang w:val="en-US" w:eastAsia="en-US"/>
            </w:rPr>
          </w:pPr>
          <w:hyperlink w:anchor="_Toc121213943" w:history="1">
            <w:r w:rsidR="00DC4CAC" w:rsidRPr="002635FB">
              <w:rPr>
                <w:rStyle w:val="Hyperlink"/>
              </w:rPr>
              <w:t>4.1.</w:t>
            </w:r>
            <w:r w:rsidR="00DC4CAC">
              <w:rPr>
                <w:rFonts w:asciiTheme="minorHAnsi" w:hAnsiTheme="minorHAnsi" w:cstheme="minorBidi"/>
                <w:color w:val="auto"/>
                <w:sz w:val="22"/>
                <w:szCs w:val="22"/>
                <w:lang w:val="en-US" w:eastAsia="en-US"/>
              </w:rPr>
              <w:tab/>
            </w:r>
            <w:r w:rsidR="00DC4CAC" w:rsidRPr="002635FB">
              <w:rPr>
                <w:rStyle w:val="Hyperlink"/>
              </w:rPr>
              <w:t>Overview</w:t>
            </w:r>
            <w:r w:rsidR="00DC4CAC">
              <w:rPr>
                <w:webHidden/>
              </w:rPr>
              <w:tab/>
            </w:r>
            <w:r w:rsidR="00DC4CAC">
              <w:rPr>
                <w:webHidden/>
              </w:rPr>
              <w:fldChar w:fldCharType="begin"/>
            </w:r>
            <w:r w:rsidR="00DC4CAC">
              <w:rPr>
                <w:webHidden/>
              </w:rPr>
              <w:instrText xml:space="preserve"> PAGEREF _Toc121213943 \h </w:instrText>
            </w:r>
            <w:r w:rsidR="00DC4CAC">
              <w:rPr>
                <w:webHidden/>
              </w:rPr>
            </w:r>
            <w:r w:rsidR="00DC4CAC">
              <w:rPr>
                <w:webHidden/>
              </w:rPr>
              <w:fldChar w:fldCharType="separate"/>
            </w:r>
            <w:r w:rsidR="00B71F51">
              <w:rPr>
                <w:webHidden/>
              </w:rPr>
              <w:t>18</w:t>
            </w:r>
            <w:r w:rsidR="00DC4CAC">
              <w:rPr>
                <w:webHidden/>
              </w:rPr>
              <w:fldChar w:fldCharType="end"/>
            </w:r>
          </w:hyperlink>
        </w:p>
        <w:p w14:paraId="7958320B" w14:textId="2BDD16E9" w:rsidR="00DC4CAC" w:rsidRDefault="00293A74">
          <w:pPr>
            <w:pStyle w:val="TOC2"/>
            <w:tabs>
              <w:tab w:val="left" w:pos="1320"/>
            </w:tabs>
            <w:rPr>
              <w:rFonts w:asciiTheme="minorHAnsi" w:hAnsiTheme="minorHAnsi" w:cstheme="minorBidi"/>
              <w:color w:val="auto"/>
              <w:sz w:val="22"/>
              <w:szCs w:val="22"/>
              <w:lang w:val="en-US" w:eastAsia="en-US"/>
            </w:rPr>
          </w:pPr>
          <w:hyperlink w:anchor="_Toc121213944" w:history="1">
            <w:r w:rsidR="00DC4CAC" w:rsidRPr="002635FB">
              <w:rPr>
                <w:rStyle w:val="Hyperlink"/>
              </w:rPr>
              <w:t>4.2.</w:t>
            </w:r>
            <w:r w:rsidR="00DC4CAC">
              <w:rPr>
                <w:rFonts w:asciiTheme="minorHAnsi" w:hAnsiTheme="minorHAnsi" w:cstheme="minorBidi"/>
                <w:color w:val="auto"/>
                <w:sz w:val="22"/>
                <w:szCs w:val="22"/>
                <w:lang w:val="en-US" w:eastAsia="en-US"/>
              </w:rPr>
              <w:tab/>
            </w:r>
            <w:r w:rsidR="00DC4CAC" w:rsidRPr="002635FB">
              <w:rPr>
                <w:rStyle w:val="Hyperlink"/>
                <w:shd w:val="clear" w:color="auto" w:fill="FFFFFF"/>
              </w:rPr>
              <w:t>Stakeholder Engagement Activities</w:t>
            </w:r>
            <w:r w:rsidR="00DC4CAC">
              <w:rPr>
                <w:webHidden/>
              </w:rPr>
              <w:tab/>
            </w:r>
            <w:r w:rsidR="00DC4CAC">
              <w:rPr>
                <w:webHidden/>
              </w:rPr>
              <w:fldChar w:fldCharType="begin"/>
            </w:r>
            <w:r w:rsidR="00DC4CAC">
              <w:rPr>
                <w:webHidden/>
              </w:rPr>
              <w:instrText xml:space="preserve"> PAGEREF _Toc121213944 \h </w:instrText>
            </w:r>
            <w:r w:rsidR="00DC4CAC">
              <w:rPr>
                <w:webHidden/>
              </w:rPr>
            </w:r>
            <w:r w:rsidR="00DC4CAC">
              <w:rPr>
                <w:webHidden/>
              </w:rPr>
              <w:fldChar w:fldCharType="separate"/>
            </w:r>
            <w:r w:rsidR="00B71F51">
              <w:rPr>
                <w:webHidden/>
              </w:rPr>
              <w:t>18</w:t>
            </w:r>
            <w:r w:rsidR="00DC4CAC">
              <w:rPr>
                <w:webHidden/>
              </w:rPr>
              <w:fldChar w:fldCharType="end"/>
            </w:r>
          </w:hyperlink>
        </w:p>
        <w:p w14:paraId="4784BBE5" w14:textId="230A6764" w:rsidR="00DC4CAC" w:rsidRDefault="00293A74">
          <w:pPr>
            <w:pStyle w:val="TOC2"/>
            <w:tabs>
              <w:tab w:val="left" w:pos="1320"/>
            </w:tabs>
            <w:rPr>
              <w:rFonts w:asciiTheme="minorHAnsi" w:hAnsiTheme="minorHAnsi" w:cstheme="minorBidi"/>
              <w:color w:val="auto"/>
              <w:sz w:val="22"/>
              <w:szCs w:val="22"/>
              <w:lang w:val="en-US" w:eastAsia="en-US"/>
            </w:rPr>
          </w:pPr>
          <w:hyperlink w:anchor="_Toc121213945" w:history="1">
            <w:r w:rsidR="00DC4CAC" w:rsidRPr="002635FB">
              <w:rPr>
                <w:rStyle w:val="Hyperlink"/>
              </w:rPr>
              <w:t>4.3.</w:t>
            </w:r>
            <w:r w:rsidR="00DC4CAC">
              <w:rPr>
                <w:rFonts w:asciiTheme="minorHAnsi" w:hAnsiTheme="minorHAnsi" w:cstheme="minorBidi"/>
                <w:color w:val="auto"/>
                <w:sz w:val="22"/>
                <w:szCs w:val="22"/>
                <w:lang w:val="en-US" w:eastAsia="en-US"/>
              </w:rPr>
              <w:tab/>
            </w:r>
            <w:r w:rsidR="00DC4CAC" w:rsidRPr="002635FB">
              <w:rPr>
                <w:rStyle w:val="Hyperlink"/>
              </w:rPr>
              <w:t>Statutory Consultation</w:t>
            </w:r>
            <w:r w:rsidR="00DC4CAC">
              <w:rPr>
                <w:webHidden/>
              </w:rPr>
              <w:tab/>
            </w:r>
            <w:r w:rsidR="00DC4CAC">
              <w:rPr>
                <w:webHidden/>
              </w:rPr>
              <w:fldChar w:fldCharType="begin"/>
            </w:r>
            <w:r w:rsidR="00DC4CAC">
              <w:rPr>
                <w:webHidden/>
              </w:rPr>
              <w:instrText xml:space="preserve"> PAGEREF _Toc121213945 \h </w:instrText>
            </w:r>
            <w:r w:rsidR="00DC4CAC">
              <w:rPr>
                <w:webHidden/>
              </w:rPr>
            </w:r>
            <w:r w:rsidR="00DC4CAC">
              <w:rPr>
                <w:webHidden/>
              </w:rPr>
              <w:fldChar w:fldCharType="separate"/>
            </w:r>
            <w:r w:rsidR="00B71F51">
              <w:rPr>
                <w:webHidden/>
              </w:rPr>
              <w:t>19</w:t>
            </w:r>
            <w:r w:rsidR="00DC4CAC">
              <w:rPr>
                <w:webHidden/>
              </w:rPr>
              <w:fldChar w:fldCharType="end"/>
            </w:r>
          </w:hyperlink>
        </w:p>
        <w:p w14:paraId="4A29093F" w14:textId="1B083B66" w:rsidR="00DC4CAC" w:rsidRDefault="00293A74">
          <w:pPr>
            <w:pStyle w:val="TOC1"/>
            <w:rPr>
              <w:rFonts w:asciiTheme="minorHAnsi" w:hAnsiTheme="minorHAnsi" w:cstheme="minorBidi"/>
              <w:b w:val="0"/>
              <w:color w:val="auto"/>
              <w:sz w:val="22"/>
              <w:szCs w:val="22"/>
              <w:lang w:val="en-US" w:eastAsia="en-US"/>
            </w:rPr>
          </w:pPr>
          <w:hyperlink w:anchor="_Toc121213946" w:history="1">
            <w:r w:rsidR="00DC4CAC" w:rsidRPr="002635FB">
              <w:rPr>
                <w:rStyle w:val="Hyperlink"/>
              </w:rPr>
              <w:t>5.</w:t>
            </w:r>
            <w:r w:rsidR="00DC4CAC">
              <w:rPr>
                <w:rFonts w:asciiTheme="minorHAnsi" w:hAnsiTheme="minorHAnsi" w:cstheme="minorBidi"/>
                <w:b w:val="0"/>
                <w:color w:val="auto"/>
                <w:sz w:val="22"/>
                <w:szCs w:val="22"/>
                <w:lang w:val="en-US" w:eastAsia="en-US"/>
              </w:rPr>
              <w:tab/>
            </w:r>
            <w:r w:rsidR="00DC4CAC" w:rsidRPr="002635FB">
              <w:rPr>
                <w:rStyle w:val="Hyperlink"/>
              </w:rPr>
              <w:t>Approach to the Assessment</w:t>
            </w:r>
            <w:r w:rsidR="00DC4CAC">
              <w:rPr>
                <w:webHidden/>
              </w:rPr>
              <w:tab/>
            </w:r>
            <w:r w:rsidR="00DC4CAC">
              <w:rPr>
                <w:webHidden/>
              </w:rPr>
              <w:fldChar w:fldCharType="begin"/>
            </w:r>
            <w:r w:rsidR="00DC4CAC">
              <w:rPr>
                <w:webHidden/>
              </w:rPr>
              <w:instrText xml:space="preserve"> PAGEREF _Toc121213946 \h </w:instrText>
            </w:r>
            <w:r w:rsidR="00DC4CAC">
              <w:rPr>
                <w:webHidden/>
              </w:rPr>
            </w:r>
            <w:r w:rsidR="00DC4CAC">
              <w:rPr>
                <w:webHidden/>
              </w:rPr>
              <w:fldChar w:fldCharType="separate"/>
            </w:r>
            <w:r w:rsidR="00B71F51">
              <w:rPr>
                <w:webHidden/>
              </w:rPr>
              <w:t>21</w:t>
            </w:r>
            <w:r w:rsidR="00DC4CAC">
              <w:rPr>
                <w:webHidden/>
              </w:rPr>
              <w:fldChar w:fldCharType="end"/>
            </w:r>
          </w:hyperlink>
        </w:p>
        <w:p w14:paraId="2354938D" w14:textId="6E2EECC6" w:rsidR="00DC4CAC" w:rsidRDefault="00293A74">
          <w:pPr>
            <w:pStyle w:val="TOC2"/>
            <w:tabs>
              <w:tab w:val="left" w:pos="1320"/>
            </w:tabs>
            <w:rPr>
              <w:rFonts w:asciiTheme="minorHAnsi" w:hAnsiTheme="minorHAnsi" w:cstheme="minorBidi"/>
              <w:color w:val="auto"/>
              <w:sz w:val="22"/>
              <w:szCs w:val="22"/>
              <w:lang w:val="en-US" w:eastAsia="en-US"/>
            </w:rPr>
          </w:pPr>
          <w:hyperlink w:anchor="_Toc121213947" w:history="1">
            <w:r w:rsidR="00DC4CAC" w:rsidRPr="002635FB">
              <w:rPr>
                <w:rStyle w:val="Hyperlink"/>
              </w:rPr>
              <w:t>5.1.</w:t>
            </w:r>
            <w:r w:rsidR="00DC4CAC">
              <w:rPr>
                <w:rFonts w:asciiTheme="minorHAnsi" w:hAnsiTheme="minorHAnsi" w:cstheme="minorBidi"/>
                <w:color w:val="auto"/>
                <w:sz w:val="22"/>
                <w:szCs w:val="22"/>
                <w:lang w:val="en-US" w:eastAsia="en-US"/>
              </w:rPr>
              <w:tab/>
            </w:r>
            <w:r w:rsidR="00DC4CAC" w:rsidRPr="002635FB">
              <w:rPr>
                <w:rStyle w:val="Hyperlink"/>
              </w:rPr>
              <w:t>Assessment Overview</w:t>
            </w:r>
            <w:r w:rsidR="00DC4CAC">
              <w:rPr>
                <w:webHidden/>
              </w:rPr>
              <w:tab/>
            </w:r>
            <w:r w:rsidR="00DC4CAC">
              <w:rPr>
                <w:webHidden/>
              </w:rPr>
              <w:fldChar w:fldCharType="begin"/>
            </w:r>
            <w:r w:rsidR="00DC4CAC">
              <w:rPr>
                <w:webHidden/>
              </w:rPr>
              <w:instrText xml:space="preserve"> PAGEREF _Toc121213947 \h </w:instrText>
            </w:r>
            <w:r w:rsidR="00DC4CAC">
              <w:rPr>
                <w:webHidden/>
              </w:rPr>
            </w:r>
            <w:r w:rsidR="00DC4CAC">
              <w:rPr>
                <w:webHidden/>
              </w:rPr>
              <w:fldChar w:fldCharType="separate"/>
            </w:r>
            <w:r w:rsidR="00B71F51">
              <w:rPr>
                <w:webHidden/>
              </w:rPr>
              <w:t>21</w:t>
            </w:r>
            <w:r w:rsidR="00DC4CAC">
              <w:rPr>
                <w:webHidden/>
              </w:rPr>
              <w:fldChar w:fldCharType="end"/>
            </w:r>
          </w:hyperlink>
        </w:p>
        <w:p w14:paraId="7EAD3DA5" w14:textId="07C96DB9" w:rsidR="00DC4CAC" w:rsidRDefault="00293A74">
          <w:pPr>
            <w:pStyle w:val="TOC2"/>
            <w:tabs>
              <w:tab w:val="left" w:pos="1320"/>
            </w:tabs>
            <w:rPr>
              <w:rFonts w:asciiTheme="minorHAnsi" w:hAnsiTheme="minorHAnsi" w:cstheme="minorBidi"/>
              <w:color w:val="auto"/>
              <w:sz w:val="22"/>
              <w:szCs w:val="22"/>
              <w:lang w:val="en-US" w:eastAsia="en-US"/>
            </w:rPr>
          </w:pPr>
          <w:hyperlink w:anchor="_Toc121213948" w:history="1">
            <w:r w:rsidR="00DC4CAC" w:rsidRPr="002635FB">
              <w:rPr>
                <w:rStyle w:val="Hyperlink"/>
              </w:rPr>
              <w:t>5.2.</w:t>
            </w:r>
            <w:r w:rsidR="00DC4CAC">
              <w:rPr>
                <w:rFonts w:asciiTheme="minorHAnsi" w:hAnsiTheme="minorHAnsi" w:cstheme="minorBidi"/>
                <w:color w:val="auto"/>
                <w:sz w:val="22"/>
                <w:szCs w:val="22"/>
                <w:lang w:val="en-US" w:eastAsia="en-US"/>
              </w:rPr>
              <w:tab/>
            </w:r>
            <w:r w:rsidR="00DC4CAC" w:rsidRPr="002635FB">
              <w:rPr>
                <w:rStyle w:val="Hyperlink"/>
              </w:rPr>
              <w:t>STPR2 ICIA Topic and Objective</w:t>
            </w:r>
            <w:r w:rsidR="00DC4CAC">
              <w:rPr>
                <w:webHidden/>
              </w:rPr>
              <w:tab/>
            </w:r>
            <w:r w:rsidR="00DC4CAC">
              <w:rPr>
                <w:webHidden/>
              </w:rPr>
              <w:fldChar w:fldCharType="begin"/>
            </w:r>
            <w:r w:rsidR="00DC4CAC">
              <w:rPr>
                <w:webHidden/>
              </w:rPr>
              <w:instrText xml:space="preserve"> PAGEREF _Toc121213948 \h </w:instrText>
            </w:r>
            <w:r w:rsidR="00DC4CAC">
              <w:rPr>
                <w:webHidden/>
              </w:rPr>
            </w:r>
            <w:r w:rsidR="00DC4CAC">
              <w:rPr>
                <w:webHidden/>
              </w:rPr>
              <w:fldChar w:fldCharType="separate"/>
            </w:r>
            <w:r w:rsidR="00B71F51">
              <w:rPr>
                <w:webHidden/>
              </w:rPr>
              <w:t>22</w:t>
            </w:r>
            <w:r w:rsidR="00DC4CAC">
              <w:rPr>
                <w:webHidden/>
              </w:rPr>
              <w:fldChar w:fldCharType="end"/>
            </w:r>
          </w:hyperlink>
        </w:p>
        <w:p w14:paraId="5722D056" w14:textId="1FD3ECDC" w:rsidR="00DC4CAC" w:rsidRDefault="00293A74">
          <w:pPr>
            <w:pStyle w:val="TOC2"/>
            <w:tabs>
              <w:tab w:val="left" w:pos="1320"/>
            </w:tabs>
            <w:rPr>
              <w:rFonts w:asciiTheme="minorHAnsi" w:hAnsiTheme="minorHAnsi" w:cstheme="minorBidi"/>
              <w:color w:val="auto"/>
              <w:sz w:val="22"/>
              <w:szCs w:val="22"/>
              <w:lang w:val="en-US" w:eastAsia="en-US"/>
            </w:rPr>
          </w:pPr>
          <w:hyperlink w:anchor="_Toc121213949" w:history="1">
            <w:r w:rsidR="00DC4CAC" w:rsidRPr="002635FB">
              <w:rPr>
                <w:rStyle w:val="Hyperlink"/>
              </w:rPr>
              <w:t>5.3.</w:t>
            </w:r>
            <w:r w:rsidR="00DC4CAC">
              <w:rPr>
                <w:rFonts w:asciiTheme="minorHAnsi" w:hAnsiTheme="minorHAnsi" w:cstheme="minorBidi"/>
                <w:color w:val="auto"/>
                <w:sz w:val="22"/>
                <w:szCs w:val="22"/>
                <w:lang w:val="en-US" w:eastAsia="en-US"/>
              </w:rPr>
              <w:tab/>
            </w:r>
            <w:r w:rsidR="00DC4CAC" w:rsidRPr="002635FB">
              <w:rPr>
                <w:rStyle w:val="Hyperlink"/>
              </w:rPr>
              <w:t>Matrix Approach</w:t>
            </w:r>
            <w:r w:rsidR="00DC4CAC">
              <w:rPr>
                <w:webHidden/>
              </w:rPr>
              <w:tab/>
            </w:r>
            <w:r w:rsidR="00DC4CAC">
              <w:rPr>
                <w:webHidden/>
              </w:rPr>
              <w:fldChar w:fldCharType="begin"/>
            </w:r>
            <w:r w:rsidR="00DC4CAC">
              <w:rPr>
                <w:webHidden/>
              </w:rPr>
              <w:instrText xml:space="preserve"> PAGEREF _Toc121213949 \h </w:instrText>
            </w:r>
            <w:r w:rsidR="00DC4CAC">
              <w:rPr>
                <w:webHidden/>
              </w:rPr>
            </w:r>
            <w:r w:rsidR="00DC4CAC">
              <w:rPr>
                <w:webHidden/>
              </w:rPr>
              <w:fldChar w:fldCharType="separate"/>
            </w:r>
            <w:r w:rsidR="00B71F51">
              <w:rPr>
                <w:webHidden/>
              </w:rPr>
              <w:t>22</w:t>
            </w:r>
            <w:r w:rsidR="00DC4CAC">
              <w:rPr>
                <w:webHidden/>
              </w:rPr>
              <w:fldChar w:fldCharType="end"/>
            </w:r>
          </w:hyperlink>
        </w:p>
        <w:p w14:paraId="6D9F5492" w14:textId="49E35826" w:rsidR="00DC4CAC" w:rsidRDefault="00293A74">
          <w:pPr>
            <w:pStyle w:val="TOC1"/>
            <w:rPr>
              <w:rFonts w:asciiTheme="minorHAnsi" w:hAnsiTheme="minorHAnsi" w:cstheme="minorBidi"/>
              <w:b w:val="0"/>
              <w:color w:val="auto"/>
              <w:sz w:val="22"/>
              <w:szCs w:val="22"/>
              <w:lang w:val="en-US" w:eastAsia="en-US"/>
            </w:rPr>
          </w:pPr>
          <w:hyperlink w:anchor="_Toc121213950" w:history="1">
            <w:r w:rsidR="00DC4CAC" w:rsidRPr="002635FB">
              <w:rPr>
                <w:rStyle w:val="Hyperlink"/>
              </w:rPr>
              <w:t>6.</w:t>
            </w:r>
            <w:r w:rsidR="00DC4CAC">
              <w:rPr>
                <w:rFonts w:asciiTheme="minorHAnsi" w:hAnsiTheme="minorHAnsi" w:cstheme="minorBidi"/>
                <w:b w:val="0"/>
                <w:color w:val="auto"/>
                <w:sz w:val="22"/>
                <w:szCs w:val="22"/>
                <w:lang w:val="en-US" w:eastAsia="en-US"/>
              </w:rPr>
              <w:tab/>
            </w:r>
            <w:r w:rsidR="00DC4CAC" w:rsidRPr="002635FB">
              <w:rPr>
                <w:rStyle w:val="Hyperlink"/>
              </w:rPr>
              <w:t>Assessment of Impacts</w:t>
            </w:r>
            <w:r w:rsidR="00DC4CAC">
              <w:rPr>
                <w:webHidden/>
              </w:rPr>
              <w:tab/>
            </w:r>
            <w:r w:rsidR="00DC4CAC">
              <w:rPr>
                <w:webHidden/>
              </w:rPr>
              <w:fldChar w:fldCharType="begin"/>
            </w:r>
            <w:r w:rsidR="00DC4CAC">
              <w:rPr>
                <w:webHidden/>
              </w:rPr>
              <w:instrText xml:space="preserve"> PAGEREF _Toc121213950 \h </w:instrText>
            </w:r>
            <w:r w:rsidR="00DC4CAC">
              <w:rPr>
                <w:webHidden/>
              </w:rPr>
            </w:r>
            <w:r w:rsidR="00DC4CAC">
              <w:rPr>
                <w:webHidden/>
              </w:rPr>
              <w:fldChar w:fldCharType="separate"/>
            </w:r>
            <w:r w:rsidR="00B71F51">
              <w:rPr>
                <w:webHidden/>
              </w:rPr>
              <w:t>24</w:t>
            </w:r>
            <w:r w:rsidR="00DC4CAC">
              <w:rPr>
                <w:webHidden/>
              </w:rPr>
              <w:fldChar w:fldCharType="end"/>
            </w:r>
          </w:hyperlink>
        </w:p>
        <w:p w14:paraId="147C635F" w14:textId="334FD5E2" w:rsidR="00DC4CAC" w:rsidRDefault="00293A74">
          <w:pPr>
            <w:pStyle w:val="TOC2"/>
            <w:tabs>
              <w:tab w:val="left" w:pos="1320"/>
            </w:tabs>
            <w:rPr>
              <w:rFonts w:asciiTheme="minorHAnsi" w:hAnsiTheme="minorHAnsi" w:cstheme="minorBidi"/>
              <w:color w:val="auto"/>
              <w:sz w:val="22"/>
              <w:szCs w:val="22"/>
              <w:lang w:val="en-US" w:eastAsia="en-US"/>
            </w:rPr>
          </w:pPr>
          <w:hyperlink w:anchor="_Toc121213951" w:history="1">
            <w:r w:rsidR="00DC4CAC" w:rsidRPr="002635FB">
              <w:rPr>
                <w:rStyle w:val="Hyperlink"/>
              </w:rPr>
              <w:t>6.1.</w:t>
            </w:r>
            <w:r w:rsidR="00DC4CAC">
              <w:rPr>
                <w:rFonts w:asciiTheme="minorHAnsi" w:hAnsiTheme="minorHAnsi" w:cstheme="minorBidi"/>
                <w:color w:val="auto"/>
                <w:sz w:val="22"/>
                <w:szCs w:val="22"/>
                <w:lang w:val="en-US" w:eastAsia="en-US"/>
              </w:rPr>
              <w:tab/>
            </w:r>
            <w:r w:rsidR="00DC4CAC" w:rsidRPr="002635FB">
              <w:rPr>
                <w:rStyle w:val="Hyperlink"/>
              </w:rPr>
              <w:t>Introduction</w:t>
            </w:r>
            <w:r w:rsidR="00DC4CAC">
              <w:rPr>
                <w:webHidden/>
              </w:rPr>
              <w:tab/>
            </w:r>
            <w:r w:rsidR="00DC4CAC">
              <w:rPr>
                <w:webHidden/>
              </w:rPr>
              <w:fldChar w:fldCharType="begin"/>
            </w:r>
            <w:r w:rsidR="00DC4CAC">
              <w:rPr>
                <w:webHidden/>
              </w:rPr>
              <w:instrText xml:space="preserve"> PAGEREF _Toc121213951 \h </w:instrText>
            </w:r>
            <w:r w:rsidR="00DC4CAC">
              <w:rPr>
                <w:webHidden/>
              </w:rPr>
            </w:r>
            <w:r w:rsidR="00DC4CAC">
              <w:rPr>
                <w:webHidden/>
              </w:rPr>
              <w:fldChar w:fldCharType="separate"/>
            </w:r>
            <w:r w:rsidR="00B71F51">
              <w:rPr>
                <w:webHidden/>
              </w:rPr>
              <w:t>24</w:t>
            </w:r>
            <w:r w:rsidR="00DC4CAC">
              <w:rPr>
                <w:webHidden/>
              </w:rPr>
              <w:fldChar w:fldCharType="end"/>
            </w:r>
          </w:hyperlink>
        </w:p>
        <w:p w14:paraId="02FCF095" w14:textId="0F3A079D" w:rsidR="00DC4CAC" w:rsidRDefault="00293A74">
          <w:pPr>
            <w:pStyle w:val="TOC2"/>
            <w:tabs>
              <w:tab w:val="left" w:pos="1320"/>
            </w:tabs>
            <w:rPr>
              <w:rFonts w:asciiTheme="minorHAnsi" w:hAnsiTheme="minorHAnsi" w:cstheme="minorBidi"/>
              <w:color w:val="auto"/>
              <w:sz w:val="22"/>
              <w:szCs w:val="22"/>
              <w:lang w:val="en-US" w:eastAsia="en-US"/>
            </w:rPr>
          </w:pPr>
          <w:hyperlink w:anchor="_Toc121213952" w:history="1">
            <w:r w:rsidR="00DC4CAC" w:rsidRPr="002635FB">
              <w:rPr>
                <w:rStyle w:val="Hyperlink"/>
              </w:rPr>
              <w:t>6.2.</w:t>
            </w:r>
            <w:r w:rsidR="00DC4CAC">
              <w:rPr>
                <w:rFonts w:asciiTheme="minorHAnsi" w:hAnsiTheme="minorHAnsi" w:cstheme="minorBidi"/>
                <w:color w:val="auto"/>
                <w:sz w:val="22"/>
                <w:szCs w:val="22"/>
                <w:lang w:val="en-US" w:eastAsia="en-US"/>
              </w:rPr>
              <w:tab/>
            </w:r>
            <w:r w:rsidR="00DC4CAC" w:rsidRPr="002635FB">
              <w:rPr>
                <w:rStyle w:val="Hyperlink"/>
              </w:rPr>
              <w:t>Improving Active Travel Infrastructure</w:t>
            </w:r>
            <w:r w:rsidR="00DC4CAC">
              <w:rPr>
                <w:webHidden/>
              </w:rPr>
              <w:tab/>
            </w:r>
            <w:r w:rsidR="00DC4CAC">
              <w:rPr>
                <w:webHidden/>
              </w:rPr>
              <w:fldChar w:fldCharType="begin"/>
            </w:r>
            <w:r w:rsidR="00DC4CAC">
              <w:rPr>
                <w:webHidden/>
              </w:rPr>
              <w:instrText xml:space="preserve"> PAGEREF _Toc121213952 \h </w:instrText>
            </w:r>
            <w:r w:rsidR="00DC4CAC">
              <w:rPr>
                <w:webHidden/>
              </w:rPr>
            </w:r>
            <w:r w:rsidR="00DC4CAC">
              <w:rPr>
                <w:webHidden/>
              </w:rPr>
              <w:fldChar w:fldCharType="separate"/>
            </w:r>
            <w:r w:rsidR="00B71F51">
              <w:rPr>
                <w:webHidden/>
              </w:rPr>
              <w:t>24</w:t>
            </w:r>
            <w:r w:rsidR="00DC4CAC">
              <w:rPr>
                <w:webHidden/>
              </w:rPr>
              <w:fldChar w:fldCharType="end"/>
            </w:r>
          </w:hyperlink>
        </w:p>
        <w:p w14:paraId="3CA63907" w14:textId="5E690FB3" w:rsidR="00DC4CAC" w:rsidRDefault="00293A74">
          <w:pPr>
            <w:pStyle w:val="TOC2"/>
            <w:tabs>
              <w:tab w:val="left" w:pos="1320"/>
            </w:tabs>
            <w:rPr>
              <w:rFonts w:asciiTheme="minorHAnsi" w:hAnsiTheme="minorHAnsi" w:cstheme="minorBidi"/>
              <w:color w:val="auto"/>
              <w:sz w:val="22"/>
              <w:szCs w:val="22"/>
              <w:lang w:val="en-US" w:eastAsia="en-US"/>
            </w:rPr>
          </w:pPr>
          <w:hyperlink w:anchor="_Toc121213953" w:history="1">
            <w:r w:rsidR="00DC4CAC" w:rsidRPr="002635FB">
              <w:rPr>
                <w:rStyle w:val="Hyperlink"/>
              </w:rPr>
              <w:t>6.3.</w:t>
            </w:r>
            <w:r w:rsidR="00DC4CAC">
              <w:rPr>
                <w:rFonts w:asciiTheme="minorHAnsi" w:hAnsiTheme="minorHAnsi" w:cstheme="minorBidi"/>
                <w:color w:val="auto"/>
                <w:sz w:val="22"/>
                <w:szCs w:val="22"/>
                <w:lang w:val="en-US" w:eastAsia="en-US"/>
              </w:rPr>
              <w:tab/>
            </w:r>
            <w:r w:rsidR="00DC4CAC" w:rsidRPr="002635FB">
              <w:rPr>
                <w:rStyle w:val="Hyperlink"/>
              </w:rPr>
              <w:t>Influencing Travel Choices and Behaviour</w:t>
            </w:r>
            <w:r w:rsidR="00DC4CAC">
              <w:rPr>
                <w:webHidden/>
              </w:rPr>
              <w:tab/>
            </w:r>
            <w:r w:rsidR="00DC4CAC">
              <w:rPr>
                <w:webHidden/>
              </w:rPr>
              <w:fldChar w:fldCharType="begin"/>
            </w:r>
            <w:r w:rsidR="00DC4CAC">
              <w:rPr>
                <w:webHidden/>
              </w:rPr>
              <w:instrText xml:space="preserve"> PAGEREF _Toc121213953 \h </w:instrText>
            </w:r>
            <w:r w:rsidR="00DC4CAC">
              <w:rPr>
                <w:webHidden/>
              </w:rPr>
            </w:r>
            <w:r w:rsidR="00DC4CAC">
              <w:rPr>
                <w:webHidden/>
              </w:rPr>
              <w:fldChar w:fldCharType="separate"/>
            </w:r>
            <w:r w:rsidR="00B71F51">
              <w:rPr>
                <w:webHidden/>
              </w:rPr>
              <w:t>25</w:t>
            </w:r>
            <w:r w:rsidR="00DC4CAC">
              <w:rPr>
                <w:webHidden/>
              </w:rPr>
              <w:fldChar w:fldCharType="end"/>
            </w:r>
          </w:hyperlink>
        </w:p>
        <w:p w14:paraId="4FE6A486" w14:textId="3D283F66" w:rsidR="00DC4CAC" w:rsidRDefault="00293A74">
          <w:pPr>
            <w:pStyle w:val="TOC2"/>
            <w:tabs>
              <w:tab w:val="left" w:pos="1320"/>
            </w:tabs>
            <w:rPr>
              <w:rFonts w:asciiTheme="minorHAnsi" w:hAnsiTheme="minorHAnsi" w:cstheme="minorBidi"/>
              <w:color w:val="auto"/>
              <w:sz w:val="22"/>
              <w:szCs w:val="22"/>
              <w:lang w:val="en-US" w:eastAsia="en-US"/>
            </w:rPr>
          </w:pPr>
          <w:hyperlink w:anchor="_Toc121213954" w:history="1">
            <w:r w:rsidR="00DC4CAC" w:rsidRPr="002635FB">
              <w:rPr>
                <w:rStyle w:val="Hyperlink"/>
              </w:rPr>
              <w:t>6.4.</w:t>
            </w:r>
            <w:r w:rsidR="00DC4CAC">
              <w:rPr>
                <w:rFonts w:asciiTheme="minorHAnsi" w:hAnsiTheme="minorHAnsi" w:cstheme="minorBidi"/>
                <w:color w:val="auto"/>
                <w:sz w:val="22"/>
                <w:szCs w:val="22"/>
                <w:lang w:val="en-US" w:eastAsia="en-US"/>
              </w:rPr>
              <w:tab/>
            </w:r>
            <w:r w:rsidR="00DC4CAC" w:rsidRPr="002635FB">
              <w:rPr>
                <w:rStyle w:val="Hyperlink"/>
              </w:rPr>
              <w:t>Enhancing Access to Affordable Public Transport</w:t>
            </w:r>
            <w:r w:rsidR="00DC4CAC">
              <w:rPr>
                <w:webHidden/>
              </w:rPr>
              <w:tab/>
            </w:r>
            <w:r w:rsidR="00DC4CAC">
              <w:rPr>
                <w:webHidden/>
              </w:rPr>
              <w:fldChar w:fldCharType="begin"/>
            </w:r>
            <w:r w:rsidR="00DC4CAC">
              <w:rPr>
                <w:webHidden/>
              </w:rPr>
              <w:instrText xml:space="preserve"> PAGEREF _Toc121213954 \h </w:instrText>
            </w:r>
            <w:r w:rsidR="00DC4CAC">
              <w:rPr>
                <w:webHidden/>
              </w:rPr>
            </w:r>
            <w:r w:rsidR="00DC4CAC">
              <w:rPr>
                <w:webHidden/>
              </w:rPr>
              <w:fldChar w:fldCharType="separate"/>
            </w:r>
            <w:r w:rsidR="00B71F51">
              <w:rPr>
                <w:webHidden/>
              </w:rPr>
              <w:t>26</w:t>
            </w:r>
            <w:r w:rsidR="00DC4CAC">
              <w:rPr>
                <w:webHidden/>
              </w:rPr>
              <w:fldChar w:fldCharType="end"/>
            </w:r>
          </w:hyperlink>
        </w:p>
        <w:p w14:paraId="5E42977F" w14:textId="5DC97146" w:rsidR="00DC4CAC" w:rsidRDefault="00293A74">
          <w:pPr>
            <w:pStyle w:val="TOC2"/>
            <w:tabs>
              <w:tab w:val="left" w:pos="1320"/>
            </w:tabs>
            <w:rPr>
              <w:rFonts w:asciiTheme="minorHAnsi" w:hAnsiTheme="minorHAnsi" w:cstheme="minorBidi"/>
              <w:color w:val="auto"/>
              <w:sz w:val="22"/>
              <w:szCs w:val="22"/>
              <w:lang w:val="en-US" w:eastAsia="en-US"/>
            </w:rPr>
          </w:pPr>
          <w:hyperlink w:anchor="_Toc121213955" w:history="1">
            <w:r w:rsidR="00DC4CAC" w:rsidRPr="002635FB">
              <w:rPr>
                <w:rStyle w:val="Hyperlink"/>
              </w:rPr>
              <w:t>6.5.</w:t>
            </w:r>
            <w:r w:rsidR="00DC4CAC">
              <w:rPr>
                <w:rFonts w:asciiTheme="minorHAnsi" w:hAnsiTheme="minorHAnsi" w:cstheme="minorBidi"/>
                <w:color w:val="auto"/>
                <w:sz w:val="22"/>
                <w:szCs w:val="22"/>
                <w:lang w:val="en-US" w:eastAsia="en-US"/>
              </w:rPr>
              <w:tab/>
            </w:r>
            <w:r w:rsidR="00DC4CAC" w:rsidRPr="002635FB">
              <w:rPr>
                <w:rStyle w:val="Hyperlink"/>
              </w:rPr>
              <w:t>Decarbonising Transport</w:t>
            </w:r>
            <w:r w:rsidR="00DC4CAC">
              <w:rPr>
                <w:webHidden/>
              </w:rPr>
              <w:tab/>
            </w:r>
            <w:r w:rsidR="00DC4CAC">
              <w:rPr>
                <w:webHidden/>
              </w:rPr>
              <w:fldChar w:fldCharType="begin"/>
            </w:r>
            <w:r w:rsidR="00DC4CAC">
              <w:rPr>
                <w:webHidden/>
              </w:rPr>
              <w:instrText xml:space="preserve"> PAGEREF _Toc121213955 \h </w:instrText>
            </w:r>
            <w:r w:rsidR="00DC4CAC">
              <w:rPr>
                <w:webHidden/>
              </w:rPr>
            </w:r>
            <w:r w:rsidR="00DC4CAC">
              <w:rPr>
                <w:webHidden/>
              </w:rPr>
              <w:fldChar w:fldCharType="separate"/>
            </w:r>
            <w:r w:rsidR="00B71F51">
              <w:rPr>
                <w:webHidden/>
              </w:rPr>
              <w:t>28</w:t>
            </w:r>
            <w:r w:rsidR="00DC4CAC">
              <w:rPr>
                <w:webHidden/>
              </w:rPr>
              <w:fldChar w:fldCharType="end"/>
            </w:r>
          </w:hyperlink>
        </w:p>
        <w:p w14:paraId="3BBAD5C7" w14:textId="18E68521" w:rsidR="00DC4CAC" w:rsidRDefault="00293A74">
          <w:pPr>
            <w:pStyle w:val="TOC2"/>
            <w:tabs>
              <w:tab w:val="left" w:pos="1320"/>
            </w:tabs>
            <w:rPr>
              <w:rFonts w:asciiTheme="minorHAnsi" w:hAnsiTheme="minorHAnsi" w:cstheme="minorBidi"/>
              <w:color w:val="auto"/>
              <w:sz w:val="22"/>
              <w:szCs w:val="22"/>
              <w:lang w:val="en-US" w:eastAsia="en-US"/>
            </w:rPr>
          </w:pPr>
          <w:hyperlink w:anchor="_Toc121213956" w:history="1">
            <w:r w:rsidR="00DC4CAC" w:rsidRPr="002635FB">
              <w:rPr>
                <w:rStyle w:val="Hyperlink"/>
              </w:rPr>
              <w:t>6.6.</w:t>
            </w:r>
            <w:r w:rsidR="00DC4CAC">
              <w:rPr>
                <w:rFonts w:asciiTheme="minorHAnsi" w:hAnsiTheme="minorHAnsi" w:cstheme="minorBidi"/>
                <w:color w:val="auto"/>
                <w:sz w:val="22"/>
                <w:szCs w:val="22"/>
                <w:lang w:val="en-US" w:eastAsia="en-US"/>
              </w:rPr>
              <w:tab/>
            </w:r>
            <w:r w:rsidR="00DC4CAC" w:rsidRPr="002635FB">
              <w:rPr>
                <w:rStyle w:val="Hyperlink"/>
              </w:rPr>
              <w:t>Increasing Safety and Resilience on the Strategic Transport Network</w:t>
            </w:r>
            <w:r w:rsidR="00DC4CAC">
              <w:rPr>
                <w:webHidden/>
              </w:rPr>
              <w:tab/>
            </w:r>
            <w:r w:rsidR="00DC4CAC">
              <w:rPr>
                <w:webHidden/>
              </w:rPr>
              <w:fldChar w:fldCharType="begin"/>
            </w:r>
            <w:r w:rsidR="00DC4CAC">
              <w:rPr>
                <w:webHidden/>
              </w:rPr>
              <w:instrText xml:space="preserve"> PAGEREF _Toc121213956 \h </w:instrText>
            </w:r>
            <w:r w:rsidR="00DC4CAC">
              <w:rPr>
                <w:webHidden/>
              </w:rPr>
            </w:r>
            <w:r w:rsidR="00DC4CAC">
              <w:rPr>
                <w:webHidden/>
              </w:rPr>
              <w:fldChar w:fldCharType="separate"/>
            </w:r>
            <w:r w:rsidR="00B71F51">
              <w:rPr>
                <w:webHidden/>
              </w:rPr>
              <w:t>28</w:t>
            </w:r>
            <w:r w:rsidR="00DC4CAC">
              <w:rPr>
                <w:webHidden/>
              </w:rPr>
              <w:fldChar w:fldCharType="end"/>
            </w:r>
          </w:hyperlink>
        </w:p>
        <w:p w14:paraId="09A809B0" w14:textId="0BC9D024" w:rsidR="00DC4CAC" w:rsidRDefault="00293A74">
          <w:pPr>
            <w:pStyle w:val="TOC2"/>
            <w:tabs>
              <w:tab w:val="left" w:pos="1320"/>
            </w:tabs>
            <w:rPr>
              <w:rFonts w:asciiTheme="minorHAnsi" w:hAnsiTheme="minorHAnsi" w:cstheme="minorBidi"/>
              <w:color w:val="auto"/>
              <w:sz w:val="22"/>
              <w:szCs w:val="22"/>
              <w:lang w:val="en-US" w:eastAsia="en-US"/>
            </w:rPr>
          </w:pPr>
          <w:hyperlink w:anchor="_Toc121213957" w:history="1">
            <w:r w:rsidR="00DC4CAC" w:rsidRPr="002635FB">
              <w:rPr>
                <w:rStyle w:val="Hyperlink"/>
              </w:rPr>
              <w:t>6.7.</w:t>
            </w:r>
            <w:r w:rsidR="00DC4CAC">
              <w:rPr>
                <w:rFonts w:asciiTheme="minorHAnsi" w:hAnsiTheme="minorHAnsi" w:cstheme="minorBidi"/>
                <w:color w:val="auto"/>
                <w:sz w:val="22"/>
                <w:szCs w:val="22"/>
                <w:lang w:val="en-US" w:eastAsia="en-US"/>
              </w:rPr>
              <w:tab/>
            </w:r>
            <w:r w:rsidR="00DC4CAC" w:rsidRPr="002635FB">
              <w:rPr>
                <w:rStyle w:val="Hyperlink"/>
              </w:rPr>
              <w:t>Strengthening Strategic Connections</w:t>
            </w:r>
            <w:r w:rsidR="00DC4CAC">
              <w:rPr>
                <w:webHidden/>
              </w:rPr>
              <w:tab/>
            </w:r>
            <w:r w:rsidR="00DC4CAC">
              <w:rPr>
                <w:webHidden/>
              </w:rPr>
              <w:fldChar w:fldCharType="begin"/>
            </w:r>
            <w:r w:rsidR="00DC4CAC">
              <w:rPr>
                <w:webHidden/>
              </w:rPr>
              <w:instrText xml:space="preserve"> PAGEREF _Toc121213957 \h </w:instrText>
            </w:r>
            <w:r w:rsidR="00DC4CAC">
              <w:rPr>
                <w:webHidden/>
              </w:rPr>
            </w:r>
            <w:r w:rsidR="00DC4CAC">
              <w:rPr>
                <w:webHidden/>
              </w:rPr>
              <w:fldChar w:fldCharType="separate"/>
            </w:r>
            <w:r w:rsidR="00B71F51">
              <w:rPr>
                <w:webHidden/>
              </w:rPr>
              <w:t>29</w:t>
            </w:r>
            <w:r w:rsidR="00DC4CAC">
              <w:rPr>
                <w:webHidden/>
              </w:rPr>
              <w:fldChar w:fldCharType="end"/>
            </w:r>
          </w:hyperlink>
        </w:p>
        <w:p w14:paraId="0E8868FA" w14:textId="1134D6A8" w:rsidR="00DC4CAC" w:rsidRDefault="00293A74">
          <w:pPr>
            <w:pStyle w:val="TOC1"/>
            <w:rPr>
              <w:rFonts w:asciiTheme="minorHAnsi" w:hAnsiTheme="minorHAnsi" w:cstheme="minorBidi"/>
              <w:b w:val="0"/>
              <w:color w:val="auto"/>
              <w:sz w:val="22"/>
              <w:szCs w:val="22"/>
              <w:lang w:val="en-US" w:eastAsia="en-US"/>
            </w:rPr>
          </w:pPr>
          <w:hyperlink w:anchor="_Toc121213958" w:history="1">
            <w:r w:rsidR="00DC4CAC" w:rsidRPr="002635FB">
              <w:rPr>
                <w:rStyle w:val="Hyperlink"/>
              </w:rPr>
              <w:t>7.</w:t>
            </w:r>
            <w:r w:rsidR="00DC4CAC">
              <w:rPr>
                <w:rFonts w:asciiTheme="minorHAnsi" w:hAnsiTheme="minorHAnsi" w:cstheme="minorBidi"/>
                <w:b w:val="0"/>
                <w:color w:val="auto"/>
                <w:sz w:val="22"/>
                <w:szCs w:val="22"/>
                <w:lang w:val="en-US" w:eastAsia="en-US"/>
              </w:rPr>
              <w:tab/>
            </w:r>
            <w:r w:rsidR="00DC4CAC" w:rsidRPr="002635FB">
              <w:rPr>
                <w:rStyle w:val="Hyperlink"/>
              </w:rPr>
              <w:t>Next Steps</w:t>
            </w:r>
            <w:r w:rsidR="00DC4CAC">
              <w:rPr>
                <w:webHidden/>
              </w:rPr>
              <w:tab/>
            </w:r>
            <w:r w:rsidR="00DC4CAC">
              <w:rPr>
                <w:webHidden/>
              </w:rPr>
              <w:fldChar w:fldCharType="begin"/>
            </w:r>
            <w:r w:rsidR="00DC4CAC">
              <w:rPr>
                <w:webHidden/>
              </w:rPr>
              <w:instrText xml:space="preserve"> PAGEREF _Toc121213958 \h </w:instrText>
            </w:r>
            <w:r w:rsidR="00DC4CAC">
              <w:rPr>
                <w:webHidden/>
              </w:rPr>
            </w:r>
            <w:r w:rsidR="00DC4CAC">
              <w:rPr>
                <w:webHidden/>
              </w:rPr>
              <w:fldChar w:fldCharType="separate"/>
            </w:r>
            <w:r w:rsidR="00B71F51">
              <w:rPr>
                <w:webHidden/>
              </w:rPr>
              <w:t>31</w:t>
            </w:r>
            <w:r w:rsidR="00DC4CAC">
              <w:rPr>
                <w:webHidden/>
              </w:rPr>
              <w:fldChar w:fldCharType="end"/>
            </w:r>
          </w:hyperlink>
        </w:p>
        <w:p w14:paraId="222FEF9A" w14:textId="46A52700" w:rsidR="00DC4CAC" w:rsidRDefault="00293A74">
          <w:pPr>
            <w:pStyle w:val="TOC2"/>
            <w:tabs>
              <w:tab w:val="left" w:pos="1320"/>
            </w:tabs>
            <w:rPr>
              <w:rFonts w:asciiTheme="minorHAnsi" w:hAnsiTheme="minorHAnsi" w:cstheme="minorBidi"/>
              <w:color w:val="auto"/>
              <w:sz w:val="22"/>
              <w:szCs w:val="22"/>
              <w:lang w:val="en-US" w:eastAsia="en-US"/>
            </w:rPr>
          </w:pPr>
          <w:hyperlink w:anchor="_Toc121213959" w:history="1">
            <w:r w:rsidR="00DC4CAC" w:rsidRPr="002635FB">
              <w:rPr>
                <w:rStyle w:val="Hyperlink"/>
              </w:rPr>
              <w:t>7.1.</w:t>
            </w:r>
            <w:r w:rsidR="00DC4CAC">
              <w:rPr>
                <w:rFonts w:asciiTheme="minorHAnsi" w:hAnsiTheme="minorHAnsi" w:cstheme="minorBidi"/>
                <w:color w:val="auto"/>
                <w:sz w:val="22"/>
                <w:szCs w:val="22"/>
                <w:lang w:val="en-US" w:eastAsia="en-US"/>
              </w:rPr>
              <w:tab/>
            </w:r>
            <w:r w:rsidR="00DC4CAC" w:rsidRPr="002635FB">
              <w:rPr>
                <w:rStyle w:val="Hyperlink"/>
              </w:rPr>
              <w:t>Recommendations</w:t>
            </w:r>
            <w:r w:rsidR="00DC4CAC">
              <w:rPr>
                <w:webHidden/>
              </w:rPr>
              <w:tab/>
            </w:r>
            <w:r w:rsidR="00DC4CAC">
              <w:rPr>
                <w:webHidden/>
              </w:rPr>
              <w:fldChar w:fldCharType="begin"/>
            </w:r>
            <w:r w:rsidR="00DC4CAC">
              <w:rPr>
                <w:webHidden/>
              </w:rPr>
              <w:instrText xml:space="preserve"> PAGEREF _Toc121213959 \h </w:instrText>
            </w:r>
            <w:r w:rsidR="00DC4CAC">
              <w:rPr>
                <w:webHidden/>
              </w:rPr>
            </w:r>
            <w:r w:rsidR="00DC4CAC">
              <w:rPr>
                <w:webHidden/>
              </w:rPr>
              <w:fldChar w:fldCharType="separate"/>
            </w:r>
            <w:r w:rsidR="00B71F51">
              <w:rPr>
                <w:webHidden/>
              </w:rPr>
              <w:t>31</w:t>
            </w:r>
            <w:r w:rsidR="00DC4CAC">
              <w:rPr>
                <w:webHidden/>
              </w:rPr>
              <w:fldChar w:fldCharType="end"/>
            </w:r>
          </w:hyperlink>
        </w:p>
        <w:p w14:paraId="2407A3F0" w14:textId="561FB6CB" w:rsidR="00DC4CAC" w:rsidRDefault="00293A74">
          <w:pPr>
            <w:pStyle w:val="TOC2"/>
            <w:tabs>
              <w:tab w:val="left" w:pos="1320"/>
            </w:tabs>
            <w:rPr>
              <w:rFonts w:asciiTheme="minorHAnsi" w:hAnsiTheme="minorHAnsi" w:cstheme="minorBidi"/>
              <w:color w:val="auto"/>
              <w:sz w:val="22"/>
              <w:szCs w:val="22"/>
              <w:lang w:val="en-US" w:eastAsia="en-US"/>
            </w:rPr>
          </w:pPr>
          <w:hyperlink w:anchor="_Toc121213960" w:history="1">
            <w:r w:rsidR="00DC4CAC" w:rsidRPr="002635FB">
              <w:rPr>
                <w:rStyle w:val="Hyperlink"/>
              </w:rPr>
              <w:t>7.2.</w:t>
            </w:r>
            <w:r w:rsidR="00DC4CAC">
              <w:rPr>
                <w:rFonts w:asciiTheme="minorHAnsi" w:hAnsiTheme="minorHAnsi" w:cstheme="minorBidi"/>
                <w:color w:val="auto"/>
                <w:sz w:val="22"/>
                <w:szCs w:val="22"/>
                <w:lang w:val="en-US" w:eastAsia="en-US"/>
              </w:rPr>
              <w:tab/>
            </w:r>
            <w:r w:rsidR="00DC4CAC" w:rsidRPr="002635FB">
              <w:rPr>
                <w:rStyle w:val="Hyperlink"/>
              </w:rPr>
              <w:t>Monitoring and review</w:t>
            </w:r>
            <w:r w:rsidR="00DC4CAC">
              <w:rPr>
                <w:webHidden/>
              </w:rPr>
              <w:tab/>
            </w:r>
            <w:r w:rsidR="00DC4CAC">
              <w:rPr>
                <w:webHidden/>
              </w:rPr>
              <w:fldChar w:fldCharType="begin"/>
            </w:r>
            <w:r w:rsidR="00DC4CAC">
              <w:rPr>
                <w:webHidden/>
              </w:rPr>
              <w:instrText xml:space="preserve"> PAGEREF _Toc121213960 \h </w:instrText>
            </w:r>
            <w:r w:rsidR="00DC4CAC">
              <w:rPr>
                <w:webHidden/>
              </w:rPr>
            </w:r>
            <w:r w:rsidR="00DC4CAC">
              <w:rPr>
                <w:webHidden/>
              </w:rPr>
              <w:fldChar w:fldCharType="separate"/>
            </w:r>
            <w:r w:rsidR="00B71F51">
              <w:rPr>
                <w:webHidden/>
              </w:rPr>
              <w:t>31</w:t>
            </w:r>
            <w:r w:rsidR="00DC4CAC">
              <w:rPr>
                <w:webHidden/>
              </w:rPr>
              <w:fldChar w:fldCharType="end"/>
            </w:r>
          </w:hyperlink>
        </w:p>
        <w:p w14:paraId="52BCE258" w14:textId="5429027B" w:rsidR="00CF520A" w:rsidRPr="00F110EE" w:rsidRDefault="00F110EE" w:rsidP="00F110EE">
          <w:pPr>
            <w:spacing w:after="80"/>
            <w:rPr>
              <w:rFonts w:ascii="Arial" w:hAnsi="Arial" w:cs="Arial"/>
              <w:b/>
              <w:bCs/>
              <w:noProof/>
              <w:sz w:val="24"/>
              <w:szCs w:val="24"/>
            </w:rPr>
          </w:pPr>
          <w:r>
            <w:rPr>
              <w:rFonts w:ascii="Arial" w:hAnsi="Arial" w:cs="Arial"/>
              <w:b/>
              <w:noProof/>
              <w:color w:val="626266"/>
              <w:sz w:val="24"/>
              <w:szCs w:val="24"/>
            </w:rPr>
            <w:fldChar w:fldCharType="end"/>
          </w:r>
        </w:p>
      </w:sdtContent>
    </w:sdt>
    <w:p w14:paraId="10EA526B" w14:textId="77777777" w:rsidR="00F110EE" w:rsidRPr="00E645D5" w:rsidRDefault="00F110EE" w:rsidP="00F110EE">
      <w:pPr>
        <w:pStyle w:val="STPR2AppendicesHeading2"/>
        <w:keepLines/>
        <w:rPr>
          <w:lang w:val="en-GB"/>
        </w:rPr>
      </w:pPr>
      <w:bookmarkStart w:id="1" w:name="_Hlk121217653"/>
      <w:bookmarkStart w:id="2" w:name="_Hlk121230914"/>
      <w:bookmarkStart w:id="3" w:name="_Toc81993565"/>
      <w:r w:rsidRPr="00E645D5">
        <w:rPr>
          <w:lang w:val="en-GB"/>
        </w:rPr>
        <w:lastRenderedPageBreak/>
        <w:t>Appendices</w:t>
      </w:r>
    </w:p>
    <w:p w14:paraId="08689A22" w14:textId="24D82A87" w:rsidR="00F110EE" w:rsidRDefault="00F110EE" w:rsidP="00D56DE8">
      <w:pPr>
        <w:pStyle w:val="STPR2BodyText"/>
      </w:pPr>
      <w:r>
        <w:t>A</w:t>
      </w:r>
      <w:r>
        <w:tab/>
        <w:t>Glossary</w:t>
      </w:r>
    </w:p>
    <w:p w14:paraId="083264F9" w14:textId="0E79E7A2" w:rsidR="00F110EE" w:rsidRDefault="00F110EE" w:rsidP="00D56DE8">
      <w:pPr>
        <w:pStyle w:val="STPR2BodyText"/>
      </w:pPr>
      <w:r>
        <w:t>B</w:t>
      </w:r>
      <w:r>
        <w:tab/>
      </w:r>
      <w:r w:rsidRPr="00F110EE">
        <w:t>Equality Topics, Objectives and Guidance Questions</w:t>
      </w:r>
    </w:p>
    <w:p w14:paraId="10584ECB" w14:textId="5E1A835A" w:rsidR="00F110EE" w:rsidRDefault="00F110EE" w:rsidP="00F110EE">
      <w:pPr>
        <w:pStyle w:val="STPR2AppendicesHeading2"/>
        <w:spacing w:before="240"/>
        <w:rPr>
          <w:rFonts w:eastAsiaTheme="majorEastAsia"/>
        </w:rPr>
      </w:pPr>
      <w:r>
        <w:rPr>
          <w:rFonts w:eastAsiaTheme="majorEastAsia"/>
        </w:rPr>
        <w:t>Tables</w:t>
      </w:r>
    </w:p>
    <w:p w14:paraId="153A247C" w14:textId="397136C0" w:rsidR="00DC4CAC" w:rsidRDefault="00D56DE8">
      <w:pPr>
        <w:pStyle w:val="TableofFigures"/>
        <w:rPr>
          <w:rFonts w:asciiTheme="minorHAnsi" w:hAnsiTheme="minorHAnsi"/>
          <w:color w:val="auto"/>
          <w:sz w:val="22"/>
          <w:lang w:val="en-US" w:eastAsia="en-US"/>
        </w:rPr>
      </w:pPr>
      <w:r>
        <w:rPr>
          <w:rFonts w:eastAsiaTheme="majorEastAsia"/>
        </w:rPr>
        <w:fldChar w:fldCharType="begin"/>
      </w:r>
      <w:r>
        <w:rPr>
          <w:rFonts w:eastAsiaTheme="majorEastAsia"/>
        </w:rPr>
        <w:instrText xml:space="preserve"> TOC \h \z \c "Table" </w:instrText>
      </w:r>
      <w:r>
        <w:rPr>
          <w:rFonts w:eastAsiaTheme="majorEastAsia"/>
        </w:rPr>
        <w:fldChar w:fldCharType="separate"/>
      </w:r>
      <w:hyperlink w:anchor="_Toc121213961" w:history="1">
        <w:r w:rsidR="00DC4CAC" w:rsidRPr="00A609F1">
          <w:rPr>
            <w:rStyle w:val="Hyperlink"/>
          </w:rPr>
          <w:t>Table 1 – Population Indicators by Local Authority</w:t>
        </w:r>
        <w:r w:rsidR="00DC4CAC">
          <w:rPr>
            <w:webHidden/>
          </w:rPr>
          <w:tab/>
        </w:r>
        <w:r w:rsidR="00DC4CAC">
          <w:rPr>
            <w:webHidden/>
          </w:rPr>
          <w:fldChar w:fldCharType="begin"/>
        </w:r>
        <w:r w:rsidR="00DC4CAC">
          <w:rPr>
            <w:webHidden/>
          </w:rPr>
          <w:instrText xml:space="preserve"> PAGEREF _Toc121213961 \h </w:instrText>
        </w:r>
        <w:r w:rsidR="00DC4CAC">
          <w:rPr>
            <w:webHidden/>
          </w:rPr>
        </w:r>
        <w:r w:rsidR="00DC4CAC">
          <w:rPr>
            <w:webHidden/>
          </w:rPr>
          <w:fldChar w:fldCharType="separate"/>
        </w:r>
        <w:r w:rsidR="00B71F51">
          <w:rPr>
            <w:webHidden/>
          </w:rPr>
          <w:t>15</w:t>
        </w:r>
        <w:r w:rsidR="00DC4CAC">
          <w:rPr>
            <w:webHidden/>
          </w:rPr>
          <w:fldChar w:fldCharType="end"/>
        </w:r>
      </w:hyperlink>
    </w:p>
    <w:p w14:paraId="72965EC5" w14:textId="1DC070FF" w:rsidR="00DC4CAC" w:rsidRDefault="00293A74">
      <w:pPr>
        <w:pStyle w:val="TableofFigures"/>
        <w:rPr>
          <w:rFonts w:asciiTheme="minorHAnsi" w:hAnsiTheme="minorHAnsi"/>
          <w:color w:val="auto"/>
          <w:sz w:val="22"/>
          <w:lang w:val="en-US" w:eastAsia="en-US"/>
        </w:rPr>
      </w:pPr>
      <w:hyperlink w:anchor="_Toc121213962" w:history="1">
        <w:r w:rsidR="00DC4CAC" w:rsidRPr="00A609F1">
          <w:rPr>
            <w:rStyle w:val="Hyperlink"/>
          </w:rPr>
          <w:t>Table 2 – Transport Indicators by Local Authority</w:t>
        </w:r>
        <w:r w:rsidR="00DC4CAC">
          <w:rPr>
            <w:webHidden/>
          </w:rPr>
          <w:tab/>
        </w:r>
        <w:r w:rsidR="00DC4CAC">
          <w:rPr>
            <w:webHidden/>
          </w:rPr>
          <w:fldChar w:fldCharType="begin"/>
        </w:r>
        <w:r w:rsidR="00DC4CAC">
          <w:rPr>
            <w:webHidden/>
          </w:rPr>
          <w:instrText xml:space="preserve"> PAGEREF _Toc121213962 \h </w:instrText>
        </w:r>
        <w:r w:rsidR="00DC4CAC">
          <w:rPr>
            <w:webHidden/>
          </w:rPr>
        </w:r>
        <w:r w:rsidR="00DC4CAC">
          <w:rPr>
            <w:webHidden/>
          </w:rPr>
          <w:fldChar w:fldCharType="separate"/>
        </w:r>
        <w:r w:rsidR="00B71F51">
          <w:rPr>
            <w:webHidden/>
          </w:rPr>
          <w:t>17</w:t>
        </w:r>
        <w:r w:rsidR="00DC4CAC">
          <w:rPr>
            <w:webHidden/>
          </w:rPr>
          <w:fldChar w:fldCharType="end"/>
        </w:r>
      </w:hyperlink>
    </w:p>
    <w:p w14:paraId="0DBE8E7A" w14:textId="0ECB65E5" w:rsidR="00DC4CAC" w:rsidRDefault="00293A74">
      <w:pPr>
        <w:pStyle w:val="TableofFigures"/>
        <w:rPr>
          <w:rFonts w:asciiTheme="minorHAnsi" w:hAnsiTheme="minorHAnsi"/>
          <w:color w:val="auto"/>
          <w:sz w:val="22"/>
          <w:lang w:val="en-US" w:eastAsia="en-US"/>
        </w:rPr>
      </w:pPr>
      <w:hyperlink w:anchor="_Toc121213963" w:history="1">
        <w:r w:rsidR="00DC4CAC" w:rsidRPr="00A609F1">
          <w:rPr>
            <w:rStyle w:val="Hyperlink"/>
          </w:rPr>
          <w:t>Table 3 – Stages of Assessment</w:t>
        </w:r>
        <w:r w:rsidR="00DC4CAC">
          <w:rPr>
            <w:webHidden/>
          </w:rPr>
          <w:tab/>
        </w:r>
        <w:r w:rsidR="00DC4CAC">
          <w:rPr>
            <w:webHidden/>
          </w:rPr>
          <w:fldChar w:fldCharType="begin"/>
        </w:r>
        <w:r w:rsidR="00DC4CAC">
          <w:rPr>
            <w:webHidden/>
          </w:rPr>
          <w:instrText xml:space="preserve"> PAGEREF _Toc121213963 \h </w:instrText>
        </w:r>
        <w:r w:rsidR="00DC4CAC">
          <w:rPr>
            <w:webHidden/>
          </w:rPr>
        </w:r>
        <w:r w:rsidR="00DC4CAC">
          <w:rPr>
            <w:webHidden/>
          </w:rPr>
          <w:fldChar w:fldCharType="separate"/>
        </w:r>
        <w:r w:rsidR="00B71F51">
          <w:rPr>
            <w:webHidden/>
          </w:rPr>
          <w:t>21</w:t>
        </w:r>
        <w:r w:rsidR="00DC4CAC">
          <w:rPr>
            <w:webHidden/>
          </w:rPr>
          <w:fldChar w:fldCharType="end"/>
        </w:r>
      </w:hyperlink>
    </w:p>
    <w:p w14:paraId="626C88CE" w14:textId="175E3B13" w:rsidR="00DC4CAC" w:rsidRDefault="00293A74">
      <w:pPr>
        <w:pStyle w:val="TableofFigures"/>
        <w:rPr>
          <w:rFonts w:asciiTheme="minorHAnsi" w:hAnsiTheme="minorHAnsi"/>
          <w:color w:val="auto"/>
          <w:sz w:val="22"/>
          <w:lang w:val="en-US" w:eastAsia="en-US"/>
        </w:rPr>
      </w:pPr>
      <w:hyperlink w:anchor="_Toc121213964" w:history="1">
        <w:r w:rsidR="00DC4CAC" w:rsidRPr="00A609F1">
          <w:rPr>
            <w:rStyle w:val="Hyperlink"/>
          </w:rPr>
          <w:t>Table 4 – ICIA Scoring System</w:t>
        </w:r>
        <w:r w:rsidR="00DC4CAC">
          <w:rPr>
            <w:webHidden/>
          </w:rPr>
          <w:tab/>
        </w:r>
        <w:r w:rsidR="00DC4CAC">
          <w:rPr>
            <w:webHidden/>
          </w:rPr>
          <w:fldChar w:fldCharType="begin"/>
        </w:r>
        <w:r w:rsidR="00DC4CAC">
          <w:rPr>
            <w:webHidden/>
          </w:rPr>
          <w:instrText xml:space="preserve"> PAGEREF _Toc121213964 \h </w:instrText>
        </w:r>
        <w:r w:rsidR="00DC4CAC">
          <w:rPr>
            <w:webHidden/>
          </w:rPr>
        </w:r>
        <w:r w:rsidR="00DC4CAC">
          <w:rPr>
            <w:webHidden/>
          </w:rPr>
          <w:fldChar w:fldCharType="separate"/>
        </w:r>
        <w:r w:rsidR="00B71F51">
          <w:rPr>
            <w:webHidden/>
          </w:rPr>
          <w:t>23</w:t>
        </w:r>
        <w:r w:rsidR="00DC4CAC">
          <w:rPr>
            <w:webHidden/>
          </w:rPr>
          <w:fldChar w:fldCharType="end"/>
        </w:r>
      </w:hyperlink>
    </w:p>
    <w:p w14:paraId="1CDF93DE" w14:textId="78C9204C" w:rsidR="00F110EE" w:rsidRPr="00056C54" w:rsidRDefault="00D56DE8" w:rsidP="00F110EE">
      <w:pPr>
        <w:pStyle w:val="STPR2AppendicesHeading2"/>
        <w:spacing w:before="240"/>
        <w:rPr>
          <w:rFonts w:eastAsiaTheme="majorEastAsia"/>
          <w:b w:val="0"/>
          <w:bCs w:val="0"/>
        </w:rPr>
      </w:pPr>
      <w:r>
        <w:rPr>
          <w:rFonts w:eastAsiaTheme="majorEastAsia"/>
        </w:rPr>
        <w:fldChar w:fldCharType="end"/>
      </w:r>
      <w:r w:rsidR="00F110EE">
        <w:rPr>
          <w:rFonts w:eastAsiaTheme="majorEastAsia"/>
        </w:rPr>
        <w:t>Figures</w:t>
      </w:r>
    </w:p>
    <w:p w14:paraId="26694F7A" w14:textId="2D4B52F7" w:rsidR="002351D2" w:rsidRDefault="00F110EE">
      <w:pPr>
        <w:pStyle w:val="TableofFigures"/>
        <w:rPr>
          <w:rFonts w:asciiTheme="minorHAnsi" w:hAnsiTheme="minorHAnsi"/>
          <w:color w:val="auto"/>
          <w:sz w:val="22"/>
          <w:lang w:val="en-US" w:eastAsia="en-US"/>
        </w:rPr>
      </w:pPr>
      <w:r w:rsidRPr="003343CF">
        <w:rPr>
          <w:rFonts w:asciiTheme="minorHAnsi" w:hAnsiTheme="minorHAnsi"/>
          <w:sz w:val="22"/>
        </w:rPr>
        <w:fldChar w:fldCharType="begin"/>
      </w:r>
      <w:r w:rsidRPr="003343CF">
        <w:instrText xml:space="preserve"> TOC \h \z \c "Figure" </w:instrText>
      </w:r>
      <w:r w:rsidRPr="003343CF">
        <w:rPr>
          <w:rFonts w:asciiTheme="minorHAnsi" w:hAnsiTheme="minorHAnsi"/>
          <w:sz w:val="22"/>
        </w:rPr>
        <w:fldChar w:fldCharType="separate"/>
      </w:r>
      <w:hyperlink w:anchor="_Toc121213991" w:history="1">
        <w:r w:rsidR="002351D2" w:rsidRPr="0044552C">
          <w:rPr>
            <w:rStyle w:val="Hyperlink"/>
          </w:rPr>
          <w:t>Figure 1 – Relationship Between Impact Assessments, SEA and STAG</w:t>
        </w:r>
        <w:r w:rsidR="002351D2">
          <w:rPr>
            <w:webHidden/>
          </w:rPr>
          <w:tab/>
        </w:r>
        <w:r w:rsidR="002351D2">
          <w:rPr>
            <w:webHidden/>
          </w:rPr>
          <w:fldChar w:fldCharType="begin"/>
        </w:r>
        <w:r w:rsidR="002351D2">
          <w:rPr>
            <w:webHidden/>
          </w:rPr>
          <w:instrText xml:space="preserve"> PAGEREF _Toc121213991 \h </w:instrText>
        </w:r>
        <w:r w:rsidR="002351D2">
          <w:rPr>
            <w:webHidden/>
          </w:rPr>
        </w:r>
        <w:r w:rsidR="002351D2">
          <w:rPr>
            <w:webHidden/>
          </w:rPr>
          <w:fldChar w:fldCharType="separate"/>
        </w:r>
        <w:r w:rsidR="00B71F51">
          <w:rPr>
            <w:webHidden/>
          </w:rPr>
          <w:t>4</w:t>
        </w:r>
        <w:r w:rsidR="002351D2">
          <w:rPr>
            <w:webHidden/>
          </w:rPr>
          <w:fldChar w:fldCharType="end"/>
        </w:r>
      </w:hyperlink>
    </w:p>
    <w:p w14:paraId="311AB4DE" w14:textId="39E6FE4D" w:rsidR="002351D2" w:rsidRDefault="00293A74">
      <w:pPr>
        <w:pStyle w:val="TableofFigures"/>
        <w:rPr>
          <w:rFonts w:asciiTheme="minorHAnsi" w:hAnsiTheme="minorHAnsi"/>
          <w:color w:val="auto"/>
          <w:sz w:val="22"/>
          <w:lang w:val="en-US" w:eastAsia="en-US"/>
        </w:rPr>
      </w:pPr>
      <w:hyperlink w:anchor="_Toc121213992" w:history="1">
        <w:r w:rsidR="002351D2" w:rsidRPr="0044552C">
          <w:rPr>
            <w:rStyle w:val="Hyperlink"/>
          </w:rPr>
          <w:t>Figure 2 – ICIA process set out in the Island Communities Impact Assessments: Guidance and Toolkit, Scottish Government, December 2020</w:t>
        </w:r>
        <w:r w:rsidR="002351D2">
          <w:rPr>
            <w:webHidden/>
          </w:rPr>
          <w:tab/>
        </w:r>
        <w:r w:rsidR="002351D2">
          <w:rPr>
            <w:webHidden/>
          </w:rPr>
          <w:fldChar w:fldCharType="begin"/>
        </w:r>
        <w:r w:rsidR="002351D2">
          <w:rPr>
            <w:webHidden/>
          </w:rPr>
          <w:instrText xml:space="preserve"> PAGEREF _Toc121213992 \h </w:instrText>
        </w:r>
        <w:r w:rsidR="002351D2">
          <w:rPr>
            <w:webHidden/>
          </w:rPr>
        </w:r>
        <w:r w:rsidR="002351D2">
          <w:rPr>
            <w:webHidden/>
          </w:rPr>
          <w:fldChar w:fldCharType="separate"/>
        </w:r>
        <w:r w:rsidR="00B71F51">
          <w:rPr>
            <w:webHidden/>
          </w:rPr>
          <w:t>8</w:t>
        </w:r>
        <w:r w:rsidR="002351D2">
          <w:rPr>
            <w:webHidden/>
          </w:rPr>
          <w:fldChar w:fldCharType="end"/>
        </w:r>
      </w:hyperlink>
    </w:p>
    <w:p w14:paraId="4E9E6AB8" w14:textId="68996F4E" w:rsidR="00F110EE" w:rsidRDefault="00F110EE" w:rsidP="00F110EE">
      <w:pPr>
        <w:pStyle w:val="Para0"/>
        <w:sectPr w:rsidR="00F110EE" w:rsidSect="00F110EE">
          <w:headerReference w:type="even" r:id="rId12"/>
          <w:headerReference w:type="default" r:id="rId13"/>
          <w:footerReference w:type="default" r:id="rId14"/>
          <w:headerReference w:type="first" r:id="rId15"/>
          <w:pgSz w:w="11906" w:h="16838" w:code="9"/>
          <w:pgMar w:top="1699" w:right="1138" w:bottom="1138" w:left="1138" w:header="454" w:footer="567" w:gutter="0"/>
          <w:pgNumType w:fmt="lowerRoman" w:start="1"/>
          <w:cols w:space="720"/>
          <w:noEndnote/>
          <w:docGrid w:linePitch="299"/>
        </w:sectPr>
      </w:pPr>
      <w:r w:rsidRPr="003343CF">
        <w:fldChar w:fldCharType="end"/>
      </w:r>
      <w:bookmarkEnd w:id="1"/>
    </w:p>
    <w:p w14:paraId="60BCF237" w14:textId="742812FC" w:rsidR="000C6958" w:rsidRDefault="000C6958" w:rsidP="00D56DE8">
      <w:pPr>
        <w:pStyle w:val="Heading1"/>
      </w:pPr>
      <w:bookmarkStart w:id="4" w:name="_Toc121213925"/>
      <w:bookmarkStart w:id="5" w:name="_Ref121229095"/>
      <w:bookmarkStart w:id="6" w:name="_Ref121229098"/>
      <w:bookmarkEnd w:id="2"/>
      <w:r w:rsidRPr="00D56DE8">
        <w:lastRenderedPageBreak/>
        <w:t>Introduction</w:t>
      </w:r>
      <w:bookmarkEnd w:id="3"/>
      <w:bookmarkEnd w:id="4"/>
      <w:bookmarkEnd w:id="5"/>
      <w:bookmarkEnd w:id="6"/>
    </w:p>
    <w:p w14:paraId="4CFEBC49" w14:textId="77777777" w:rsidR="00B10E1F" w:rsidRPr="00D040E3" w:rsidRDefault="00B10E1F" w:rsidP="00B10E1F">
      <w:pPr>
        <w:pStyle w:val="Heading2"/>
      </w:pPr>
      <w:bookmarkStart w:id="7" w:name="_Toc90038021"/>
      <w:bookmarkStart w:id="8" w:name="_Toc121213926"/>
      <w:r w:rsidRPr="00D040E3">
        <w:t>Background</w:t>
      </w:r>
      <w:bookmarkEnd w:id="7"/>
      <w:bookmarkEnd w:id="8"/>
    </w:p>
    <w:p w14:paraId="76840677" w14:textId="157BFB14" w:rsidR="00670EA0" w:rsidRPr="00856CA4" w:rsidRDefault="00A1196E" w:rsidP="00D56DE8">
      <w:pPr>
        <w:pStyle w:val="STPR2BodyText"/>
        <w:rPr>
          <w:color w:val="000000" w:themeColor="text1"/>
        </w:rPr>
      </w:pPr>
      <w:r w:rsidRPr="00B64BAF">
        <w:t xml:space="preserve">In early 2019, Transport Scotland commenced the second Strategic Transport Projects Review (STPR2) to help inform transport investment in Scotland for the next 20 years. STPR2 </w:t>
      </w:r>
      <w:r w:rsidRPr="00856CA4">
        <w:rPr>
          <w:color w:val="000000" w:themeColor="text1"/>
        </w:rPr>
        <w:t xml:space="preserve">will help to deliver the vision, priorities and outcomes for transport set out in the </w:t>
      </w:r>
      <w:hyperlink r:id="rId16" w:history="1">
        <w:r w:rsidR="00670EA0" w:rsidRPr="00856CA4">
          <w:rPr>
            <w:rStyle w:val="Hyperlink"/>
            <w:color w:val="000000" w:themeColor="text1"/>
            <w:u w:val="none"/>
          </w:rPr>
          <w:t>National Transport Strategy (NTS2)</w:t>
        </w:r>
      </w:hyperlink>
      <w:r w:rsidR="00670EA0" w:rsidRPr="00856CA4">
        <w:rPr>
          <w:color w:val="000000" w:themeColor="text1"/>
        </w:rPr>
        <w:t xml:space="preserve">, aligning with other national plans such as the </w:t>
      </w:r>
      <w:hyperlink r:id="rId17" w:history="1">
        <w:r w:rsidR="00670EA0" w:rsidRPr="00856CA4">
          <w:rPr>
            <w:rStyle w:val="Hyperlink"/>
            <w:color w:val="000000" w:themeColor="text1"/>
            <w:u w:val="none"/>
          </w:rPr>
          <w:t>Climate Change Plan</w:t>
        </w:r>
      </w:hyperlink>
      <w:r w:rsidR="00670EA0" w:rsidRPr="00856CA4">
        <w:rPr>
          <w:color w:val="000000" w:themeColor="text1"/>
        </w:rPr>
        <w:t xml:space="preserve">, the </w:t>
      </w:r>
      <w:hyperlink r:id="rId18" w:history="1">
        <w:r w:rsidR="00670EA0" w:rsidRPr="00856CA4">
          <w:rPr>
            <w:rStyle w:val="Hyperlink"/>
            <w:color w:val="000000" w:themeColor="text1"/>
            <w:u w:val="none"/>
          </w:rPr>
          <w:t>second Cleaner Air for Scotland strategy</w:t>
        </w:r>
      </w:hyperlink>
      <w:r w:rsidR="00670EA0" w:rsidRPr="00856CA4">
        <w:rPr>
          <w:color w:val="000000" w:themeColor="text1"/>
        </w:rPr>
        <w:t xml:space="preserve"> and the </w:t>
      </w:r>
      <w:hyperlink r:id="rId19" w:history="1">
        <w:r w:rsidR="00670EA0" w:rsidRPr="00856CA4">
          <w:rPr>
            <w:rStyle w:val="Hyperlink"/>
            <w:color w:val="000000" w:themeColor="text1"/>
            <w:u w:val="none"/>
          </w:rPr>
          <w:t>National Planning Framework (NPF4)</w:t>
        </w:r>
      </w:hyperlink>
      <w:r w:rsidR="00670EA0" w:rsidRPr="00856CA4">
        <w:rPr>
          <w:color w:val="000000" w:themeColor="text1"/>
        </w:rPr>
        <w:t>.</w:t>
      </w:r>
    </w:p>
    <w:p w14:paraId="7A57D642" w14:textId="35D3DBC9" w:rsidR="00B10E1F" w:rsidRPr="00856CA4" w:rsidRDefault="00B10E1F" w:rsidP="00D56DE8">
      <w:pPr>
        <w:pStyle w:val="STPR2BodyText"/>
        <w:rPr>
          <w:color w:val="000000" w:themeColor="text1"/>
        </w:rPr>
      </w:pPr>
      <w:r w:rsidRPr="00856CA4">
        <w:rPr>
          <w:color w:val="000000" w:themeColor="text1"/>
        </w:rPr>
        <w:t xml:space="preserve">Further information on NTS2 and STPR2 is provided </w:t>
      </w:r>
      <w:r w:rsidR="00CD4275" w:rsidRPr="00856CA4">
        <w:rPr>
          <w:color w:val="000000" w:themeColor="text1"/>
        </w:rPr>
        <w:t>at</w:t>
      </w:r>
      <w:r w:rsidRPr="00856CA4">
        <w:rPr>
          <w:color w:val="000000" w:themeColor="text1"/>
        </w:rPr>
        <w:t xml:space="preserve"> </w:t>
      </w:r>
      <w:hyperlink r:id="rId20" w:history="1">
        <w:r w:rsidR="23AFC323" w:rsidRPr="00856CA4">
          <w:rPr>
            <w:rStyle w:val="Hyperlink"/>
            <w:color w:val="000000" w:themeColor="text1"/>
            <w:u w:val="none"/>
          </w:rPr>
          <w:t>Strategic Transport Projects Review 2</w:t>
        </w:r>
      </w:hyperlink>
      <w:r w:rsidRPr="00856CA4">
        <w:rPr>
          <w:color w:val="000000" w:themeColor="text1"/>
        </w:rPr>
        <w:t>.</w:t>
      </w:r>
    </w:p>
    <w:p w14:paraId="16C396B8" w14:textId="0B1D3E0F" w:rsidR="00B10E1F" w:rsidRPr="00C477D4" w:rsidRDefault="00B10E1F" w:rsidP="00D56DE8">
      <w:pPr>
        <w:pStyle w:val="STPR2BodyText"/>
        <w:rPr>
          <w:b/>
          <w:bCs/>
        </w:rPr>
      </w:pPr>
      <w:r w:rsidRPr="00856CA4">
        <w:rPr>
          <w:color w:val="000000" w:themeColor="text1"/>
        </w:rPr>
        <w:t xml:space="preserve">STPR2 involves conducting an evidence-based review of the performance of Scotland’s strategic transport network across </w:t>
      </w:r>
      <w:r w:rsidR="000952DE" w:rsidRPr="00856CA4">
        <w:rPr>
          <w:color w:val="000000" w:themeColor="text1"/>
        </w:rPr>
        <w:t>walking, wheeling, cycling</w:t>
      </w:r>
      <w:r w:rsidRPr="00856CA4">
        <w:rPr>
          <w:color w:val="000000" w:themeColor="text1"/>
        </w:rPr>
        <w:t xml:space="preserve">, bus, ferry, rail </w:t>
      </w:r>
      <w:r w:rsidRPr="000A7038">
        <w:t xml:space="preserve">and the </w:t>
      </w:r>
      <w:r>
        <w:t>trunk</w:t>
      </w:r>
      <w:r w:rsidRPr="000A7038">
        <w:t xml:space="preserve"> road network.</w:t>
      </w:r>
      <w:r>
        <w:t xml:space="preserve"> </w:t>
      </w:r>
      <w:r w:rsidRPr="00C477D4">
        <w:t>The outcomes from STPR2 will:</w:t>
      </w:r>
    </w:p>
    <w:p w14:paraId="6879C451" w14:textId="77777777" w:rsidR="00B10E1F" w:rsidRPr="00646395" w:rsidRDefault="00B10E1F" w:rsidP="00D56DE8">
      <w:pPr>
        <w:pStyle w:val="STPR2BulletsLevel1"/>
      </w:pPr>
      <w:r w:rsidRPr="00646395">
        <w:t>enhance accessibility across Scotland for residents, visitors and businesses;</w:t>
      </w:r>
    </w:p>
    <w:p w14:paraId="226D4F77" w14:textId="77777777" w:rsidR="00B10E1F" w:rsidRPr="00D56DE8" w:rsidRDefault="00B10E1F" w:rsidP="00D56DE8">
      <w:pPr>
        <w:pStyle w:val="STPR2BulletsLevel1"/>
      </w:pPr>
      <w:r w:rsidRPr="00D56DE8">
        <w:t>create better connectivity with sustainable, smart and cleaner transport options; and</w:t>
      </w:r>
    </w:p>
    <w:p w14:paraId="568E3B41" w14:textId="77777777" w:rsidR="00B10E1F" w:rsidRPr="00646395" w:rsidRDefault="00B10E1F" w:rsidP="00D56DE8">
      <w:pPr>
        <w:pStyle w:val="STPR2BulletsLevel1"/>
      </w:pPr>
      <w:r w:rsidRPr="00D56DE8">
        <w:t>high</w:t>
      </w:r>
      <w:r w:rsidRPr="00646395">
        <w:t>light the vital contribution that transport investment can play in enabling and sustaining Scotland’s economic growth.</w:t>
      </w:r>
    </w:p>
    <w:p w14:paraId="29842134" w14:textId="64CDAFF8" w:rsidR="00B10E1F" w:rsidRDefault="00B10E1F" w:rsidP="00D56DE8">
      <w:pPr>
        <w:pStyle w:val="STPR2BodyText"/>
      </w:pPr>
      <w:r w:rsidRPr="00C477D4">
        <w:t xml:space="preserve">The review will </w:t>
      </w:r>
      <w:r>
        <w:t xml:space="preserve">help inform </w:t>
      </w:r>
      <w:r w:rsidRPr="00C477D4">
        <w:t xml:space="preserve">Scottish Ministers </w:t>
      </w:r>
      <w:r>
        <w:t xml:space="preserve">on </w:t>
      </w:r>
      <w:r w:rsidRPr="00C477D4">
        <w:t xml:space="preserve">a programme of potential transport investment opportunities for the period </w:t>
      </w:r>
      <w:r>
        <w:t xml:space="preserve">between </w:t>
      </w:r>
      <w:r w:rsidRPr="00C477D4">
        <w:t>2022</w:t>
      </w:r>
      <w:r>
        <w:t xml:space="preserve"> and </w:t>
      </w:r>
      <w:r w:rsidRPr="00C477D4">
        <w:t>2042.</w:t>
      </w:r>
    </w:p>
    <w:p w14:paraId="7A98D3D2" w14:textId="1BA3780D" w:rsidR="00AB5964" w:rsidRPr="007A5B17" w:rsidRDefault="00AB5964" w:rsidP="00D56DE8">
      <w:pPr>
        <w:pStyle w:val="STPR2BodyText"/>
      </w:pPr>
      <w:r w:rsidRPr="007A5B17">
        <w:t xml:space="preserve">As part of their commission, Jacobs and AECOM have undertaken a series of impact assessments on STPR2, which includes this </w:t>
      </w:r>
      <w:r w:rsidR="0059466F">
        <w:t xml:space="preserve">Island Communities Impact Assessment </w:t>
      </w:r>
      <w:r w:rsidRPr="007A5B17">
        <w:t>(</w:t>
      </w:r>
      <w:r w:rsidR="0059466F">
        <w:t>IC</w:t>
      </w:r>
      <w:r w:rsidRPr="007A5B17">
        <w:t>IA).</w:t>
      </w:r>
    </w:p>
    <w:p w14:paraId="33652947" w14:textId="35E3465A" w:rsidR="00B10E1F" w:rsidRDefault="00B10E1F" w:rsidP="00B10E1F">
      <w:pPr>
        <w:pStyle w:val="Heading2"/>
      </w:pPr>
      <w:bookmarkStart w:id="9" w:name="_Toc120094569"/>
      <w:bookmarkStart w:id="10" w:name="_Toc120094778"/>
      <w:bookmarkStart w:id="11" w:name="_Toc120096302"/>
      <w:bookmarkStart w:id="12" w:name="_Toc120096704"/>
      <w:bookmarkStart w:id="13" w:name="_Toc120094570"/>
      <w:bookmarkStart w:id="14" w:name="_Toc120094779"/>
      <w:bookmarkStart w:id="15" w:name="_Toc120096303"/>
      <w:bookmarkStart w:id="16" w:name="_Toc120096705"/>
      <w:bookmarkStart w:id="17" w:name="_Toc120094571"/>
      <w:bookmarkStart w:id="18" w:name="_Toc120094780"/>
      <w:bookmarkStart w:id="19" w:name="_Toc120096304"/>
      <w:bookmarkStart w:id="20" w:name="_Toc120096706"/>
      <w:bookmarkStart w:id="21" w:name="_Toc120094572"/>
      <w:bookmarkStart w:id="22" w:name="_Toc120094781"/>
      <w:bookmarkStart w:id="23" w:name="_Toc120096305"/>
      <w:bookmarkStart w:id="24" w:name="_Toc120096707"/>
      <w:bookmarkStart w:id="25" w:name="_Toc120094573"/>
      <w:bookmarkStart w:id="26" w:name="_Toc120094782"/>
      <w:bookmarkStart w:id="27" w:name="_Toc120096306"/>
      <w:bookmarkStart w:id="28" w:name="_Toc120096708"/>
      <w:bookmarkStart w:id="29" w:name="_Toc120094574"/>
      <w:bookmarkStart w:id="30" w:name="_Toc120094783"/>
      <w:bookmarkStart w:id="31" w:name="_Toc120096307"/>
      <w:bookmarkStart w:id="32" w:name="_Toc120096709"/>
      <w:bookmarkStart w:id="33" w:name="_Toc120094575"/>
      <w:bookmarkStart w:id="34" w:name="_Toc120094784"/>
      <w:bookmarkStart w:id="35" w:name="_Toc120096308"/>
      <w:bookmarkStart w:id="36" w:name="_Toc120096710"/>
      <w:bookmarkStart w:id="37" w:name="_Toc120094576"/>
      <w:bookmarkStart w:id="38" w:name="_Toc120094785"/>
      <w:bookmarkStart w:id="39" w:name="_Toc120096309"/>
      <w:bookmarkStart w:id="40" w:name="_Toc120096711"/>
      <w:bookmarkStart w:id="41" w:name="_Toc120892153"/>
      <w:bookmarkStart w:id="42" w:name="_Toc120892254"/>
      <w:bookmarkStart w:id="43" w:name="_Toc121208979"/>
      <w:bookmarkStart w:id="44" w:name="_Toc121209468"/>
      <w:bookmarkStart w:id="45" w:name="_Toc120892154"/>
      <w:bookmarkStart w:id="46" w:name="_Toc120892255"/>
      <w:bookmarkStart w:id="47" w:name="_Toc121208980"/>
      <w:bookmarkStart w:id="48" w:name="_Toc121209469"/>
      <w:bookmarkStart w:id="49" w:name="_Toc120892155"/>
      <w:bookmarkStart w:id="50" w:name="_Toc120892256"/>
      <w:bookmarkStart w:id="51" w:name="_Toc121208981"/>
      <w:bookmarkStart w:id="52" w:name="_Toc121209470"/>
      <w:bookmarkStart w:id="53" w:name="_Toc120892156"/>
      <w:bookmarkStart w:id="54" w:name="_Toc120892257"/>
      <w:bookmarkStart w:id="55" w:name="_Toc121208982"/>
      <w:bookmarkStart w:id="56" w:name="_Toc121209471"/>
      <w:bookmarkStart w:id="57" w:name="_Toc120892157"/>
      <w:bookmarkStart w:id="58" w:name="_Toc120892258"/>
      <w:bookmarkStart w:id="59" w:name="_Toc121208983"/>
      <w:bookmarkStart w:id="60" w:name="_Toc121209472"/>
      <w:bookmarkStart w:id="61" w:name="_Toc120892158"/>
      <w:bookmarkStart w:id="62" w:name="_Toc120892259"/>
      <w:bookmarkStart w:id="63" w:name="_Toc121208984"/>
      <w:bookmarkStart w:id="64" w:name="_Toc121209473"/>
      <w:bookmarkStart w:id="65" w:name="_Toc120892159"/>
      <w:bookmarkStart w:id="66" w:name="_Toc120892260"/>
      <w:bookmarkStart w:id="67" w:name="_Toc121208985"/>
      <w:bookmarkStart w:id="68" w:name="_Toc121209474"/>
      <w:bookmarkStart w:id="69" w:name="_Toc120892160"/>
      <w:bookmarkStart w:id="70" w:name="_Toc120892261"/>
      <w:bookmarkStart w:id="71" w:name="_Toc19802848"/>
      <w:bookmarkStart w:id="72" w:name="_Toc19871974"/>
      <w:bookmarkStart w:id="73" w:name="_Toc19882144"/>
      <w:bookmarkStart w:id="74" w:name="_Toc19882315"/>
      <w:bookmarkStart w:id="75" w:name="_Toc19889642"/>
      <w:bookmarkStart w:id="76" w:name="_Toc20124034"/>
      <w:bookmarkStart w:id="77" w:name="_Toc20124166"/>
      <w:bookmarkStart w:id="78" w:name="_Toc20124954"/>
      <w:bookmarkStart w:id="79" w:name="_Toc20127007"/>
      <w:bookmarkStart w:id="80" w:name="_Toc20380969"/>
      <w:bookmarkStart w:id="81" w:name="_Toc20484715"/>
      <w:bookmarkStart w:id="82" w:name="_Toc20484960"/>
      <w:bookmarkStart w:id="83" w:name="_Toc20487770"/>
      <w:bookmarkStart w:id="84" w:name="_Toc20487965"/>
      <w:bookmarkStart w:id="85" w:name="_Toc20744579"/>
      <w:bookmarkStart w:id="86" w:name="_Toc20754054"/>
      <w:bookmarkStart w:id="87" w:name="_Toc20756441"/>
      <w:bookmarkStart w:id="88" w:name="_Toc20758874"/>
      <w:bookmarkStart w:id="89" w:name="_Toc20758947"/>
      <w:bookmarkStart w:id="90" w:name="_Toc20759020"/>
      <w:bookmarkStart w:id="91" w:name="_Toc20759212"/>
      <w:bookmarkStart w:id="92" w:name="_Toc20898697"/>
      <w:bookmarkStart w:id="93" w:name="_Toc20898982"/>
      <w:bookmarkStart w:id="94" w:name="_Toc20903601"/>
      <w:bookmarkStart w:id="95" w:name="_Toc20903713"/>
      <w:bookmarkStart w:id="96" w:name="_Toc20903830"/>
      <w:bookmarkStart w:id="97" w:name="_Toc21078470"/>
      <w:bookmarkStart w:id="98" w:name="_Toc21080096"/>
      <w:bookmarkStart w:id="99" w:name="_Toc21353714"/>
      <w:bookmarkStart w:id="100" w:name="_Toc21354180"/>
      <w:bookmarkStart w:id="101" w:name="_Toc21446865"/>
      <w:bookmarkStart w:id="102" w:name="_Toc21447119"/>
      <w:bookmarkStart w:id="103" w:name="_Toc21447233"/>
      <w:bookmarkStart w:id="104" w:name="_Toc21447478"/>
      <w:bookmarkStart w:id="105" w:name="_Toc21447612"/>
      <w:bookmarkStart w:id="106" w:name="_Toc21510381"/>
      <w:bookmarkStart w:id="107" w:name="_Toc21510983"/>
      <w:bookmarkStart w:id="108" w:name="_Toc21523052"/>
      <w:bookmarkStart w:id="109" w:name="_Toc121213927"/>
      <w:bookmarkStart w:id="110" w:name="_Toc90038023"/>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t>STPR2 Integrated Impact Assessments</w:t>
      </w:r>
      <w:bookmarkEnd w:id="109"/>
      <w:bookmarkEnd w:id="110"/>
    </w:p>
    <w:p w14:paraId="4AED60FC" w14:textId="5B43CF55" w:rsidR="00B10E1F" w:rsidRDefault="00B10E1F" w:rsidP="00D56DE8">
      <w:pPr>
        <w:pStyle w:val="STPR2BodyText"/>
      </w:pPr>
      <w:r w:rsidRPr="00186D5D">
        <w:t xml:space="preserve">STPR2 </w:t>
      </w:r>
      <w:r>
        <w:t>is</w:t>
      </w:r>
      <w:r w:rsidRPr="00186D5D">
        <w:t xml:space="preserve"> accompanied by various</w:t>
      </w:r>
      <w:r>
        <w:t xml:space="preserve"> social and environmental impact</w:t>
      </w:r>
      <w:r w:rsidRPr="00186D5D">
        <w:t xml:space="preserve"> assessments</w:t>
      </w:r>
      <w:r>
        <w:t xml:space="preserve"> that have been integrated into each stage of STPR2 </w:t>
      </w:r>
      <w:r w:rsidR="76B9A247">
        <w:t>Scottish Transport Appraisal Guidance (</w:t>
      </w:r>
      <w:r>
        <w:t>STAG</w:t>
      </w:r>
      <w:r w:rsidR="3B40EBBB">
        <w:t>)</w:t>
      </w:r>
      <w:r>
        <w:t xml:space="preserve"> </w:t>
      </w:r>
      <w:r w:rsidR="00903BA4">
        <w:t>development</w:t>
      </w:r>
      <w:r w:rsidRPr="008D0A5B">
        <w:t xml:space="preserve">. </w:t>
      </w:r>
      <w:r w:rsidRPr="005A1036">
        <w:t xml:space="preserve">These comprise </w:t>
      </w:r>
      <w:r>
        <w:t xml:space="preserve">this </w:t>
      </w:r>
      <w:r w:rsidR="00681E5E">
        <w:t>ICIA,</w:t>
      </w:r>
      <w:r>
        <w:t xml:space="preserve"> a </w:t>
      </w:r>
      <w:r w:rsidRPr="005A1036">
        <w:t>Child Rights and Wellbeing Impact Assessment</w:t>
      </w:r>
      <w:r>
        <w:t xml:space="preserve"> (CRWIA), an</w:t>
      </w:r>
      <w:r w:rsidRPr="005A1036">
        <w:t xml:space="preserve"> </w:t>
      </w:r>
      <w:r w:rsidR="00681E5E">
        <w:t>Equality Impact Assessment</w:t>
      </w:r>
      <w:r>
        <w:t xml:space="preserve"> (</w:t>
      </w:r>
      <w:r w:rsidR="00681E5E">
        <w:t>EqIA</w:t>
      </w:r>
      <w:r>
        <w:t>), a</w:t>
      </w:r>
      <w:r w:rsidRPr="005A1036">
        <w:t xml:space="preserve"> Fairer Scotland Duty Assessment</w:t>
      </w:r>
      <w:r>
        <w:t xml:space="preserve"> (FSDA)</w:t>
      </w:r>
      <w:r w:rsidR="00140D01">
        <w:t>, a</w:t>
      </w:r>
      <w:r w:rsidRPr="005A1036">
        <w:t xml:space="preserve"> Strategic Environmental Assessment (SEA)</w:t>
      </w:r>
      <w:r>
        <w:t xml:space="preserve"> and a Habitats Regulation Appraisal. </w:t>
      </w:r>
      <w:r w:rsidRPr="00670E66">
        <w:t xml:space="preserve">These </w:t>
      </w:r>
      <w:r>
        <w:t>impact assessments</w:t>
      </w:r>
      <w:r w:rsidRPr="00670E66">
        <w:t xml:space="preserve"> interact</w:t>
      </w:r>
      <w:r>
        <w:t xml:space="preserve"> and complement each other</w:t>
      </w:r>
      <w:r w:rsidRPr="00670E66">
        <w:t xml:space="preserve"> </w:t>
      </w:r>
      <w:r>
        <w:t>to</w:t>
      </w:r>
      <w:r w:rsidRPr="00670E66">
        <w:t xml:space="preserve"> ensure th</w:t>
      </w:r>
      <w:r>
        <w:t>at</w:t>
      </w:r>
      <w:r w:rsidRPr="00670E66">
        <w:t xml:space="preserve"> STPR2 is environmentally sustainable and socially equitable. </w:t>
      </w:r>
      <w:r>
        <w:t xml:space="preserve">They share baseline data wherever possible and as such an integrated approach to the assessment process has been undertaken. </w:t>
      </w:r>
      <w:r w:rsidR="00CC289D">
        <w:fldChar w:fldCharType="begin"/>
      </w:r>
      <w:r w:rsidR="00CC289D">
        <w:rPr>
          <w:b/>
          <w:bCs/>
        </w:rPr>
        <w:instrText xml:space="preserve"> REF _Ref120095125 \h </w:instrText>
      </w:r>
      <w:r w:rsidR="00D3070E">
        <w:instrText xml:space="preserve"> \* MERGEFORMAT </w:instrText>
      </w:r>
      <w:r w:rsidR="00CC289D">
        <w:fldChar w:fldCharType="separate"/>
      </w:r>
      <w:r w:rsidR="00B71F51" w:rsidRPr="00D56DE8">
        <w:t xml:space="preserve">Figure </w:t>
      </w:r>
      <w:r w:rsidR="00B71F51">
        <w:t>1</w:t>
      </w:r>
      <w:r w:rsidR="00CC289D">
        <w:fldChar w:fldCharType="end"/>
      </w:r>
      <w:r w:rsidR="00FC37AB">
        <w:rPr>
          <w:b/>
          <w:bCs/>
        </w:rPr>
        <w:t xml:space="preserve"> </w:t>
      </w:r>
      <w:r>
        <w:t>shows the impact assessments required for</w:t>
      </w:r>
      <w:r w:rsidR="00D56DE8">
        <w:t> </w:t>
      </w:r>
      <w:r>
        <w:t xml:space="preserve">STPR2. </w:t>
      </w:r>
    </w:p>
    <w:p w14:paraId="4E5523CC" w14:textId="2681097A" w:rsidR="007B3A87" w:rsidRDefault="007B3A87" w:rsidP="00D56DE8">
      <w:pPr>
        <w:pStyle w:val="STPR2BodyText"/>
      </w:pPr>
      <w:r>
        <w:t xml:space="preserve">Until this point, ICIA reporting was combined with the CRWIA, EqIA and FSDA as an integrated assessment. </w:t>
      </w:r>
      <w:r w:rsidRPr="005A24A6">
        <w:t>An EqIA Scoping Report</w:t>
      </w:r>
      <w:r>
        <w:t xml:space="preserve"> encompassing all assessments</w:t>
      </w:r>
      <w:r w:rsidRPr="005A24A6">
        <w:t xml:space="preserve"> was </w:t>
      </w:r>
      <w:r>
        <w:t>initially developed for STPR2 and</w:t>
      </w:r>
      <w:r w:rsidRPr="005A24A6">
        <w:t xml:space="preserve"> published for consultation between December 2019 and February 2020 in order to gather views on the scope and </w:t>
      </w:r>
      <w:r>
        <w:t xml:space="preserve">proposed </w:t>
      </w:r>
      <w:r w:rsidRPr="005A24A6">
        <w:t>approach.</w:t>
      </w:r>
      <w:r>
        <w:t xml:space="preserve"> This provided a full policy review, baseline evidence, findings from stakeholder engagement activities and set out proposed equality topics and objectives to use as a framework for the</w:t>
      </w:r>
      <w:r w:rsidR="00D56DE8">
        <w:t> </w:t>
      </w:r>
      <w:r>
        <w:t>assessments.</w:t>
      </w:r>
      <w:r w:rsidRPr="005A24A6">
        <w:t> </w:t>
      </w:r>
    </w:p>
    <w:p w14:paraId="1C4FDA8B" w14:textId="1E1F5298" w:rsidR="007C5558" w:rsidRPr="00856CA4" w:rsidRDefault="007B3A87" w:rsidP="00D56DE8">
      <w:pPr>
        <w:pStyle w:val="STPR2BodyText"/>
        <w:rPr>
          <w:color w:val="000000" w:themeColor="text1"/>
        </w:rPr>
      </w:pPr>
      <w:r w:rsidRPr="00856CA4">
        <w:rPr>
          <w:color w:val="000000" w:themeColor="text1"/>
        </w:rPr>
        <w:lastRenderedPageBreak/>
        <w:t xml:space="preserve">An </w:t>
      </w:r>
      <w:hyperlink r:id="rId21" w:history="1">
        <w:r w:rsidRPr="00856CA4">
          <w:rPr>
            <w:rStyle w:val="Hyperlink"/>
            <w:color w:val="000000" w:themeColor="text1"/>
            <w:u w:val="none"/>
          </w:rPr>
          <w:t>EqIA Progress Report</w:t>
        </w:r>
      </w:hyperlink>
      <w:r w:rsidRPr="00856CA4">
        <w:rPr>
          <w:color w:val="000000" w:themeColor="text1"/>
        </w:rPr>
        <w:t xml:space="preserve"> was published in </w:t>
      </w:r>
      <w:r w:rsidR="5A39776B" w:rsidRPr="00856CA4">
        <w:rPr>
          <w:color w:val="000000" w:themeColor="text1"/>
        </w:rPr>
        <w:t>February</w:t>
      </w:r>
      <w:r w:rsidRPr="00856CA4">
        <w:rPr>
          <w:color w:val="000000" w:themeColor="text1"/>
        </w:rPr>
        <w:t xml:space="preserve"> 2021</w:t>
      </w:r>
      <w:r w:rsidR="00EE4652" w:rsidRPr="00856CA4">
        <w:rPr>
          <w:color w:val="000000" w:themeColor="text1"/>
        </w:rPr>
        <w:t>.</w:t>
      </w:r>
      <w:r w:rsidRPr="00856CA4">
        <w:rPr>
          <w:color w:val="000000" w:themeColor="text1"/>
        </w:rPr>
        <w:t xml:space="preserve"> This summarised the assessment conducted until that point on the EqIA, CRWIA, ICIA and FSDA. </w:t>
      </w:r>
    </w:p>
    <w:p w14:paraId="5DAF2E60" w14:textId="54146351" w:rsidR="007C5558" w:rsidRPr="00063CAC" w:rsidRDefault="007C5558" w:rsidP="00D56DE8">
      <w:pPr>
        <w:pStyle w:val="STPR2BodyText"/>
      </w:pPr>
      <w:r w:rsidRPr="00856CA4">
        <w:rPr>
          <w:color w:val="000000" w:themeColor="text1"/>
        </w:rPr>
        <w:t xml:space="preserve">In January 2022, the STPR2 </w:t>
      </w:r>
      <w:r w:rsidR="006A3A78" w:rsidRPr="00856CA4">
        <w:rPr>
          <w:color w:val="000000" w:themeColor="text1"/>
        </w:rPr>
        <w:t xml:space="preserve">Draft Technical </w:t>
      </w:r>
      <w:r w:rsidRPr="00856CA4">
        <w:rPr>
          <w:color w:val="000000" w:themeColor="text1"/>
        </w:rPr>
        <w:t xml:space="preserve">report (Jacobs </w:t>
      </w:r>
      <w:r w:rsidR="00994DF6" w:rsidRPr="00856CA4">
        <w:rPr>
          <w:color w:val="000000" w:themeColor="text1"/>
        </w:rPr>
        <w:t xml:space="preserve">AECOM </w:t>
      </w:r>
      <w:r w:rsidRPr="00856CA4">
        <w:rPr>
          <w:color w:val="000000" w:themeColor="text1"/>
        </w:rPr>
        <w:t xml:space="preserve">2022a) was published alongside associated documents and individual draft impact assessments (including the </w:t>
      </w:r>
      <w:r w:rsidR="00F635EF" w:rsidRPr="00856CA4">
        <w:rPr>
          <w:color w:val="000000" w:themeColor="text1"/>
        </w:rPr>
        <w:t>D</w:t>
      </w:r>
      <w:r w:rsidRPr="00856CA4">
        <w:rPr>
          <w:color w:val="000000" w:themeColor="text1"/>
        </w:rPr>
        <w:t xml:space="preserve">raft ICIA report (Jacobs </w:t>
      </w:r>
      <w:r w:rsidR="00994DF6" w:rsidRPr="00856CA4">
        <w:rPr>
          <w:color w:val="000000" w:themeColor="text1"/>
        </w:rPr>
        <w:t xml:space="preserve">AECOM </w:t>
      </w:r>
      <w:r w:rsidRPr="00856CA4">
        <w:rPr>
          <w:color w:val="000000" w:themeColor="text1"/>
        </w:rPr>
        <w:t xml:space="preserve">2022b)). A 12-week public consultation period was undertaken, hosted on the Scottish Government’s consultation platform Citizen Space. Further details of the statutory consultation </w:t>
      </w:r>
      <w:r w:rsidRPr="00063CAC">
        <w:t xml:space="preserve">process are provided in </w:t>
      </w:r>
      <w:r w:rsidR="00083CB4">
        <w:t>c</w:t>
      </w:r>
      <w:r w:rsidRPr="00063CAC">
        <w:t xml:space="preserve">hapter </w:t>
      </w:r>
      <w:r w:rsidR="00C414BF">
        <w:t>4</w:t>
      </w:r>
      <w:r>
        <w:t>.</w:t>
      </w:r>
    </w:p>
    <w:p w14:paraId="24930200" w14:textId="700A6BC4" w:rsidR="007C5558" w:rsidRDefault="007C5558" w:rsidP="00D56DE8">
      <w:pPr>
        <w:pStyle w:val="STPR2BodyText"/>
      </w:pPr>
      <w:r w:rsidRPr="00063CAC">
        <w:t>The views of statutory consultees, wider stakeholders and the public on the processes, findings and recommendations have been used to shape th</w:t>
      </w:r>
      <w:r>
        <w:t>e</w:t>
      </w:r>
      <w:r w:rsidRPr="00063CAC">
        <w:t xml:space="preserve"> </w:t>
      </w:r>
      <w:r>
        <w:t xml:space="preserve">Final STPR2 </w:t>
      </w:r>
      <w:r w:rsidRPr="00063CAC">
        <w:t>Technical</w:t>
      </w:r>
      <w:r w:rsidR="00D56DE8">
        <w:t> </w:t>
      </w:r>
      <w:r w:rsidRPr="00063CAC">
        <w:t>Report</w:t>
      </w:r>
      <w:r w:rsidR="00837C52">
        <w:t>.</w:t>
      </w:r>
    </w:p>
    <w:p w14:paraId="0FAE755F" w14:textId="5E59AAF3" w:rsidR="00B10E1F" w:rsidRDefault="007C5558" w:rsidP="00D56DE8">
      <w:pPr>
        <w:pStyle w:val="STPR2BodyText"/>
      </w:pPr>
      <w:r>
        <w:t xml:space="preserve">In addition, where relevant, </w:t>
      </w:r>
      <w:r w:rsidRPr="00591573">
        <w:t xml:space="preserve">feedback </w:t>
      </w:r>
      <w:r>
        <w:t>relating to the</w:t>
      </w:r>
      <w:r w:rsidRPr="00591573">
        <w:t xml:space="preserve"> Draft </w:t>
      </w:r>
      <w:r w:rsidR="00143094">
        <w:t>IC</w:t>
      </w:r>
      <w:r>
        <w:t>IA r</w:t>
      </w:r>
      <w:r w:rsidRPr="00591573">
        <w:t xml:space="preserve">eport </w:t>
      </w:r>
      <w:r>
        <w:t xml:space="preserve">is addressed within this Final </w:t>
      </w:r>
      <w:r w:rsidR="00143094">
        <w:t>IC</w:t>
      </w:r>
      <w:r>
        <w:t>IA report</w:t>
      </w:r>
      <w:r w:rsidRPr="00591573">
        <w:t>.</w:t>
      </w:r>
    </w:p>
    <w:p w14:paraId="32D97E7A" w14:textId="77777777" w:rsidR="00B10E1F" w:rsidRPr="00D8043C" w:rsidRDefault="00B10E1F" w:rsidP="000605C1">
      <w:pPr>
        <w:keepNext/>
        <w:spacing w:before="240"/>
      </w:pPr>
      <w:r w:rsidRPr="00D8043C">
        <w:rPr>
          <w:noProof/>
        </w:rPr>
        <w:drawing>
          <wp:inline distT="0" distB="0" distL="0" distR="0" wp14:anchorId="1C55EF48" wp14:editId="43ED393F">
            <wp:extent cx="6048150" cy="2448628"/>
            <wp:effectExtent l="0" t="0" r="0" b="889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2"/>
                    <a:stretch>
                      <a:fillRect/>
                    </a:stretch>
                  </pic:blipFill>
                  <pic:spPr>
                    <a:xfrm>
                      <a:off x="0" y="0"/>
                      <a:ext cx="6060249" cy="2453526"/>
                    </a:xfrm>
                    <a:prstGeom prst="rect">
                      <a:avLst/>
                    </a:prstGeom>
                  </pic:spPr>
                </pic:pic>
              </a:graphicData>
            </a:graphic>
          </wp:inline>
        </w:drawing>
      </w:r>
    </w:p>
    <w:p w14:paraId="5CD5D44D" w14:textId="48CA72BF" w:rsidR="00B10E1F" w:rsidRPr="00D56DE8" w:rsidRDefault="00EF2BA2" w:rsidP="00D56DE8">
      <w:pPr>
        <w:pStyle w:val="STPR2Caption"/>
        <w:rPr>
          <w:i/>
          <w:iCs/>
        </w:rPr>
      </w:pPr>
      <w:bookmarkStart w:id="111" w:name="_Ref120095125"/>
      <w:bookmarkStart w:id="112" w:name="_Ref85023913"/>
      <w:bookmarkStart w:id="113" w:name="_Toc121213991"/>
      <w:r w:rsidRPr="00D56DE8">
        <w:t xml:space="preserve">Figure </w:t>
      </w:r>
      <w:r w:rsidR="00293A74">
        <w:fldChar w:fldCharType="begin"/>
      </w:r>
      <w:r w:rsidR="00293A74">
        <w:instrText xml:space="preserve"> SEQ Figure \* ARABIC </w:instrText>
      </w:r>
      <w:r w:rsidR="00293A74">
        <w:fldChar w:fldCharType="separate"/>
      </w:r>
      <w:r w:rsidR="00B71F51">
        <w:rPr>
          <w:noProof/>
        </w:rPr>
        <w:t>1</w:t>
      </w:r>
      <w:r w:rsidR="00293A74">
        <w:rPr>
          <w:noProof/>
        </w:rPr>
        <w:fldChar w:fldCharType="end"/>
      </w:r>
      <w:bookmarkEnd w:id="111"/>
      <w:r w:rsidRPr="00D56DE8">
        <w:t xml:space="preserve"> </w:t>
      </w:r>
      <w:r w:rsidR="00D56DE8">
        <w:t>–</w:t>
      </w:r>
      <w:r w:rsidR="00B10E1F" w:rsidRPr="00D56DE8">
        <w:t xml:space="preserve"> </w:t>
      </w:r>
      <w:bookmarkEnd w:id="112"/>
      <w:r w:rsidR="00B2703D" w:rsidRPr="00D56DE8">
        <w:t>Relationship Between Impact Assessments, SEA and STAG</w:t>
      </w:r>
      <w:bookmarkEnd w:id="113"/>
    </w:p>
    <w:p w14:paraId="6D9C939D" w14:textId="318C1E62" w:rsidR="00B10E1F" w:rsidRDefault="00B10E1F" w:rsidP="00B10E1F">
      <w:pPr>
        <w:pStyle w:val="Heading2"/>
      </w:pPr>
      <w:bookmarkStart w:id="114" w:name="_Toc88563890"/>
      <w:bookmarkStart w:id="115" w:name="_Toc88563891"/>
      <w:bookmarkStart w:id="116" w:name="_Toc88563892"/>
      <w:bookmarkStart w:id="117" w:name="_Toc88563893"/>
      <w:bookmarkStart w:id="118" w:name="_Toc88563894"/>
      <w:bookmarkStart w:id="119" w:name="_Toc88563895"/>
      <w:bookmarkStart w:id="120" w:name="_Toc81993571"/>
      <w:bookmarkStart w:id="121" w:name="_Toc90038024"/>
      <w:bookmarkStart w:id="122" w:name="_Toc121213928"/>
      <w:bookmarkEnd w:id="114"/>
      <w:bookmarkEnd w:id="115"/>
      <w:bookmarkEnd w:id="116"/>
      <w:bookmarkEnd w:id="117"/>
      <w:bookmarkEnd w:id="118"/>
      <w:bookmarkEnd w:id="119"/>
      <w:r>
        <w:t xml:space="preserve">Purpose and Structure of </w:t>
      </w:r>
      <w:r w:rsidR="00942940">
        <w:t>ICIA</w:t>
      </w:r>
      <w:r>
        <w:t xml:space="preserve"> Report</w:t>
      </w:r>
      <w:bookmarkEnd w:id="120"/>
      <w:bookmarkEnd w:id="121"/>
      <w:bookmarkEnd w:id="122"/>
      <w:r>
        <w:t xml:space="preserve"> </w:t>
      </w:r>
    </w:p>
    <w:p w14:paraId="360FAC2F" w14:textId="31001DF2" w:rsidR="00B10E1F" w:rsidRPr="005654CC" w:rsidRDefault="00B10E1F" w:rsidP="00D56DE8">
      <w:pPr>
        <w:pStyle w:val="STPR2BodyText"/>
      </w:pPr>
      <w:r>
        <w:t xml:space="preserve">This report identifies potential impacts of STPR2 on </w:t>
      </w:r>
      <w:r w:rsidR="00F338C0">
        <w:t>island communities</w:t>
      </w:r>
      <w:r>
        <w:t xml:space="preserve"> and demonstrates T</w:t>
      </w:r>
      <w:r w:rsidR="00DD2FA1">
        <w:t>ransport Scotland’s</w:t>
      </w:r>
      <w:r>
        <w:t xml:space="preserve"> </w:t>
      </w:r>
      <w:r w:rsidR="00F338C0">
        <w:t>compliance with the Islands (Scotland) Act 2018, which it has a legal duty to consider in the delivery of its policies, programmes and projects.</w:t>
      </w:r>
      <w:r>
        <w:t xml:space="preserve"> </w:t>
      </w:r>
      <w:r w:rsidR="00817710" w:rsidRPr="005654CC">
        <w:t xml:space="preserve">Regulation 3 of The Island Communities Impact Assessments (Publication and Review of Decisions) (Scotland) Regulations requires that all ICIAs prepared by a relevant authority are published on a website of the relevant authority. </w:t>
      </w:r>
    </w:p>
    <w:p w14:paraId="124D64BD" w14:textId="753709A8" w:rsidR="00B10E1F" w:rsidRPr="00F21D0C" w:rsidRDefault="00B10E1F" w:rsidP="00D56DE8">
      <w:pPr>
        <w:pStyle w:val="STPR2BodyText"/>
      </w:pPr>
      <w:r w:rsidRPr="00F21D0C">
        <w:rPr>
          <w:rStyle w:val="normaltextrun"/>
        </w:rPr>
        <w:t>This report also details how the </w:t>
      </w:r>
      <w:r w:rsidR="00CB335C">
        <w:rPr>
          <w:rStyle w:val="normaltextrun"/>
        </w:rPr>
        <w:t>ICIA</w:t>
      </w:r>
      <w:r w:rsidRPr="00F21D0C">
        <w:rPr>
          <w:rStyle w:val="normaltextrun"/>
        </w:rPr>
        <w:t xml:space="preserve"> process has informed the development of STPR2 and provides an analysis of the STPR2 recommendations with regard to </w:t>
      </w:r>
      <w:r w:rsidR="00CB335C">
        <w:rPr>
          <w:rStyle w:val="normaltextrun"/>
        </w:rPr>
        <w:t>impacts on island communities</w:t>
      </w:r>
      <w:r w:rsidRPr="00F21D0C">
        <w:rPr>
          <w:rStyle w:val="normaltextrun"/>
        </w:rPr>
        <w:t>.</w:t>
      </w:r>
      <w:bookmarkStart w:id="123" w:name="_Toc20903603"/>
      <w:bookmarkStart w:id="124" w:name="_Toc20903715"/>
      <w:bookmarkStart w:id="125" w:name="_Toc20903832"/>
      <w:bookmarkStart w:id="126" w:name="_Toc21078472"/>
      <w:bookmarkStart w:id="127" w:name="_Toc21080098"/>
      <w:bookmarkStart w:id="128" w:name="_Toc21353716"/>
      <w:bookmarkStart w:id="129" w:name="_Toc21354182"/>
      <w:bookmarkStart w:id="130" w:name="_Toc20903604"/>
      <w:bookmarkStart w:id="131" w:name="_Toc20903716"/>
      <w:bookmarkStart w:id="132" w:name="_Toc20903833"/>
      <w:bookmarkStart w:id="133" w:name="_Toc21078473"/>
      <w:bookmarkStart w:id="134" w:name="_Toc21080099"/>
      <w:bookmarkStart w:id="135" w:name="_Toc21353717"/>
      <w:bookmarkStart w:id="136" w:name="_Toc21354183"/>
      <w:bookmarkStart w:id="137" w:name="_Toc20903605"/>
      <w:bookmarkStart w:id="138" w:name="_Toc20903717"/>
      <w:bookmarkStart w:id="139" w:name="_Toc20903834"/>
      <w:bookmarkStart w:id="140" w:name="_Toc21078474"/>
      <w:bookmarkStart w:id="141" w:name="_Toc21080100"/>
      <w:bookmarkStart w:id="142" w:name="_Toc21353718"/>
      <w:bookmarkStart w:id="143" w:name="_Toc21354184"/>
      <w:bookmarkStart w:id="144" w:name="_Toc20903606"/>
      <w:bookmarkStart w:id="145" w:name="_Toc20903718"/>
      <w:bookmarkStart w:id="146" w:name="_Toc20903835"/>
      <w:bookmarkStart w:id="147" w:name="_Toc21078475"/>
      <w:bookmarkStart w:id="148" w:name="_Toc21080101"/>
      <w:bookmarkStart w:id="149" w:name="_Toc21353719"/>
      <w:bookmarkStart w:id="150" w:name="_Toc21354185"/>
      <w:bookmarkStart w:id="151" w:name="_Toc20903607"/>
      <w:bookmarkStart w:id="152" w:name="_Toc20903719"/>
      <w:bookmarkStart w:id="153" w:name="_Toc20903836"/>
      <w:bookmarkStart w:id="154" w:name="_Toc21078476"/>
      <w:bookmarkStart w:id="155" w:name="_Toc21080102"/>
      <w:bookmarkStart w:id="156" w:name="_Toc21353720"/>
      <w:bookmarkStart w:id="157" w:name="_Toc21354186"/>
      <w:bookmarkStart w:id="158" w:name="_Toc20903608"/>
      <w:bookmarkStart w:id="159" w:name="_Toc20903720"/>
      <w:bookmarkStart w:id="160" w:name="_Toc20903837"/>
      <w:bookmarkStart w:id="161" w:name="_Toc21078477"/>
      <w:bookmarkStart w:id="162" w:name="_Toc21080103"/>
      <w:bookmarkStart w:id="163" w:name="_Toc21353721"/>
      <w:bookmarkStart w:id="164" w:name="_Toc21354187"/>
      <w:bookmarkStart w:id="165" w:name="_Toc20903609"/>
      <w:bookmarkStart w:id="166" w:name="_Toc20903721"/>
      <w:bookmarkStart w:id="167" w:name="_Toc20903838"/>
      <w:bookmarkStart w:id="168" w:name="_Toc21078478"/>
      <w:bookmarkStart w:id="169" w:name="_Toc21080104"/>
      <w:bookmarkStart w:id="170" w:name="_Toc21353722"/>
      <w:bookmarkStart w:id="171" w:name="_Toc21354188"/>
      <w:bookmarkStart w:id="172" w:name="_Toc20903610"/>
      <w:bookmarkStart w:id="173" w:name="_Toc20903722"/>
      <w:bookmarkStart w:id="174" w:name="_Toc20903839"/>
      <w:bookmarkStart w:id="175" w:name="_Toc21078479"/>
      <w:bookmarkStart w:id="176" w:name="_Toc21080105"/>
      <w:bookmarkStart w:id="177" w:name="_Toc21353723"/>
      <w:bookmarkStart w:id="178" w:name="_Toc21354189"/>
      <w:bookmarkStart w:id="179" w:name="_Toc20903611"/>
      <w:bookmarkStart w:id="180" w:name="_Toc20903723"/>
      <w:bookmarkStart w:id="181" w:name="_Toc20903840"/>
      <w:bookmarkStart w:id="182" w:name="_Toc21078480"/>
      <w:bookmarkStart w:id="183" w:name="_Toc21080106"/>
      <w:bookmarkStart w:id="184" w:name="_Toc21353724"/>
      <w:bookmarkStart w:id="185" w:name="_Toc21354190"/>
      <w:bookmarkStart w:id="186" w:name="_Toc20903612"/>
      <w:bookmarkStart w:id="187" w:name="_Toc20903724"/>
      <w:bookmarkStart w:id="188" w:name="_Toc20903841"/>
      <w:bookmarkStart w:id="189" w:name="_Toc21078481"/>
      <w:bookmarkStart w:id="190" w:name="_Toc21080107"/>
      <w:bookmarkStart w:id="191" w:name="_Toc21353725"/>
      <w:bookmarkStart w:id="192" w:name="_Toc21354191"/>
      <w:bookmarkStart w:id="193" w:name="_Toc20903613"/>
      <w:bookmarkStart w:id="194" w:name="_Toc20903725"/>
      <w:bookmarkStart w:id="195" w:name="_Toc20903842"/>
      <w:bookmarkStart w:id="196" w:name="_Toc21078482"/>
      <w:bookmarkStart w:id="197" w:name="_Toc21080108"/>
      <w:bookmarkStart w:id="198" w:name="_Toc21353726"/>
      <w:bookmarkStart w:id="199" w:name="_Toc21354192"/>
      <w:bookmarkStart w:id="200" w:name="_Toc20903614"/>
      <w:bookmarkStart w:id="201" w:name="_Toc20903726"/>
      <w:bookmarkStart w:id="202" w:name="_Toc20903843"/>
      <w:bookmarkStart w:id="203" w:name="_Toc21078483"/>
      <w:bookmarkStart w:id="204" w:name="_Toc21080109"/>
      <w:bookmarkStart w:id="205" w:name="_Toc21353727"/>
      <w:bookmarkStart w:id="206" w:name="_Toc21354193"/>
      <w:bookmarkStart w:id="207" w:name="_Toc20903615"/>
      <w:bookmarkStart w:id="208" w:name="_Toc20903727"/>
      <w:bookmarkStart w:id="209" w:name="_Toc20903844"/>
      <w:bookmarkStart w:id="210" w:name="_Toc21078484"/>
      <w:bookmarkStart w:id="211" w:name="_Toc21080110"/>
      <w:bookmarkStart w:id="212" w:name="_Toc21353728"/>
      <w:bookmarkStart w:id="213" w:name="_Toc21354194"/>
      <w:bookmarkStart w:id="214" w:name="_Toc20903616"/>
      <w:bookmarkStart w:id="215" w:name="_Toc20903728"/>
      <w:bookmarkStart w:id="216" w:name="_Toc20903845"/>
      <w:bookmarkStart w:id="217" w:name="_Toc21078485"/>
      <w:bookmarkStart w:id="218" w:name="_Toc21080111"/>
      <w:bookmarkStart w:id="219" w:name="_Toc21353729"/>
      <w:bookmarkStart w:id="220" w:name="_Toc21354195"/>
      <w:bookmarkStart w:id="221" w:name="_Toc20903617"/>
      <w:bookmarkStart w:id="222" w:name="_Toc20903729"/>
      <w:bookmarkStart w:id="223" w:name="_Toc20903846"/>
      <w:bookmarkStart w:id="224" w:name="_Toc21078486"/>
      <w:bookmarkStart w:id="225" w:name="_Toc21080112"/>
      <w:bookmarkStart w:id="226" w:name="_Toc21353730"/>
      <w:bookmarkStart w:id="227" w:name="_Toc21354196"/>
      <w:bookmarkStart w:id="228" w:name="_Toc20903618"/>
      <w:bookmarkStart w:id="229" w:name="_Toc20903730"/>
      <w:bookmarkStart w:id="230" w:name="_Toc20903847"/>
      <w:bookmarkStart w:id="231" w:name="_Toc21078487"/>
      <w:bookmarkStart w:id="232" w:name="_Toc21080113"/>
      <w:bookmarkStart w:id="233" w:name="_Toc21353731"/>
      <w:bookmarkStart w:id="234" w:name="_Toc21354197"/>
      <w:bookmarkStart w:id="235" w:name="_Toc20903619"/>
      <w:bookmarkStart w:id="236" w:name="_Toc20903731"/>
      <w:bookmarkStart w:id="237" w:name="_Toc20903848"/>
      <w:bookmarkStart w:id="238" w:name="_Toc21078488"/>
      <w:bookmarkStart w:id="239" w:name="_Toc21080114"/>
      <w:bookmarkStart w:id="240" w:name="_Toc21353732"/>
      <w:bookmarkStart w:id="241" w:name="_Toc21354198"/>
      <w:bookmarkStart w:id="242" w:name="_Toc20903620"/>
      <w:bookmarkStart w:id="243" w:name="_Toc20903732"/>
      <w:bookmarkStart w:id="244" w:name="_Toc20903849"/>
      <w:bookmarkStart w:id="245" w:name="_Toc21078489"/>
      <w:bookmarkStart w:id="246" w:name="_Toc21080115"/>
      <w:bookmarkStart w:id="247" w:name="_Toc21353733"/>
      <w:bookmarkStart w:id="248" w:name="_Toc21354199"/>
      <w:bookmarkStart w:id="249" w:name="_Toc20124036"/>
      <w:bookmarkStart w:id="250" w:name="_Toc20124168"/>
      <w:bookmarkStart w:id="251" w:name="_Toc20124956"/>
      <w:bookmarkStart w:id="252" w:name="_Toc20127009"/>
      <w:bookmarkStart w:id="253" w:name="_Toc20380971"/>
      <w:bookmarkStart w:id="254" w:name="_Toc20484717"/>
      <w:bookmarkStart w:id="255" w:name="_Toc20484962"/>
      <w:bookmarkStart w:id="256" w:name="_Toc20487772"/>
      <w:bookmarkStart w:id="257" w:name="_Toc20487967"/>
      <w:bookmarkStart w:id="258" w:name="_Toc20744581"/>
      <w:bookmarkStart w:id="259" w:name="_Toc20754056"/>
      <w:bookmarkStart w:id="260" w:name="_Toc20756445"/>
      <w:bookmarkStart w:id="261" w:name="_Toc20758878"/>
      <w:bookmarkStart w:id="262" w:name="_Toc20758951"/>
      <w:bookmarkStart w:id="263" w:name="_Toc20759023"/>
      <w:bookmarkStart w:id="264" w:name="_Toc20759215"/>
      <w:bookmarkStart w:id="265" w:name="_Toc20898700"/>
      <w:bookmarkStart w:id="266" w:name="_Toc20898985"/>
      <w:bookmarkStart w:id="267" w:name="_Toc20903621"/>
      <w:bookmarkStart w:id="268" w:name="_Toc20903733"/>
      <w:bookmarkStart w:id="269" w:name="_Toc20903850"/>
      <w:bookmarkStart w:id="270" w:name="_Toc21078490"/>
      <w:bookmarkStart w:id="271" w:name="_Toc21080116"/>
      <w:bookmarkStart w:id="272" w:name="_Toc21353734"/>
      <w:bookmarkStart w:id="273" w:name="_Toc21354200"/>
      <w:bookmarkStart w:id="274" w:name="_Toc20124037"/>
      <w:bookmarkStart w:id="275" w:name="_Toc20124169"/>
      <w:bookmarkStart w:id="276" w:name="_Toc20124957"/>
      <w:bookmarkStart w:id="277" w:name="_Toc20127010"/>
      <w:bookmarkStart w:id="278" w:name="_Toc20380972"/>
      <w:bookmarkStart w:id="279" w:name="_Toc20484718"/>
      <w:bookmarkStart w:id="280" w:name="_Toc20484963"/>
      <w:bookmarkStart w:id="281" w:name="_Toc20487773"/>
      <w:bookmarkStart w:id="282" w:name="_Toc20487968"/>
      <w:bookmarkStart w:id="283" w:name="_Toc20744582"/>
      <w:bookmarkStart w:id="284" w:name="_Toc20754057"/>
      <w:bookmarkStart w:id="285" w:name="_Toc20756446"/>
      <w:bookmarkStart w:id="286" w:name="_Toc20758879"/>
      <w:bookmarkStart w:id="287" w:name="_Toc20758952"/>
      <w:bookmarkStart w:id="288" w:name="_Toc20759024"/>
      <w:bookmarkStart w:id="289" w:name="_Toc20759216"/>
      <w:bookmarkStart w:id="290" w:name="_Toc20898701"/>
      <w:bookmarkStart w:id="291" w:name="_Toc20898986"/>
      <w:bookmarkStart w:id="292" w:name="_Toc20903622"/>
      <w:bookmarkStart w:id="293" w:name="_Toc20903734"/>
      <w:bookmarkStart w:id="294" w:name="_Toc20903851"/>
      <w:bookmarkStart w:id="295" w:name="_Toc21078491"/>
      <w:bookmarkStart w:id="296" w:name="_Toc21080117"/>
      <w:bookmarkStart w:id="297" w:name="_Toc21353735"/>
      <w:bookmarkStart w:id="298" w:name="_Toc21354201"/>
      <w:bookmarkStart w:id="299" w:name="_Toc20124038"/>
      <w:bookmarkStart w:id="300" w:name="_Toc20124170"/>
      <w:bookmarkStart w:id="301" w:name="_Toc20124958"/>
      <w:bookmarkStart w:id="302" w:name="_Toc20127011"/>
      <w:bookmarkStart w:id="303" w:name="_Toc20380973"/>
      <w:bookmarkStart w:id="304" w:name="_Toc20484719"/>
      <w:bookmarkStart w:id="305" w:name="_Toc20484964"/>
      <w:bookmarkStart w:id="306" w:name="_Toc20487774"/>
      <w:bookmarkStart w:id="307" w:name="_Toc20487969"/>
      <w:bookmarkStart w:id="308" w:name="_Toc20744583"/>
      <w:bookmarkStart w:id="309" w:name="_Toc20754058"/>
      <w:bookmarkStart w:id="310" w:name="_Toc20756447"/>
      <w:bookmarkStart w:id="311" w:name="_Toc20758880"/>
      <w:bookmarkStart w:id="312" w:name="_Toc20758953"/>
      <w:bookmarkStart w:id="313" w:name="_Toc20759025"/>
      <w:bookmarkStart w:id="314" w:name="_Toc20759217"/>
      <w:bookmarkStart w:id="315" w:name="_Toc20898702"/>
      <w:bookmarkStart w:id="316" w:name="_Toc20898987"/>
      <w:bookmarkStart w:id="317" w:name="_Toc20903623"/>
      <w:bookmarkStart w:id="318" w:name="_Toc20903735"/>
      <w:bookmarkStart w:id="319" w:name="_Toc20903852"/>
      <w:bookmarkStart w:id="320" w:name="_Toc21078492"/>
      <w:bookmarkStart w:id="321" w:name="_Toc21080118"/>
      <w:bookmarkStart w:id="322" w:name="_Toc21353736"/>
      <w:bookmarkStart w:id="323" w:name="_Toc2135420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00266630">
        <w:rPr>
          <w:rStyle w:val="normaltextrun"/>
        </w:rPr>
        <w:t xml:space="preserve"> </w:t>
      </w:r>
      <w:r w:rsidRPr="00F21D0C">
        <w:t>It contains the following chapters:</w:t>
      </w:r>
    </w:p>
    <w:p w14:paraId="3E1E5C16" w14:textId="28A6F5BB" w:rsidR="00B10E1F" w:rsidRPr="00DE7C2F" w:rsidRDefault="00B10E1F" w:rsidP="00D56DE8">
      <w:pPr>
        <w:pStyle w:val="STPR2BulletsLevel1"/>
      </w:pPr>
      <w:r w:rsidRPr="00597DA2">
        <w:t>Chapter 1</w:t>
      </w:r>
      <w:r w:rsidRPr="000D7E50">
        <w:t xml:space="preserve"> summarises the general background to STPR2</w:t>
      </w:r>
      <w:r w:rsidR="00895CC8" w:rsidRPr="00B32261">
        <w:t xml:space="preserve">, the ICIA </w:t>
      </w:r>
      <w:r w:rsidRPr="00B32261">
        <w:t xml:space="preserve">and </w:t>
      </w:r>
      <w:r w:rsidR="00895CC8" w:rsidRPr="00B32261">
        <w:t>other</w:t>
      </w:r>
      <w:r w:rsidRPr="00B32261">
        <w:t xml:space="preserve"> impact assessments required for STPR2</w:t>
      </w:r>
      <w:r w:rsidR="004B5F9A" w:rsidRPr="00597DA2">
        <w:t>;</w:t>
      </w:r>
    </w:p>
    <w:p w14:paraId="2DBF7F07" w14:textId="282DCF9E" w:rsidR="00B10E1F" w:rsidRPr="00B32261" w:rsidRDefault="00B10E1F" w:rsidP="00D56DE8">
      <w:pPr>
        <w:pStyle w:val="STPR2BulletsLevel1"/>
      </w:pPr>
      <w:r w:rsidRPr="00597DA2">
        <w:t>Chapter 2</w:t>
      </w:r>
      <w:r w:rsidRPr="000D7E50">
        <w:t xml:space="preserve"> provides detail on the legislative context for the </w:t>
      </w:r>
      <w:r w:rsidR="00776A9C" w:rsidRPr="00B32261">
        <w:t>ICIA</w:t>
      </w:r>
      <w:r w:rsidR="004B5F9A" w:rsidRPr="00B32261">
        <w:t>;</w:t>
      </w:r>
      <w:r w:rsidRPr="00B32261">
        <w:t xml:space="preserve"> </w:t>
      </w:r>
    </w:p>
    <w:p w14:paraId="2678EA83" w14:textId="0082B239" w:rsidR="00B10E1F" w:rsidRPr="00B32261" w:rsidRDefault="00B10E1F" w:rsidP="00D56DE8">
      <w:pPr>
        <w:pStyle w:val="STPR2BulletsLevel1"/>
      </w:pPr>
      <w:r w:rsidRPr="00597DA2">
        <w:t>Chapter 3</w:t>
      </w:r>
      <w:r w:rsidRPr="000D7E50">
        <w:t xml:space="preserve"> provides a summary of the equalities baseline</w:t>
      </w:r>
      <w:r w:rsidR="004B5F9A" w:rsidRPr="00B32261">
        <w:t>;</w:t>
      </w:r>
    </w:p>
    <w:p w14:paraId="07C97B8F" w14:textId="30FBF5AC" w:rsidR="00B10E1F" w:rsidRPr="00B32261" w:rsidRDefault="00B10E1F" w:rsidP="00D56DE8">
      <w:pPr>
        <w:pStyle w:val="STPR2BulletsLevel1"/>
      </w:pPr>
      <w:r w:rsidRPr="00597DA2">
        <w:t>Chapter 4</w:t>
      </w:r>
      <w:r w:rsidRPr="000D7E50">
        <w:t xml:space="preserve"> describes the approach to stakeholder engagement</w:t>
      </w:r>
      <w:r w:rsidR="004B5F9A" w:rsidRPr="00B32261">
        <w:t>;</w:t>
      </w:r>
      <w:r w:rsidRPr="00B32261">
        <w:t xml:space="preserve"> </w:t>
      </w:r>
    </w:p>
    <w:p w14:paraId="5795D9DD" w14:textId="4D0C8D78" w:rsidR="00B10E1F" w:rsidRPr="00B32261" w:rsidRDefault="00B10E1F" w:rsidP="00D56DE8">
      <w:pPr>
        <w:pStyle w:val="STPR2BulletsLevel1"/>
      </w:pPr>
      <w:r w:rsidRPr="00597DA2">
        <w:lastRenderedPageBreak/>
        <w:t>Chapter 5</w:t>
      </w:r>
      <w:r w:rsidRPr="000D7E50">
        <w:t xml:space="preserve"> describes the approach to </w:t>
      </w:r>
      <w:r w:rsidRPr="00B32261">
        <w:t>assessment</w:t>
      </w:r>
      <w:r w:rsidR="004B5F9A" w:rsidRPr="00B32261">
        <w:t>;</w:t>
      </w:r>
    </w:p>
    <w:p w14:paraId="2AD3E6FA" w14:textId="5B194916" w:rsidR="00FE49AD" w:rsidRPr="00B32261" w:rsidRDefault="00B10E1F" w:rsidP="00D56DE8">
      <w:pPr>
        <w:pStyle w:val="STPR2BulletsLevel1"/>
      </w:pPr>
      <w:r w:rsidRPr="00597DA2">
        <w:t>Chapter 6</w:t>
      </w:r>
      <w:r w:rsidRPr="000D7E50">
        <w:t xml:space="preserve"> </w:t>
      </w:r>
      <w:r w:rsidRPr="00B32261">
        <w:t>summarises the assessment findings</w:t>
      </w:r>
      <w:r w:rsidR="00253227">
        <w:t>;</w:t>
      </w:r>
      <w:r w:rsidR="00FE49AD" w:rsidRPr="00B32261">
        <w:t xml:space="preserve"> and</w:t>
      </w:r>
      <w:r w:rsidR="004B5F9A" w:rsidRPr="00B32261">
        <w:t xml:space="preserve"> </w:t>
      </w:r>
    </w:p>
    <w:p w14:paraId="209D2F1A" w14:textId="64BB6C63" w:rsidR="00AB12E5" w:rsidRDefault="00ED03F0" w:rsidP="00D56DE8">
      <w:pPr>
        <w:pStyle w:val="STPR2BulletsLevel1"/>
      </w:pPr>
      <w:r w:rsidRPr="00597DA2">
        <w:t>Chapter 7</w:t>
      </w:r>
      <w:r w:rsidRPr="000D7E50">
        <w:t xml:space="preserve"> provides </w:t>
      </w:r>
      <w:r w:rsidR="00B10E1F" w:rsidRPr="00B32261">
        <w:t>high</w:t>
      </w:r>
      <w:r w:rsidR="00DF573A">
        <w:t>-</w:t>
      </w:r>
      <w:r w:rsidR="00B10E1F" w:rsidRPr="00B32261">
        <w:t>level recommendations</w:t>
      </w:r>
      <w:r w:rsidR="004B5F9A" w:rsidRPr="00B32261">
        <w:t>.</w:t>
      </w:r>
    </w:p>
    <w:p w14:paraId="073CE229" w14:textId="7950FD3E" w:rsidR="00AB12E5" w:rsidRPr="00B32261" w:rsidRDefault="00AB12E5" w:rsidP="00D56DE8">
      <w:pPr>
        <w:pStyle w:val="STPR2BodyText"/>
      </w:pPr>
      <w:r>
        <w:t xml:space="preserve">A glossary is also provided in </w:t>
      </w:r>
      <w:r w:rsidR="008E0FF3">
        <w:fldChar w:fldCharType="begin"/>
      </w:r>
      <w:r w:rsidR="008E0FF3">
        <w:instrText xml:space="preserve"> REF _Ref121229102 \n \h </w:instrText>
      </w:r>
      <w:r w:rsidR="008E0FF3">
        <w:fldChar w:fldCharType="separate"/>
      </w:r>
      <w:r w:rsidR="00B71F51">
        <w:t>Appendix A:</w:t>
      </w:r>
      <w:r w:rsidR="008E0FF3">
        <w:fldChar w:fldCharType="end"/>
      </w:r>
      <w:r>
        <w:t xml:space="preserve"> which explains the terminology used throughout this report.</w:t>
      </w:r>
      <w:r w:rsidR="00266630">
        <w:t xml:space="preserve"> </w:t>
      </w:r>
      <w:r w:rsidR="008E0FF3">
        <w:fldChar w:fldCharType="begin"/>
      </w:r>
      <w:r w:rsidR="008E0FF3">
        <w:instrText xml:space="preserve"> REF _Ref121229116 \n \h </w:instrText>
      </w:r>
      <w:r w:rsidR="008E0FF3">
        <w:fldChar w:fldCharType="separate"/>
      </w:r>
      <w:r w:rsidR="00B71F51">
        <w:t>Appendix B:</w:t>
      </w:r>
      <w:r w:rsidR="008E0FF3">
        <w:fldChar w:fldCharType="end"/>
      </w:r>
      <w:r>
        <w:t xml:space="preserve"> presents the e</w:t>
      </w:r>
      <w:r w:rsidRPr="00E21654">
        <w:t xml:space="preserve">quality </w:t>
      </w:r>
      <w:r>
        <w:t>t</w:t>
      </w:r>
      <w:r w:rsidRPr="00E21654">
        <w:t xml:space="preserve">opics, </w:t>
      </w:r>
      <w:r>
        <w:t>o</w:t>
      </w:r>
      <w:r w:rsidRPr="00E21654">
        <w:t xml:space="preserve">bjectives and </w:t>
      </w:r>
      <w:r>
        <w:t>g</w:t>
      </w:r>
      <w:r w:rsidRPr="00E21654">
        <w:t xml:space="preserve">uidance </w:t>
      </w:r>
      <w:r>
        <w:t>q</w:t>
      </w:r>
      <w:r w:rsidRPr="00E21654">
        <w:t>uestions</w:t>
      </w:r>
      <w:r>
        <w:t>.</w:t>
      </w:r>
    </w:p>
    <w:p w14:paraId="2D32E9AE" w14:textId="139101FE" w:rsidR="000C6958" w:rsidRPr="00D56DE8" w:rsidRDefault="000C6958" w:rsidP="00D56DE8">
      <w:pPr>
        <w:pStyle w:val="Heading1"/>
      </w:pPr>
      <w:bookmarkStart w:id="324" w:name="_Toc21446867"/>
      <w:bookmarkStart w:id="325" w:name="_Toc21447121"/>
      <w:bookmarkStart w:id="326" w:name="_Toc21447235"/>
      <w:bookmarkStart w:id="327" w:name="_Toc21447480"/>
      <w:bookmarkStart w:id="328" w:name="_Toc21447614"/>
      <w:bookmarkStart w:id="329" w:name="_Toc20903626"/>
      <w:bookmarkStart w:id="330" w:name="_Toc20903738"/>
      <w:bookmarkStart w:id="331" w:name="_Toc20903855"/>
      <w:bookmarkStart w:id="332" w:name="_Toc21078495"/>
      <w:bookmarkStart w:id="333" w:name="_Toc21080121"/>
      <w:bookmarkStart w:id="334" w:name="_Toc21353739"/>
      <w:bookmarkStart w:id="335" w:name="_Toc21354205"/>
      <w:bookmarkStart w:id="336" w:name="_Toc21446868"/>
      <w:bookmarkStart w:id="337" w:name="_Toc21447122"/>
      <w:bookmarkStart w:id="338" w:name="_Toc21447236"/>
      <w:bookmarkStart w:id="339" w:name="_Toc21447481"/>
      <w:bookmarkStart w:id="340" w:name="_Toc21447615"/>
      <w:bookmarkStart w:id="341" w:name="_Toc21078498"/>
      <w:bookmarkStart w:id="342" w:name="_Toc21080124"/>
      <w:bookmarkStart w:id="343" w:name="_Toc21353742"/>
      <w:bookmarkStart w:id="344" w:name="_Toc21354208"/>
      <w:bookmarkStart w:id="345" w:name="_Toc21446871"/>
      <w:bookmarkStart w:id="346" w:name="_Toc21447125"/>
      <w:bookmarkStart w:id="347" w:name="_Toc21447239"/>
      <w:bookmarkStart w:id="348" w:name="_Toc21447484"/>
      <w:bookmarkStart w:id="349" w:name="_Toc21447618"/>
      <w:bookmarkStart w:id="350" w:name="_Toc21078499"/>
      <w:bookmarkStart w:id="351" w:name="_Toc21080125"/>
      <w:bookmarkStart w:id="352" w:name="_Toc21353743"/>
      <w:bookmarkStart w:id="353" w:name="_Toc21354209"/>
      <w:bookmarkStart w:id="354" w:name="_Toc21446872"/>
      <w:bookmarkStart w:id="355" w:name="_Toc21447126"/>
      <w:bookmarkStart w:id="356" w:name="_Toc21447240"/>
      <w:bookmarkStart w:id="357" w:name="_Toc21447485"/>
      <w:bookmarkStart w:id="358" w:name="_Toc21447619"/>
      <w:bookmarkStart w:id="359" w:name="_Toc21078500"/>
      <w:bookmarkStart w:id="360" w:name="_Toc21080126"/>
      <w:bookmarkStart w:id="361" w:name="_Toc21353744"/>
      <w:bookmarkStart w:id="362" w:name="_Toc21354210"/>
      <w:bookmarkStart w:id="363" w:name="_Toc21446873"/>
      <w:bookmarkStart w:id="364" w:name="_Toc21447127"/>
      <w:bookmarkStart w:id="365" w:name="_Toc21447241"/>
      <w:bookmarkStart w:id="366" w:name="_Toc21447486"/>
      <w:bookmarkStart w:id="367" w:name="_Toc21447620"/>
      <w:bookmarkStart w:id="368" w:name="_Toc21078502"/>
      <w:bookmarkStart w:id="369" w:name="_Toc21080128"/>
      <w:bookmarkStart w:id="370" w:name="_Toc21353746"/>
      <w:bookmarkStart w:id="371" w:name="_Toc21354212"/>
      <w:bookmarkStart w:id="372" w:name="_Toc21446875"/>
      <w:bookmarkStart w:id="373" w:name="_Toc21447129"/>
      <w:bookmarkStart w:id="374" w:name="_Toc21447243"/>
      <w:bookmarkStart w:id="375" w:name="_Toc21447488"/>
      <w:bookmarkStart w:id="376" w:name="_Toc21447622"/>
      <w:bookmarkStart w:id="377" w:name="_Toc20744585"/>
      <w:bookmarkStart w:id="378" w:name="_Toc20754061"/>
      <w:bookmarkStart w:id="379" w:name="_Toc20756450"/>
      <w:bookmarkStart w:id="380" w:name="_Toc20758883"/>
      <w:bookmarkStart w:id="381" w:name="_Toc20758956"/>
      <w:bookmarkStart w:id="382" w:name="_Toc20759028"/>
      <w:bookmarkStart w:id="383" w:name="_Toc20759220"/>
      <w:bookmarkStart w:id="384" w:name="_Toc20898705"/>
      <w:bookmarkStart w:id="385" w:name="_Toc20898990"/>
      <w:bookmarkStart w:id="386" w:name="_Toc20903628"/>
      <w:bookmarkStart w:id="387" w:name="_Toc20903740"/>
      <w:bookmarkStart w:id="388" w:name="_Toc20903860"/>
      <w:bookmarkStart w:id="389" w:name="_Toc21078504"/>
      <w:bookmarkStart w:id="390" w:name="_Toc21080130"/>
      <w:bookmarkStart w:id="391" w:name="_Toc21353748"/>
      <w:bookmarkStart w:id="392" w:name="_Toc21354214"/>
      <w:bookmarkStart w:id="393" w:name="_Toc21446877"/>
      <w:bookmarkStart w:id="394" w:name="_Toc21447131"/>
      <w:bookmarkStart w:id="395" w:name="_Toc21447245"/>
      <w:bookmarkStart w:id="396" w:name="_Toc21447490"/>
      <w:bookmarkStart w:id="397" w:name="_Toc21447624"/>
      <w:bookmarkStart w:id="398" w:name="_Toc21510383"/>
      <w:bookmarkStart w:id="399" w:name="_Toc21510985"/>
      <w:bookmarkStart w:id="400" w:name="_Toc21523054"/>
      <w:bookmarkStart w:id="401" w:name="_Toc21672562"/>
      <w:bookmarkStart w:id="402" w:name="_Toc21677968"/>
      <w:bookmarkStart w:id="403" w:name="_Toc20744586"/>
      <w:bookmarkStart w:id="404" w:name="_Toc20754062"/>
      <w:bookmarkStart w:id="405" w:name="_Toc20756451"/>
      <w:bookmarkStart w:id="406" w:name="_Toc20758884"/>
      <w:bookmarkStart w:id="407" w:name="_Toc20758957"/>
      <w:bookmarkStart w:id="408" w:name="_Toc20759029"/>
      <w:bookmarkStart w:id="409" w:name="_Toc20759221"/>
      <w:bookmarkStart w:id="410" w:name="_Toc20898706"/>
      <w:bookmarkStart w:id="411" w:name="_Toc20898991"/>
      <w:bookmarkStart w:id="412" w:name="_Toc20903629"/>
      <w:bookmarkStart w:id="413" w:name="_Toc20903741"/>
      <w:bookmarkStart w:id="414" w:name="_Toc20903861"/>
      <w:bookmarkStart w:id="415" w:name="_Toc21078505"/>
      <w:bookmarkStart w:id="416" w:name="_Toc21080131"/>
      <w:bookmarkStart w:id="417" w:name="_Toc21353749"/>
      <w:bookmarkStart w:id="418" w:name="_Toc21354215"/>
      <w:bookmarkStart w:id="419" w:name="_Toc21446878"/>
      <w:bookmarkStart w:id="420" w:name="_Toc21447132"/>
      <w:bookmarkStart w:id="421" w:name="_Toc21447246"/>
      <w:bookmarkStart w:id="422" w:name="_Toc21447491"/>
      <w:bookmarkStart w:id="423" w:name="_Toc21447625"/>
      <w:bookmarkStart w:id="424" w:name="_Toc21510384"/>
      <w:bookmarkStart w:id="425" w:name="_Toc21510986"/>
      <w:bookmarkStart w:id="426" w:name="_Toc21523055"/>
      <w:bookmarkStart w:id="427" w:name="_Toc21672563"/>
      <w:bookmarkStart w:id="428" w:name="_Toc21677969"/>
      <w:bookmarkStart w:id="429" w:name="_Toc88563897"/>
      <w:bookmarkStart w:id="430" w:name="_Toc88563898"/>
      <w:bookmarkStart w:id="431" w:name="_Toc88563899"/>
      <w:bookmarkStart w:id="432" w:name="_Toc88563900"/>
      <w:bookmarkStart w:id="433" w:name="_Toc88563901"/>
      <w:bookmarkStart w:id="434" w:name="_Toc88563902"/>
      <w:bookmarkStart w:id="435" w:name="_Toc88563903"/>
      <w:bookmarkStart w:id="436" w:name="_Toc88563904"/>
      <w:bookmarkStart w:id="437" w:name="_Toc88563905"/>
      <w:bookmarkStart w:id="438" w:name="_Toc88563906"/>
      <w:bookmarkStart w:id="439" w:name="_Toc88563907"/>
      <w:bookmarkStart w:id="440" w:name="_Toc88563908"/>
      <w:bookmarkStart w:id="441" w:name="_Toc88563909"/>
      <w:bookmarkStart w:id="442" w:name="_Toc88563910"/>
      <w:bookmarkStart w:id="443" w:name="_Toc88563911"/>
      <w:bookmarkStart w:id="444" w:name="_Toc88563912"/>
      <w:bookmarkStart w:id="445" w:name="_Toc88563913"/>
      <w:bookmarkStart w:id="446" w:name="_Toc88563914"/>
      <w:bookmarkStart w:id="447" w:name="_Toc88563915"/>
      <w:bookmarkStart w:id="448" w:name="_Toc88563916"/>
      <w:bookmarkStart w:id="449" w:name="_Toc88563917"/>
      <w:bookmarkStart w:id="450" w:name="_Toc88563918"/>
      <w:bookmarkStart w:id="451" w:name="_Toc88563919"/>
      <w:bookmarkStart w:id="452" w:name="_Toc88563920"/>
      <w:bookmarkStart w:id="453" w:name="_Toc88563921"/>
      <w:bookmarkStart w:id="454" w:name="_Toc88563922"/>
      <w:bookmarkStart w:id="455" w:name="_Toc88563923"/>
      <w:bookmarkStart w:id="456" w:name="_Toc88563924"/>
      <w:bookmarkStart w:id="457" w:name="_Toc88563925"/>
      <w:bookmarkStart w:id="458" w:name="_Toc88563926"/>
      <w:bookmarkStart w:id="459" w:name="_Toc88563927"/>
      <w:bookmarkStart w:id="460" w:name="_Toc88563928"/>
      <w:bookmarkStart w:id="461" w:name="_Toc88563929"/>
      <w:bookmarkStart w:id="462" w:name="_Toc88563930"/>
      <w:bookmarkStart w:id="463" w:name="_Toc88563931"/>
      <w:bookmarkStart w:id="464" w:name="_Toc88563932"/>
      <w:bookmarkStart w:id="465" w:name="_Toc88563933"/>
      <w:bookmarkStart w:id="466" w:name="_Toc88563934"/>
      <w:bookmarkStart w:id="467" w:name="_Toc88563935"/>
      <w:bookmarkStart w:id="468" w:name="_Toc88563936"/>
      <w:bookmarkStart w:id="469" w:name="_Toc88563937"/>
      <w:bookmarkStart w:id="470" w:name="_Toc88563938"/>
      <w:bookmarkStart w:id="471" w:name="_Toc88563939"/>
      <w:bookmarkStart w:id="472" w:name="_Toc88563940"/>
      <w:bookmarkStart w:id="473" w:name="_Toc88563941"/>
      <w:bookmarkStart w:id="474" w:name="_Toc88563942"/>
      <w:bookmarkStart w:id="475" w:name="_Toc88563943"/>
      <w:bookmarkStart w:id="476" w:name="_Toc88563944"/>
      <w:bookmarkStart w:id="477" w:name="_Toc88563945"/>
      <w:bookmarkStart w:id="478" w:name="_Toc88563946"/>
      <w:bookmarkStart w:id="479" w:name="_Toc88563947"/>
      <w:bookmarkStart w:id="480" w:name="_Toc88563948"/>
      <w:bookmarkStart w:id="481" w:name="_Toc88563949"/>
      <w:bookmarkStart w:id="482" w:name="_Toc88563950"/>
      <w:bookmarkStart w:id="483" w:name="_Toc88563951"/>
      <w:bookmarkStart w:id="484" w:name="_Toc88563952"/>
      <w:bookmarkStart w:id="485" w:name="_Toc88563953"/>
      <w:bookmarkStart w:id="486" w:name="_Toc88563954"/>
      <w:bookmarkStart w:id="487" w:name="_Toc88563955"/>
      <w:bookmarkStart w:id="488" w:name="_Toc88563956"/>
      <w:bookmarkStart w:id="489" w:name="_Toc88563957"/>
      <w:bookmarkStart w:id="490" w:name="_Toc88563958"/>
      <w:bookmarkStart w:id="491" w:name="_Toc88563959"/>
      <w:bookmarkStart w:id="492" w:name="_Toc88563960"/>
      <w:bookmarkStart w:id="493" w:name="_Toc88563961"/>
      <w:bookmarkStart w:id="494" w:name="_Toc88563962"/>
      <w:bookmarkStart w:id="495" w:name="_Toc88563963"/>
      <w:bookmarkStart w:id="496" w:name="_Toc88563964"/>
      <w:bookmarkStart w:id="497" w:name="_Toc81993584"/>
      <w:bookmarkStart w:id="498" w:name="_Toc121213929"/>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D56DE8">
        <w:lastRenderedPageBreak/>
        <w:t>Legislati</w:t>
      </w:r>
      <w:r w:rsidR="00F94F12" w:rsidRPr="00D56DE8">
        <w:t>on</w:t>
      </w:r>
      <w:r w:rsidR="00004857" w:rsidRPr="00D56DE8">
        <w:t xml:space="preserve">, </w:t>
      </w:r>
      <w:r w:rsidRPr="00D56DE8">
        <w:t>Policy</w:t>
      </w:r>
      <w:bookmarkEnd w:id="497"/>
      <w:r w:rsidR="00034943" w:rsidRPr="00D56DE8">
        <w:t xml:space="preserve"> and Guidance</w:t>
      </w:r>
      <w:bookmarkEnd w:id="498"/>
    </w:p>
    <w:p w14:paraId="2A59FF08" w14:textId="7249C21F" w:rsidR="00F277D9" w:rsidRPr="000605C1" w:rsidRDefault="003D33EF" w:rsidP="000605C1">
      <w:pPr>
        <w:pStyle w:val="Heading2"/>
      </w:pPr>
      <w:bookmarkStart w:id="499" w:name="_Toc121213930"/>
      <w:r w:rsidRPr="003D33EF">
        <w:t>Islands (Scotland) Act 2018</w:t>
      </w:r>
      <w:bookmarkEnd w:id="499"/>
    </w:p>
    <w:p w14:paraId="2407674D" w14:textId="7FCBA807" w:rsidR="00F277D9" w:rsidRDefault="00F277D9" w:rsidP="00D56DE8">
      <w:pPr>
        <w:pStyle w:val="STPR2BodyText"/>
      </w:pPr>
      <w:r>
        <w:t xml:space="preserve">The Islands (Scotland) Act was passed by the Scottish Parliament in 2018 and is only one of a handful of place-based pieces of legislation to focus specifically on islands in the world. The measures it contains, like the </w:t>
      </w:r>
      <w:r w:rsidR="00F86490">
        <w:t>ICIA</w:t>
      </w:r>
      <w:r>
        <w:t>, are designed to meaningfully improve outcomes for island communities.</w:t>
      </w:r>
    </w:p>
    <w:p w14:paraId="779C0555" w14:textId="00CADADF" w:rsidR="00F277D9" w:rsidRDefault="00F277D9" w:rsidP="00D56DE8">
      <w:pPr>
        <w:pStyle w:val="STPR2BodyText"/>
      </w:pPr>
      <w:r w:rsidRPr="00F277D9">
        <w:t>As a Relevant Authority under Sections 7 and 8 of the Act, Transport Scotland has a legal duty to carry out an</w:t>
      </w:r>
      <w:r w:rsidR="002E6E62">
        <w:t xml:space="preserve"> </w:t>
      </w:r>
      <w:r w:rsidRPr="00F277D9">
        <w:t xml:space="preserve">ICIA when creating new plans and policies that are likely to have an </w:t>
      </w:r>
      <w:r w:rsidR="000605C1">
        <w:t>impact</w:t>
      </w:r>
      <w:r w:rsidRPr="00F277D9">
        <w:t xml:space="preserve"> on an island community which is significantly different from its </w:t>
      </w:r>
      <w:r w:rsidR="000605C1">
        <w:t>impact</w:t>
      </w:r>
      <w:r w:rsidRPr="00F277D9">
        <w:t xml:space="preserve"> on other communities (including other island communities) in Scotland.</w:t>
      </w:r>
    </w:p>
    <w:p w14:paraId="658BE9F1" w14:textId="7F24550E" w:rsidR="002E6E62" w:rsidRDefault="002E6E62" w:rsidP="00D56DE8">
      <w:pPr>
        <w:pStyle w:val="STPR2BodyText"/>
      </w:pPr>
      <w:r>
        <w:t>An ICIA must:</w:t>
      </w:r>
    </w:p>
    <w:p w14:paraId="2FDFF904" w14:textId="013B5AC2" w:rsidR="002E6E62" w:rsidRDefault="002E6E62" w:rsidP="00D56DE8">
      <w:pPr>
        <w:pStyle w:val="STPR2BulletsLevel1"/>
      </w:pPr>
      <w:r>
        <w:t>Describe the likely significantly different effect of the policy, strategy, or service (as the case may be)</w:t>
      </w:r>
      <w:r w:rsidR="00790491">
        <w:t>;</w:t>
      </w:r>
      <w:r>
        <w:t xml:space="preserve"> and</w:t>
      </w:r>
    </w:p>
    <w:p w14:paraId="5C11D19B" w14:textId="77B3B223" w:rsidR="002E6E62" w:rsidRDefault="002E6E62" w:rsidP="00D56DE8">
      <w:pPr>
        <w:pStyle w:val="STPR2BulletsLevel1"/>
      </w:pPr>
      <w:r>
        <w:t>Assess the extent to which the authority considers that the policy, strategy or service (as the case may be) can be developed or delivered in such a manner as to improve or mitigate, for island communities, the outcomes resulting from it.</w:t>
      </w:r>
    </w:p>
    <w:p w14:paraId="00A0F328" w14:textId="5D156B5D" w:rsidR="00EA1F87" w:rsidRDefault="00EA1F87" w:rsidP="00D56DE8">
      <w:pPr>
        <w:pStyle w:val="STPR2BodyText"/>
      </w:pPr>
      <w:r>
        <w:t>The Islands (Scotland) Act 2018 introduced a number of measures to underpin the Scottish Government’s objective of ensuring that there is a sustained focus across government and the public sector to meet the needs of island communities now and in the future with the aim of improving outcomes for island communities. One of the provisions introduced</w:t>
      </w:r>
      <w:r w:rsidR="00336D9B">
        <w:t>,</w:t>
      </w:r>
      <w:r>
        <w:t xml:space="preserve"> </w:t>
      </w:r>
      <w:r w:rsidR="00336D9B">
        <w:t xml:space="preserve">in Part 2, Section </w:t>
      </w:r>
      <w:r w:rsidR="00AF6F27">
        <w:t>1</w:t>
      </w:r>
      <w:r w:rsidR="00336D9B">
        <w:t xml:space="preserve"> of the Act, </w:t>
      </w:r>
      <w:r>
        <w:t>was a duty on Scottish Ministers to prepare a National Islands Plan (the Plan).</w:t>
      </w:r>
    </w:p>
    <w:p w14:paraId="1AB06F41" w14:textId="06B9E458" w:rsidR="002E6E62" w:rsidRDefault="002E6E62" w:rsidP="002E6E62">
      <w:pPr>
        <w:pStyle w:val="Heading2"/>
      </w:pPr>
      <w:bookmarkStart w:id="500" w:name="_Toc121213931"/>
      <w:r w:rsidRPr="00D56DE8">
        <w:t>The National</w:t>
      </w:r>
      <w:r>
        <w:t xml:space="preserve"> Islands Plan 2019</w:t>
      </w:r>
      <w:bookmarkEnd w:id="500"/>
    </w:p>
    <w:p w14:paraId="5EFDAC28" w14:textId="7901A54B" w:rsidR="00F277D9" w:rsidRDefault="00F277D9" w:rsidP="00D56DE8">
      <w:pPr>
        <w:pStyle w:val="STPR2BodyText"/>
      </w:pPr>
      <w:r>
        <w:t>In December 2019, Scottish Ministers published the first ever National Islands Plan which was created with the input of many islanders and those with a strong interest in Scotland’s islands</w:t>
      </w:r>
      <w:r w:rsidR="00DA7976">
        <w:t xml:space="preserve"> (Scottish Government, 2019)</w:t>
      </w:r>
      <w:r>
        <w:t xml:space="preserve">. The Plan sets a direction of travel for the Scottish Government and provides a framework for action in order to meaningfully improve outcomes for island communities. As required by </w:t>
      </w:r>
      <w:r w:rsidR="00AF6F27">
        <w:t xml:space="preserve">Part 2, Section 3 of </w:t>
      </w:r>
      <w:r>
        <w:t>the Act, it includes proposals</w:t>
      </w:r>
      <w:r w:rsidR="00EA1F87">
        <w:t xml:space="preserve"> for improving outcomes for island communities, through</w:t>
      </w:r>
      <w:r>
        <w:t xml:space="preserve">: </w:t>
      </w:r>
    </w:p>
    <w:p w14:paraId="7FC5C83C" w14:textId="265327C0" w:rsidR="00F277D9" w:rsidRDefault="00F277D9" w:rsidP="00D56DE8">
      <w:pPr>
        <w:pStyle w:val="STPR2BulletsLevel1"/>
      </w:pPr>
      <w:r>
        <w:t>increasing population levels</w:t>
      </w:r>
    </w:p>
    <w:p w14:paraId="4681CACC" w14:textId="2C67DFA0" w:rsidR="00F277D9" w:rsidRDefault="00F277D9" w:rsidP="00D56DE8">
      <w:pPr>
        <w:pStyle w:val="STPR2BulletsLevel1"/>
      </w:pPr>
      <w:r>
        <w:t>improving and promoting sustainable economic development</w:t>
      </w:r>
    </w:p>
    <w:p w14:paraId="4E8CA457" w14:textId="09298431" w:rsidR="00F277D9" w:rsidRDefault="00F277D9" w:rsidP="00D56DE8">
      <w:pPr>
        <w:pStyle w:val="STPR2BulletsLevel1"/>
      </w:pPr>
      <w:r>
        <w:t>improving and promoting environmental wellbeing</w:t>
      </w:r>
    </w:p>
    <w:p w14:paraId="276AB117" w14:textId="481756FB" w:rsidR="00F277D9" w:rsidRDefault="00F277D9" w:rsidP="00D56DE8">
      <w:pPr>
        <w:pStyle w:val="STPR2BulletsLevel1"/>
      </w:pPr>
      <w:r>
        <w:t>improving and promoting health and wellbeing</w:t>
      </w:r>
    </w:p>
    <w:p w14:paraId="1E8F494F" w14:textId="0D2CA88E" w:rsidR="00F277D9" w:rsidRDefault="00F277D9" w:rsidP="00D56DE8">
      <w:pPr>
        <w:pStyle w:val="STPR2BulletsLevel1"/>
      </w:pPr>
      <w:r>
        <w:t>improving and promoting community empowerment</w:t>
      </w:r>
    </w:p>
    <w:p w14:paraId="577CF065" w14:textId="7600CE89" w:rsidR="00F277D9" w:rsidRDefault="00F277D9" w:rsidP="00D56DE8">
      <w:pPr>
        <w:pStyle w:val="STPR2BulletsLevel1"/>
      </w:pPr>
      <w:r>
        <w:t>improving transport services</w:t>
      </w:r>
    </w:p>
    <w:p w14:paraId="1CFE8C6C" w14:textId="28FA5C0A" w:rsidR="00F277D9" w:rsidRDefault="00F277D9" w:rsidP="00D56DE8">
      <w:pPr>
        <w:pStyle w:val="STPR2BulletsLevel1"/>
      </w:pPr>
      <w:r>
        <w:t>improving digital connectivity</w:t>
      </w:r>
    </w:p>
    <w:p w14:paraId="64951056" w14:textId="628A279A" w:rsidR="00F277D9" w:rsidRDefault="00F277D9" w:rsidP="00D56DE8">
      <w:pPr>
        <w:pStyle w:val="STPR2BulletsLevel1"/>
      </w:pPr>
      <w:r>
        <w:t>reducing fuel poverty</w:t>
      </w:r>
    </w:p>
    <w:p w14:paraId="400879FC" w14:textId="162C46D3" w:rsidR="00F277D9" w:rsidRDefault="00F277D9" w:rsidP="00D56DE8">
      <w:pPr>
        <w:pStyle w:val="STPR2BulletsLevel1"/>
      </w:pPr>
      <w:r>
        <w:t>ensuring effective management of the Scottish Crown Estate</w:t>
      </w:r>
    </w:p>
    <w:p w14:paraId="59723D72" w14:textId="7E473275" w:rsidR="00F277D9" w:rsidRDefault="00F277D9" w:rsidP="00D56DE8">
      <w:pPr>
        <w:pStyle w:val="STPR2BulletsLevel1"/>
      </w:pPr>
      <w:r>
        <w:t>enhancing biosecurity</w:t>
      </w:r>
    </w:p>
    <w:p w14:paraId="2661EF1D" w14:textId="2BCE8701" w:rsidR="00F277D9" w:rsidRDefault="00AF6F27" w:rsidP="00D56DE8">
      <w:pPr>
        <w:pStyle w:val="STPR2BodyText"/>
      </w:pPr>
      <w:r>
        <w:lastRenderedPageBreak/>
        <w:t>As required by Part 3, Section 2 of the Act</w:t>
      </w:r>
      <w:r w:rsidR="00B90C1F">
        <w:t>,</w:t>
      </w:r>
      <w:r>
        <w:t xml:space="preserve"> t</w:t>
      </w:r>
      <w:r w:rsidR="00F277D9">
        <w:t>he Plan sets out 13 Strategic Objectives</w:t>
      </w:r>
      <w:r w:rsidR="00336D9B">
        <w:t xml:space="preserve"> and associated key actions</w:t>
      </w:r>
      <w:r w:rsidR="00F277D9">
        <w:t xml:space="preserve"> </w:t>
      </w:r>
      <w:r w:rsidR="00EA1F87">
        <w:t>in</w:t>
      </w:r>
      <w:r w:rsidR="00336D9B">
        <w:t xml:space="preserve"> </w:t>
      </w:r>
      <w:r w:rsidR="00EA1F87">
        <w:t xml:space="preserve">relation to achieving the proposals set out above and </w:t>
      </w:r>
      <w:r w:rsidR="00F277D9">
        <w:t>improving the quality of life for island communities. These objectives are as follows:</w:t>
      </w:r>
    </w:p>
    <w:p w14:paraId="37C4050E" w14:textId="77777777" w:rsidR="00C848C3" w:rsidRPr="00D56DE8" w:rsidRDefault="00EA1F87" w:rsidP="00D56DE8">
      <w:pPr>
        <w:pStyle w:val="STPR2NumberList"/>
      </w:pPr>
      <w:r w:rsidRPr="00D56DE8">
        <w:t>Population Levels: To address population decline and ensure a healthy, balanced population profile</w:t>
      </w:r>
    </w:p>
    <w:p w14:paraId="0C5DAD60" w14:textId="77777777" w:rsidR="0036372A" w:rsidRPr="00D56DE8" w:rsidRDefault="00EA1F87" w:rsidP="00D56DE8">
      <w:pPr>
        <w:pStyle w:val="STPR2NumberList"/>
      </w:pPr>
      <w:r w:rsidRPr="00D56DE8">
        <w:t>Sustainable Economic Development: To improve and promote sustainable economic development</w:t>
      </w:r>
    </w:p>
    <w:p w14:paraId="374AAB63" w14:textId="77777777" w:rsidR="00D221F0" w:rsidRPr="00D56DE8" w:rsidRDefault="0036372A" w:rsidP="00D56DE8">
      <w:pPr>
        <w:pStyle w:val="STPR2NumberList"/>
      </w:pPr>
      <w:r w:rsidRPr="00D56DE8">
        <w:t>T</w:t>
      </w:r>
      <w:r w:rsidR="00EA1F87" w:rsidRPr="00D56DE8">
        <w:t>ransport: To improve transport services</w:t>
      </w:r>
    </w:p>
    <w:p w14:paraId="0452C128" w14:textId="77777777" w:rsidR="00D221F0" w:rsidRPr="00D56DE8" w:rsidRDefault="00EA1F87" w:rsidP="00D56DE8">
      <w:pPr>
        <w:pStyle w:val="STPR2NumberList"/>
      </w:pPr>
      <w:r w:rsidRPr="00D56DE8">
        <w:t>Housing: To improve housing</w:t>
      </w:r>
    </w:p>
    <w:p w14:paraId="70E8C32D" w14:textId="77777777" w:rsidR="00B675B1" w:rsidRPr="00D56DE8" w:rsidRDefault="00EA1F87" w:rsidP="00D56DE8">
      <w:pPr>
        <w:pStyle w:val="STPR2NumberList"/>
      </w:pPr>
      <w:r w:rsidRPr="00D56DE8">
        <w:t>Fuel Poverty: To reduce levels of fuel poverty</w:t>
      </w:r>
    </w:p>
    <w:p w14:paraId="4913E65B" w14:textId="77777777" w:rsidR="00B675B1" w:rsidRPr="00D56DE8" w:rsidRDefault="00EA1F87" w:rsidP="00D56DE8">
      <w:pPr>
        <w:pStyle w:val="STPR2NumberList"/>
      </w:pPr>
      <w:r w:rsidRPr="00D56DE8">
        <w:t>Digital Connectivity: To improve digital connectivity</w:t>
      </w:r>
    </w:p>
    <w:p w14:paraId="1192FE51" w14:textId="2D1E0728" w:rsidR="00B675B1" w:rsidRPr="00D56DE8" w:rsidRDefault="00EA1F87" w:rsidP="00D56DE8">
      <w:pPr>
        <w:pStyle w:val="STPR2NumberList"/>
      </w:pPr>
      <w:r w:rsidRPr="00D56DE8">
        <w:t>Health, Social Care and Wellbeing: To improve and promote health, social care and wellbeing</w:t>
      </w:r>
    </w:p>
    <w:p w14:paraId="18392DAB" w14:textId="77777777" w:rsidR="00B675B1" w:rsidRPr="00D56DE8" w:rsidRDefault="00EA1F87" w:rsidP="00D56DE8">
      <w:pPr>
        <w:pStyle w:val="STPR2NumberList"/>
      </w:pPr>
      <w:r w:rsidRPr="00D56DE8">
        <w:t>Environmental Wellbeing and Biosecurity: To improve and promote environmental wellbeing and deal with biosecurity</w:t>
      </w:r>
    </w:p>
    <w:p w14:paraId="76373893" w14:textId="77777777" w:rsidR="00B675B1" w:rsidRPr="00D56DE8" w:rsidRDefault="00EA1F87" w:rsidP="00D56DE8">
      <w:pPr>
        <w:pStyle w:val="STPR2NumberList"/>
      </w:pPr>
      <w:r w:rsidRPr="00D56DE8">
        <w:t>Climate Change and Energy: To contribute to climate change mitigation and adaptation and promote clean, affordable and secure energy</w:t>
      </w:r>
    </w:p>
    <w:p w14:paraId="758FB316" w14:textId="5FA82F65" w:rsidR="00B675B1" w:rsidRPr="00D56DE8" w:rsidRDefault="00EA1F87" w:rsidP="00D56DE8">
      <w:pPr>
        <w:pStyle w:val="STPR2NumberList"/>
      </w:pPr>
      <w:r w:rsidRPr="00D56DE8">
        <w:t>Empowered Island Communities: To empower diverse communities and different</w:t>
      </w:r>
      <w:r w:rsidR="00D56DE8">
        <w:t> </w:t>
      </w:r>
      <w:r w:rsidRPr="00D56DE8">
        <w:t>places</w:t>
      </w:r>
    </w:p>
    <w:p w14:paraId="7A848B28" w14:textId="77777777" w:rsidR="00B675B1" w:rsidRPr="00D56DE8" w:rsidRDefault="00EA1F87" w:rsidP="00D56DE8">
      <w:pPr>
        <w:pStyle w:val="STPR2NumberList"/>
      </w:pPr>
      <w:r w:rsidRPr="00D56DE8">
        <w:t>Arts, Cultural and Language: To support arts, culture and language</w:t>
      </w:r>
    </w:p>
    <w:p w14:paraId="742F7034" w14:textId="77777777" w:rsidR="00B675B1" w:rsidRPr="00D56DE8" w:rsidRDefault="00EA1F87" w:rsidP="00D56DE8">
      <w:pPr>
        <w:pStyle w:val="STPR2NumberList"/>
      </w:pPr>
      <w:r w:rsidRPr="00D56DE8">
        <w:t>Education: To promote and improve education for all throughout life</w:t>
      </w:r>
    </w:p>
    <w:p w14:paraId="1ABD1B3B" w14:textId="2A4728BE" w:rsidR="002E6E62" w:rsidRPr="00D56DE8" w:rsidRDefault="00EA1F87" w:rsidP="00D56DE8">
      <w:pPr>
        <w:pStyle w:val="STPR2NumberList"/>
      </w:pPr>
      <w:r w:rsidRPr="00D56DE8">
        <w:t>Implementation: To support effective implementation of the National Islands Plan</w:t>
      </w:r>
    </w:p>
    <w:p w14:paraId="26CA8252" w14:textId="587637ED" w:rsidR="00842DB5" w:rsidRDefault="00842DB5" w:rsidP="00D56DE8">
      <w:pPr>
        <w:pStyle w:val="STPR2BodyText"/>
      </w:pPr>
      <w:r>
        <w:t>Fairness is a key value that underpins the National Islands Plan and reflects the Scottish Government’s commitment to equality and human rights. The Plan recognises that every member of society has a right to live with dignity and to enjoy high quality public services wherever they live. This commitment is also included as a National Outcome within Scotland’s National Performance Framework.</w:t>
      </w:r>
    </w:p>
    <w:p w14:paraId="4A4C56C3" w14:textId="07714AC2" w:rsidR="00842DB5" w:rsidRDefault="00842DB5" w:rsidP="00842DB5">
      <w:pPr>
        <w:pStyle w:val="Heading2"/>
      </w:pPr>
      <w:bookmarkStart w:id="501" w:name="_Toc121213932"/>
      <w:r>
        <w:t>Island Communities Impact Assessments: Guidance and Toolkit</w:t>
      </w:r>
      <w:bookmarkEnd w:id="501"/>
    </w:p>
    <w:p w14:paraId="638D2D23" w14:textId="2EDBD5C0" w:rsidR="00842DB5" w:rsidRDefault="00842DB5" w:rsidP="00D56DE8">
      <w:pPr>
        <w:pStyle w:val="STPR2BodyText"/>
      </w:pPr>
      <w:r>
        <w:t xml:space="preserve">In October 2020, the Scottish Government issued guidance on ICIA (Scottish Government, </w:t>
      </w:r>
      <w:r w:rsidR="00F05C1E">
        <w:t>Dec</w:t>
      </w:r>
      <w:r w:rsidR="007B54E9">
        <w:t>ember</w:t>
      </w:r>
      <w:r w:rsidR="00F05C1E">
        <w:t xml:space="preserve"> </w:t>
      </w:r>
      <w:r>
        <w:t>2020</w:t>
      </w:r>
      <w:r w:rsidR="0053033E">
        <w:t>b</w:t>
      </w:r>
      <w:r>
        <w:t>) under Section 11 of the Islands (Scotland) Act 2018 and relating to the duty imposed by Section 7 of the Act. The guidance shows how to assess and take into account the impacts policies, strategies or services might have on island communities in Scotland.</w:t>
      </w:r>
      <w:r w:rsidR="003949E5">
        <w:t xml:space="preserve"> </w:t>
      </w:r>
      <w:r w:rsidR="00CC289D">
        <w:fldChar w:fldCharType="begin"/>
      </w:r>
      <w:r w:rsidR="00CC289D">
        <w:instrText xml:space="preserve"> REF _Ref120095205 \h </w:instrText>
      </w:r>
      <w:r w:rsidR="00D3070E">
        <w:instrText xml:space="preserve"> \* MERGEFORMAT </w:instrText>
      </w:r>
      <w:r w:rsidR="00CC289D">
        <w:fldChar w:fldCharType="separate"/>
      </w:r>
      <w:r w:rsidR="00B71F51" w:rsidRPr="008E782F">
        <w:t xml:space="preserve">Figure </w:t>
      </w:r>
      <w:r w:rsidR="00B71F51">
        <w:t>2</w:t>
      </w:r>
      <w:r w:rsidR="00CC289D">
        <w:fldChar w:fldCharType="end"/>
      </w:r>
      <w:r w:rsidR="00CC289D">
        <w:t xml:space="preserve"> </w:t>
      </w:r>
      <w:r w:rsidR="003949E5">
        <w:t xml:space="preserve">sets out the recommended steps within the ICIA guidance. </w:t>
      </w:r>
    </w:p>
    <w:p w14:paraId="04688026" w14:textId="77777777" w:rsidR="00344EDC" w:rsidRDefault="005F1C01" w:rsidP="00290002">
      <w:pPr>
        <w:keepNext/>
        <w:spacing w:after="0" w:line="240" w:lineRule="auto"/>
        <w:jc w:val="center"/>
        <w:textAlignment w:val="baseline"/>
      </w:pPr>
      <w:r w:rsidRPr="005F1C01">
        <w:rPr>
          <w:rFonts w:ascii="Arial" w:eastAsia="Times New Roman" w:hAnsi="Arial" w:cs="Arial"/>
          <w:noProof/>
          <w:color w:val="000000"/>
          <w:sz w:val="24"/>
          <w:shd w:val="clear" w:color="auto" w:fill="FFFFFF"/>
        </w:rPr>
        <w:lastRenderedPageBreak/>
        <w:drawing>
          <wp:inline distT="0" distB="0" distL="0" distR="0" wp14:anchorId="2568D4F5" wp14:editId="607DEB8C">
            <wp:extent cx="5686011" cy="688657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0343" cy="6891822"/>
                    </a:xfrm>
                    <a:prstGeom prst="rect">
                      <a:avLst/>
                    </a:prstGeom>
                    <a:noFill/>
                    <a:ln>
                      <a:noFill/>
                    </a:ln>
                  </pic:spPr>
                </pic:pic>
              </a:graphicData>
            </a:graphic>
          </wp:inline>
        </w:drawing>
      </w:r>
    </w:p>
    <w:p w14:paraId="2F6F3D5B" w14:textId="07616FC0" w:rsidR="005F1C01" w:rsidRPr="008E782F" w:rsidRDefault="00CC289D" w:rsidP="00BB3BA4">
      <w:pPr>
        <w:pStyle w:val="STPR2Caption"/>
        <w:rPr>
          <w:i/>
          <w:iCs/>
        </w:rPr>
      </w:pPr>
      <w:bookmarkStart w:id="502" w:name="_Ref120095205"/>
      <w:bookmarkStart w:id="503" w:name="_Toc121213992"/>
      <w:r w:rsidRPr="008E782F">
        <w:t xml:space="preserve">Figure </w:t>
      </w:r>
      <w:r w:rsidR="00293A74">
        <w:fldChar w:fldCharType="begin"/>
      </w:r>
      <w:r w:rsidR="00293A74">
        <w:instrText xml:space="preserve"> SEQ Figure \* ARABIC </w:instrText>
      </w:r>
      <w:r w:rsidR="00293A74">
        <w:fldChar w:fldCharType="separate"/>
      </w:r>
      <w:r w:rsidR="00B71F51">
        <w:rPr>
          <w:noProof/>
        </w:rPr>
        <w:t>2</w:t>
      </w:r>
      <w:r w:rsidR="00293A74">
        <w:rPr>
          <w:noProof/>
        </w:rPr>
        <w:fldChar w:fldCharType="end"/>
      </w:r>
      <w:bookmarkEnd w:id="502"/>
      <w:r w:rsidRPr="008E782F">
        <w:t xml:space="preserve"> </w:t>
      </w:r>
      <w:r w:rsidR="002351D2">
        <w:t>–</w:t>
      </w:r>
      <w:r w:rsidRPr="008E782F">
        <w:t xml:space="preserve"> </w:t>
      </w:r>
      <w:r w:rsidR="00344EDC" w:rsidRPr="008E782F">
        <w:t xml:space="preserve">ICIA process set out in the Island Communities Impact Assessments: Guidance </w:t>
      </w:r>
      <w:r w:rsidR="001C2FB7">
        <w:t>a</w:t>
      </w:r>
      <w:r w:rsidR="00344EDC" w:rsidRPr="008E782F">
        <w:t>nd Toolkit, Scottish Government, December 2020</w:t>
      </w:r>
      <w:bookmarkEnd w:id="503"/>
      <w:r w:rsidR="00266630">
        <w:t xml:space="preserve"> </w:t>
      </w:r>
    </w:p>
    <w:p w14:paraId="2975461B" w14:textId="7423EBE5" w:rsidR="003949E5" w:rsidRDefault="003949E5" w:rsidP="00290002">
      <w:pPr>
        <w:pStyle w:val="Heading2"/>
      </w:pPr>
      <w:bookmarkStart w:id="504" w:name="_Toc121213933"/>
      <w:r>
        <w:t>ICIA Guidance</w:t>
      </w:r>
      <w:r w:rsidR="00AA065F">
        <w:t xml:space="preserve"> and the STPR2 process</w:t>
      </w:r>
      <w:bookmarkEnd w:id="504"/>
    </w:p>
    <w:p w14:paraId="130F55C0" w14:textId="6FA38B16" w:rsidR="003949E5" w:rsidRPr="005F1C01" w:rsidRDefault="003949E5" w:rsidP="00BB3BA4">
      <w:pPr>
        <w:pStyle w:val="STPR2BodyText"/>
        <w:rPr>
          <w:rFonts w:ascii="Segoe UI" w:hAnsi="Segoe UI" w:cs="Segoe UI"/>
          <w:sz w:val="18"/>
          <w:szCs w:val="18"/>
        </w:rPr>
      </w:pPr>
      <w:r w:rsidRPr="005F1C01">
        <w:t>At the start of STPR2, the guidance for the ICIA was in draft format. Therefore, an approach was developed which aligned the ICIA (along with other impact assessments including EqIA, FSDA and CRWIA</w:t>
      </w:r>
      <w:r w:rsidR="00E516AB">
        <w:t>)</w:t>
      </w:r>
      <w:r w:rsidRPr="005F1C01">
        <w:t xml:space="preserve"> into the overall STAG appraisal process. The approach was also developed to mirror the SEA methodology, an established approach </w:t>
      </w:r>
      <w:r w:rsidRPr="005F1C01">
        <w:lastRenderedPageBreak/>
        <w:t>with which shared baseline data could be used. The rationale for taking this approach was that a meaningful consideration of island communities would be undertaken as part of the overall appraisal process. </w:t>
      </w:r>
      <w:r w:rsidR="002B0513">
        <w:t>More detail on the approach can b</w:t>
      </w:r>
      <w:r w:rsidR="000C6250">
        <w:t>e</w:t>
      </w:r>
      <w:r w:rsidR="002B0513">
        <w:t xml:space="preserve"> found in chapter 5 of this</w:t>
      </w:r>
      <w:r w:rsidR="00BB3BA4">
        <w:t> </w:t>
      </w:r>
      <w:r w:rsidR="002B0513">
        <w:t>report.</w:t>
      </w:r>
    </w:p>
    <w:p w14:paraId="4E59555B" w14:textId="60EA784F" w:rsidR="003949E5" w:rsidRPr="005F1C01" w:rsidRDefault="003949E5" w:rsidP="00D56DE8">
      <w:pPr>
        <w:pStyle w:val="STPR2BodyText"/>
        <w:rPr>
          <w:rFonts w:ascii="Segoe UI" w:hAnsi="Segoe UI" w:cs="Segoe UI"/>
          <w:sz w:val="18"/>
          <w:szCs w:val="18"/>
        </w:rPr>
      </w:pPr>
      <w:r w:rsidRPr="005F1C01">
        <w:t>Due to the STPR2 approach focusing on integration with STAG</w:t>
      </w:r>
      <w:r w:rsidR="00E0350D">
        <w:t>,</w:t>
      </w:r>
      <w:r w:rsidRPr="005F1C01">
        <w:t xml:space="preserve"> the steps undertaken have not been followed in a linear manner, however all activities have been robustly covered throughout as demonstrated in the following paragraphs. </w:t>
      </w:r>
    </w:p>
    <w:p w14:paraId="3A632DF1" w14:textId="579D983E" w:rsidR="005F1C01" w:rsidRPr="00BB3BA4" w:rsidRDefault="005F1C01" w:rsidP="00BB3BA4">
      <w:pPr>
        <w:spacing w:before="240" w:line="240" w:lineRule="auto"/>
        <w:textAlignment w:val="baseline"/>
        <w:rPr>
          <w:rFonts w:ascii="Arial" w:eastAsia="Times New Roman" w:hAnsi="Arial" w:cs="Arial"/>
          <w:b/>
          <w:bCs/>
          <w:color w:val="B06900"/>
          <w:sz w:val="24"/>
          <w:szCs w:val="24"/>
        </w:rPr>
      </w:pPr>
      <w:r w:rsidRPr="005F1C01">
        <w:rPr>
          <w:rFonts w:ascii="Arial" w:eastAsia="Times New Roman" w:hAnsi="Arial" w:cs="Arial"/>
          <w:b/>
          <w:bCs/>
          <w:color w:val="B06900"/>
          <w:sz w:val="24"/>
          <w:szCs w:val="24"/>
        </w:rPr>
        <w:t>Steps 1 and 2: Define the issues/Understand the situation</w:t>
      </w:r>
    </w:p>
    <w:p w14:paraId="09E643CE" w14:textId="3FA429F5" w:rsidR="005F1C01" w:rsidRPr="00C90066" w:rsidRDefault="005F1C01" w:rsidP="00D56DE8">
      <w:pPr>
        <w:pStyle w:val="STPR2BodyText"/>
        <w:rPr>
          <w:rFonts w:ascii="Segoe UI" w:hAnsi="Segoe UI" w:cs="Segoe UI"/>
          <w:sz w:val="18"/>
          <w:szCs w:val="18"/>
        </w:rPr>
      </w:pPr>
      <w:r w:rsidRPr="005F1C01">
        <w:t>Twenty-</w:t>
      </w:r>
      <w:r w:rsidR="00606AD8">
        <w:t>two</w:t>
      </w:r>
      <w:r w:rsidR="00606AD8" w:rsidRPr="005F1C01">
        <w:t xml:space="preserve"> </w:t>
      </w:r>
      <w:r w:rsidRPr="005F1C01">
        <w:t>regional workshops were held in May 2019 to identify problems and opportunities for each of the regions. A wide range of stakeholders were invited to these workshops including</w:t>
      </w:r>
      <w:r w:rsidR="003B1006">
        <w:t>,</w:t>
      </w:r>
      <w:r w:rsidRPr="005F1C01">
        <w:t xml:space="preserve"> for example, members from Local Authorities, Access Panels</w:t>
      </w:r>
      <w:r w:rsidR="00F22516">
        <w:t xml:space="preserve"> and</w:t>
      </w:r>
      <w:r w:rsidRPr="005F1C01">
        <w:t xml:space="preserve"> Public Transport Providers.</w:t>
      </w:r>
      <w:r w:rsidR="00266630">
        <w:t xml:space="preserve"> </w:t>
      </w:r>
    </w:p>
    <w:p w14:paraId="61C3F3BA" w14:textId="42FF8A53" w:rsidR="005F1C01" w:rsidRPr="00C90066" w:rsidRDefault="00B83F4B" w:rsidP="00D56DE8">
      <w:pPr>
        <w:pStyle w:val="STPR2BodyText"/>
        <w:rPr>
          <w:rFonts w:ascii="Segoe UI" w:hAnsi="Segoe UI" w:cs="Segoe UI"/>
          <w:sz w:val="18"/>
          <w:szCs w:val="18"/>
        </w:rPr>
      </w:pPr>
      <w:r>
        <w:t>Ten</w:t>
      </w:r>
      <w:r w:rsidR="005F1C01" w:rsidRPr="00C90066">
        <w:t xml:space="preserve"> national workshops were held throughout August and September 2019 as detailed above with an Equalities Specific Workshop (including Island Communities) held on the 18</w:t>
      </w:r>
      <w:r w:rsidR="005F1C01" w:rsidRPr="00B83F4B">
        <w:rPr>
          <w:vertAlign w:val="superscript"/>
        </w:rPr>
        <w:t>th</w:t>
      </w:r>
      <w:r w:rsidR="005F1C01" w:rsidRPr="00C90066">
        <w:t xml:space="preserve"> September 2019. </w:t>
      </w:r>
    </w:p>
    <w:p w14:paraId="3ED24B7D" w14:textId="462AE1E8" w:rsidR="005F1C01" w:rsidRDefault="005F1C01" w:rsidP="00D56DE8">
      <w:pPr>
        <w:pStyle w:val="STPR2BodyText"/>
      </w:pPr>
      <w:r w:rsidRPr="00C90066">
        <w:t>Problems and opportunities relating to the ICIA were raised and documented at these workshops. An extensive review of secondary data sources was also undertaken to provide a baseline of island community issues.</w:t>
      </w:r>
      <w:r w:rsidRPr="005F1C01">
        <w:t xml:space="preserve"> The island related issues raised at the workshops and data from desktop research w</w:t>
      </w:r>
      <w:r w:rsidR="00B67BFA">
        <w:t>ere</w:t>
      </w:r>
      <w:r w:rsidRPr="005F1C01">
        <w:t xml:space="preserve"> set out in an ‘EqIA’ scoping report. This scoping report encompassed the baseline for the ICIA, EqIA, FSDA and CRWIA along with proposed Equalities objectives</w:t>
      </w:r>
      <w:r w:rsidR="004D0234">
        <w:t>,</w:t>
      </w:r>
      <w:r w:rsidRPr="005F1C01">
        <w:t xml:space="preserve"> including an Island Communities specific objective. The objectives were developed to provide a framework for future assessment and incorporation into the wider appraisal process. </w:t>
      </w:r>
    </w:p>
    <w:p w14:paraId="52CD2DF7" w14:textId="77777777" w:rsidR="00606AD8" w:rsidRPr="00C90066" w:rsidRDefault="00606AD8" w:rsidP="00D56DE8">
      <w:pPr>
        <w:pStyle w:val="STPR2BodyText"/>
        <w:rPr>
          <w:rFonts w:ascii="Segoe UI" w:hAnsi="Segoe UI" w:cs="Segoe UI"/>
          <w:sz w:val="18"/>
          <w:szCs w:val="18"/>
        </w:rPr>
      </w:pPr>
      <w:r w:rsidRPr="00C90066">
        <w:t xml:space="preserve">Engagement included a range of online surveys, structured interviews, elected members engagement and business </w:t>
      </w:r>
      <w:r>
        <w:t>engagement events</w:t>
      </w:r>
      <w:r w:rsidRPr="00C90066">
        <w:t>.</w:t>
      </w:r>
    </w:p>
    <w:p w14:paraId="24A6D659" w14:textId="77777777" w:rsidR="005F1C01" w:rsidRPr="005F1C01" w:rsidRDefault="005F1C01" w:rsidP="00D56DE8">
      <w:pPr>
        <w:pStyle w:val="STPR2BodyText"/>
        <w:rPr>
          <w:rFonts w:ascii="Segoe UI" w:hAnsi="Segoe UI" w:cs="Segoe UI"/>
          <w:sz w:val="18"/>
          <w:szCs w:val="18"/>
        </w:rPr>
      </w:pPr>
      <w:r w:rsidRPr="005F1C01">
        <w:t>Case for Change reports containing detailed baseline information on different regions (including for islands) and an EqIA progress report summarising all impact assessment related activities were also published in February 2021. </w:t>
      </w:r>
    </w:p>
    <w:p w14:paraId="2F79E94D" w14:textId="745AB9FA" w:rsidR="005F1C01" w:rsidRPr="00BB3BA4" w:rsidRDefault="005F1C01" w:rsidP="00BB3BA4">
      <w:pPr>
        <w:spacing w:before="240" w:line="240" w:lineRule="auto"/>
        <w:textAlignment w:val="baseline"/>
        <w:rPr>
          <w:rFonts w:ascii="Arial" w:eastAsia="Times New Roman" w:hAnsi="Arial" w:cs="Arial"/>
          <w:b/>
          <w:bCs/>
          <w:color w:val="B06900"/>
          <w:sz w:val="24"/>
          <w:szCs w:val="24"/>
        </w:rPr>
      </w:pPr>
      <w:r w:rsidRPr="005F1C01">
        <w:rPr>
          <w:rFonts w:ascii="Arial" w:eastAsia="Times New Roman" w:hAnsi="Arial" w:cs="Arial"/>
          <w:b/>
          <w:bCs/>
          <w:color w:val="B06900"/>
          <w:sz w:val="24"/>
          <w:szCs w:val="24"/>
        </w:rPr>
        <w:t>Step 3: Consultation</w:t>
      </w:r>
    </w:p>
    <w:p w14:paraId="72F8080F" w14:textId="7F342813" w:rsidR="005F1C01" w:rsidRPr="005F1C01" w:rsidRDefault="005F1C01" w:rsidP="00D56DE8">
      <w:pPr>
        <w:pStyle w:val="STPR2BodyText"/>
        <w:rPr>
          <w:rFonts w:ascii="Segoe UI" w:hAnsi="Segoe UI" w:cs="Segoe UI"/>
          <w:sz w:val="18"/>
          <w:szCs w:val="18"/>
        </w:rPr>
      </w:pPr>
      <w:r w:rsidRPr="00391363">
        <w:t>STPR2 consultation and engagement has been continuous throughout the process and has included island communities.</w:t>
      </w:r>
      <w:r w:rsidRPr="005F1C01">
        <w:t xml:space="preserve"> The EqIA scoping report was distributed to consultees for review and feedback between December 2019 and February 2020</w:t>
      </w:r>
      <w:r w:rsidR="00CE28C3">
        <w:t>,</w:t>
      </w:r>
      <w:r w:rsidRPr="005F1C01">
        <w:t xml:space="preserve"> providing an adequate amount of time for comment from consultees on the objectives and issues. </w:t>
      </w:r>
    </w:p>
    <w:p w14:paraId="0D84E548" w14:textId="5AA2F698" w:rsidR="005F1C01" w:rsidRPr="005F1C01" w:rsidRDefault="005F1C01" w:rsidP="00D56DE8">
      <w:pPr>
        <w:pStyle w:val="STPR2BodyText"/>
        <w:rPr>
          <w:rFonts w:ascii="Segoe UI" w:hAnsi="Segoe UI" w:cs="Segoe UI"/>
          <w:sz w:val="18"/>
          <w:szCs w:val="18"/>
        </w:rPr>
      </w:pPr>
      <w:r w:rsidRPr="005F1C01">
        <w:t>An EqIA progress report was published in February 2021 setting out the assessment approach (including ICIA) and this was consulted on, including through an ICIA specific workshop in March 2021. </w:t>
      </w:r>
    </w:p>
    <w:p w14:paraId="6CD64080" w14:textId="701BC4D3" w:rsidR="005F1C01" w:rsidRPr="00BB3BA4" w:rsidRDefault="005F1C01" w:rsidP="00BB3BA4">
      <w:pPr>
        <w:keepNext/>
        <w:keepLines/>
        <w:shd w:val="clear" w:color="auto" w:fill="FFFFFF"/>
        <w:spacing w:before="240" w:line="240" w:lineRule="auto"/>
        <w:textAlignment w:val="baseline"/>
        <w:rPr>
          <w:rFonts w:ascii="Arial" w:eastAsia="Times New Roman" w:hAnsi="Arial" w:cs="Arial"/>
          <w:b/>
          <w:bCs/>
          <w:color w:val="B06900"/>
          <w:sz w:val="24"/>
          <w:szCs w:val="24"/>
        </w:rPr>
      </w:pPr>
      <w:r w:rsidRPr="005F1C01">
        <w:rPr>
          <w:rFonts w:ascii="Arial" w:eastAsia="Times New Roman" w:hAnsi="Arial" w:cs="Arial"/>
          <w:b/>
          <w:bCs/>
          <w:color w:val="B06900"/>
          <w:sz w:val="24"/>
          <w:szCs w:val="24"/>
        </w:rPr>
        <w:lastRenderedPageBreak/>
        <w:t>Step 4: Assessment</w:t>
      </w:r>
    </w:p>
    <w:p w14:paraId="72756303" w14:textId="7FE03CB0" w:rsidR="005F1C01" w:rsidRPr="00BB3BA4" w:rsidRDefault="005F1C01" w:rsidP="00BB3BA4">
      <w:pPr>
        <w:pStyle w:val="STPR2BodyText"/>
        <w:keepNext/>
        <w:keepLines/>
      </w:pPr>
      <w:r w:rsidRPr="005F1C01">
        <w:t xml:space="preserve">The STPR2 appraisal process has been developed over three main phases for which the ICIA process has been integrated, recognising that island communities will have different needs and requirements and that some interventions will be of more relevance to island communities than </w:t>
      </w:r>
      <w:r w:rsidRPr="00BB3BA4">
        <w:t>others.</w:t>
      </w:r>
    </w:p>
    <w:p w14:paraId="5029B534" w14:textId="4B212DA0" w:rsidR="005F1C01" w:rsidRDefault="005F1C01" w:rsidP="00D56DE8">
      <w:pPr>
        <w:pStyle w:val="STPR2BodyText"/>
      </w:pPr>
      <w:r w:rsidRPr="005F1C01">
        <w:rPr>
          <w:b/>
          <w:bCs/>
          <w:color w:val="B06900"/>
        </w:rPr>
        <w:t xml:space="preserve">Initial Appraisal </w:t>
      </w:r>
      <w:r w:rsidRPr="005F1C01">
        <w:t>-</w:t>
      </w:r>
      <w:r w:rsidR="00266630">
        <w:t xml:space="preserve"> </w:t>
      </w:r>
      <w:r w:rsidRPr="005F1C01">
        <w:t>Almost 14,000 ‘ideas/options’ initially came forward for inclusion with</w:t>
      </w:r>
      <w:r w:rsidR="006835FC">
        <w:t>in</w:t>
      </w:r>
      <w:r w:rsidRPr="005F1C01">
        <w:t xml:space="preserve"> STPR2. An initial cleaning and consolidation process was undertaken to remove duplicates and better define some of the options, result</w:t>
      </w:r>
      <w:r w:rsidR="0084766C">
        <w:t>ing</w:t>
      </w:r>
      <w:r w:rsidRPr="005F1C01">
        <w:t xml:space="preserve"> in </w:t>
      </w:r>
      <w:r w:rsidR="0084766C">
        <w:t>approximately 2,800</w:t>
      </w:r>
      <w:r w:rsidRPr="005F1C01">
        <w:t xml:space="preserve"> options being taken forward for sifting and refinement.</w:t>
      </w:r>
    </w:p>
    <w:p w14:paraId="49CD982E" w14:textId="55E1AC78" w:rsidR="005F1C01" w:rsidRPr="005F1C01" w:rsidRDefault="005F1C01" w:rsidP="00D56DE8">
      <w:pPr>
        <w:pStyle w:val="STPR2BodyText"/>
      </w:pPr>
      <w:r w:rsidRPr="005F1C01">
        <w:t xml:space="preserve">Following the </w:t>
      </w:r>
      <w:r w:rsidR="000337DD">
        <w:t xml:space="preserve">extensive </w:t>
      </w:r>
      <w:r w:rsidRPr="005F1C01">
        <w:t xml:space="preserve">sifting </w:t>
      </w:r>
      <w:r w:rsidR="000337DD">
        <w:t>process</w:t>
      </w:r>
      <w:r w:rsidRPr="005F1C01">
        <w:t xml:space="preserve">, approximately 1,400 </w:t>
      </w:r>
      <w:r w:rsidR="000337DD">
        <w:t xml:space="preserve">standalone </w:t>
      </w:r>
      <w:r w:rsidRPr="005F1C01">
        <w:t xml:space="preserve">options remained in the process. There were many options that shared common traits across the regions and many options which in isolation would not deliver the strategic improvements STPR2 is seeking to deliver. Recognising the strategic and national dimension, options that were sifted in for further appraisal were allocated to </w:t>
      </w:r>
      <w:r w:rsidR="0061237C">
        <w:t>g</w:t>
      </w:r>
      <w:r w:rsidRPr="005F1C01">
        <w:t>roupings: </w:t>
      </w:r>
      <w:r w:rsidR="000A532A">
        <w:t>a</w:t>
      </w:r>
      <w:r w:rsidR="000A532A" w:rsidRPr="000A532A">
        <w:t xml:space="preserve"> total of 80 </w:t>
      </w:r>
      <w:r w:rsidR="0061237C">
        <w:t>g</w:t>
      </w:r>
      <w:r w:rsidR="000A532A" w:rsidRPr="000A532A">
        <w:t>roupings (similar types of interventions) were identified to be taken forward within the appraisal process</w:t>
      </w:r>
      <w:r w:rsidR="000A532A">
        <w:t>.</w:t>
      </w:r>
    </w:p>
    <w:p w14:paraId="0525F9E1" w14:textId="24E33EA1" w:rsidR="005F1C01" w:rsidRPr="00BB3BA4" w:rsidRDefault="005F1C01" w:rsidP="00D56DE8">
      <w:pPr>
        <w:pStyle w:val="STPR2BodyText"/>
      </w:pPr>
      <w:r w:rsidRPr="005F1C01">
        <w:t>Options were assessed at this stage for their contribution to defined STPR2 Transport Planning Objectives</w:t>
      </w:r>
      <w:r w:rsidR="00BC2490">
        <w:t xml:space="preserve"> </w:t>
      </w:r>
      <w:r w:rsidRPr="005F1C01">
        <w:t>(TPOs</w:t>
      </w:r>
      <w:r w:rsidR="00F630EE" w:rsidRPr="005F1C01">
        <w:t>),</w:t>
      </w:r>
      <w:r w:rsidRPr="005F1C01">
        <w:t xml:space="preserve"> SEA and Equalities objectives. This included a consideration of contribution to </w:t>
      </w:r>
      <w:r w:rsidRPr="00366144">
        <w:t>the Island Communities objective</w:t>
      </w:r>
      <w:r w:rsidR="0044085D">
        <w:t xml:space="preserve"> (see </w:t>
      </w:r>
      <w:r w:rsidR="008E0FF3">
        <w:fldChar w:fldCharType="begin"/>
      </w:r>
      <w:r w:rsidR="008E0FF3">
        <w:instrText xml:space="preserve"> REF _Ref121229116 \n \h </w:instrText>
      </w:r>
      <w:r w:rsidR="008E0FF3">
        <w:fldChar w:fldCharType="separate"/>
      </w:r>
      <w:r w:rsidR="00B71F51">
        <w:t>Appendix B:</w:t>
      </w:r>
      <w:r w:rsidR="008E0FF3">
        <w:fldChar w:fldCharType="end"/>
      </w:r>
      <w:r w:rsidR="0044085D">
        <w:t xml:space="preserve"> of this </w:t>
      </w:r>
      <w:r w:rsidR="0044085D" w:rsidRPr="00BB3BA4">
        <w:t>report)</w:t>
      </w:r>
      <w:r w:rsidRPr="00BB3BA4">
        <w:t>. </w:t>
      </w:r>
    </w:p>
    <w:p w14:paraId="38B5F872" w14:textId="58851CEE" w:rsidR="005F1C01" w:rsidRPr="00BB3BA4" w:rsidRDefault="005F1C01" w:rsidP="00D56DE8">
      <w:pPr>
        <w:pStyle w:val="STPR2BodyText"/>
      </w:pPr>
      <w:r w:rsidRPr="005F1C01">
        <w:rPr>
          <w:b/>
          <w:bCs/>
          <w:color w:val="B06900"/>
        </w:rPr>
        <w:t>Preliminary Appraisal</w:t>
      </w:r>
      <w:r w:rsidR="00266630">
        <w:rPr>
          <w:color w:val="B06900"/>
        </w:rPr>
        <w:t xml:space="preserve"> </w:t>
      </w:r>
      <w:r w:rsidRPr="005F1C01">
        <w:t xml:space="preserve">- appraisal of shortlisted interventions was undertaken using STAG to which ICIA was incorporated. An assessment ‘tool’ was set up </w:t>
      </w:r>
      <w:r w:rsidRPr="00606AD8">
        <w:t xml:space="preserve">using guide questions associated with the island communities objectives to provide an ICIA ‘score’ for each </w:t>
      </w:r>
      <w:r w:rsidRPr="00BB3BA4">
        <w:t>intervention.</w:t>
      </w:r>
    </w:p>
    <w:p w14:paraId="3809127E" w14:textId="43C2FF6A" w:rsidR="005F1C01" w:rsidRPr="005F1C01" w:rsidRDefault="005F1C01" w:rsidP="00D56DE8">
      <w:pPr>
        <w:pStyle w:val="STPR2BodyText"/>
        <w:rPr>
          <w:rFonts w:ascii="Segoe UI" w:hAnsi="Segoe UI" w:cs="Segoe UI"/>
          <w:sz w:val="18"/>
          <w:szCs w:val="18"/>
        </w:rPr>
      </w:pPr>
      <w:r w:rsidRPr="005F1C01">
        <w:t xml:space="preserve">Recognising that there are nuanced issues around interventions, each score was verified through discussion with </w:t>
      </w:r>
      <w:r w:rsidR="00903380">
        <w:t xml:space="preserve">the project team </w:t>
      </w:r>
      <w:r w:rsidRPr="005F1C01">
        <w:t>for each transport mode. Supporting narrative was included within the ASTs to provide a rationale for the scoring. Recommendations for mitigations, refinements and inclusions of caveats were made where appropriate. </w:t>
      </w:r>
    </w:p>
    <w:p w14:paraId="4F1746E3" w14:textId="4BD01762" w:rsidR="005F1C01" w:rsidRPr="005F1C01" w:rsidRDefault="005F1C01" w:rsidP="00D56DE8">
      <w:pPr>
        <w:pStyle w:val="STPR2BodyText"/>
        <w:rPr>
          <w:rFonts w:ascii="Segoe UI" w:hAnsi="Segoe UI" w:cs="Segoe UI"/>
          <w:sz w:val="18"/>
          <w:szCs w:val="18"/>
        </w:rPr>
      </w:pPr>
      <w:r w:rsidRPr="005F1C01">
        <w:t>An ICIA specific workshop was also held with representatives of island communities, organisations and local authorities as well as the Scottish Government Islands Team in March 2021 prior to the preliminary appraisal process to consult on the detailed approach to the ICIA. Further conversations were undertaken with the S</w:t>
      </w:r>
      <w:r w:rsidR="004C0E5D">
        <w:t xml:space="preserve">cottish </w:t>
      </w:r>
      <w:r w:rsidRPr="005F1C01">
        <w:t>G</w:t>
      </w:r>
      <w:r w:rsidR="004C0E5D">
        <w:t>overnment</w:t>
      </w:r>
      <w:r w:rsidRPr="005F1C01">
        <w:t xml:space="preserve"> Islands Team to determine the approach undertaken. </w:t>
      </w:r>
    </w:p>
    <w:p w14:paraId="714F2648" w14:textId="78F8236F" w:rsidR="005F1C01" w:rsidRPr="00BB3BA4" w:rsidRDefault="005F1C01" w:rsidP="00BB3BA4">
      <w:pPr>
        <w:pStyle w:val="STPR2BodyText"/>
      </w:pPr>
      <w:r w:rsidRPr="005F1C01">
        <w:rPr>
          <w:b/>
          <w:bCs/>
          <w:color w:val="B06900"/>
        </w:rPr>
        <w:t xml:space="preserve">Detailed appraisal </w:t>
      </w:r>
      <w:r w:rsidR="00811552">
        <w:t>-</w:t>
      </w:r>
      <w:r w:rsidRPr="005F1C01">
        <w:t xml:space="preserve"> detail</w:t>
      </w:r>
      <w:r w:rsidR="00811552">
        <w:t>ed</w:t>
      </w:r>
      <w:r w:rsidRPr="005F1C01">
        <w:t xml:space="preserve"> appraisal work was then undertaken to develop the recommendations and this includes an appraisal of impacts on island </w:t>
      </w:r>
      <w:r w:rsidRPr="00BB3BA4">
        <w:t>communities.</w:t>
      </w:r>
      <w:r w:rsidR="00266630" w:rsidRPr="00BB3BA4">
        <w:t xml:space="preserve"> </w:t>
      </w:r>
    </w:p>
    <w:p w14:paraId="3A249C39" w14:textId="39E60F02" w:rsidR="005F1C01" w:rsidRPr="00E262AD" w:rsidRDefault="005F1C01" w:rsidP="00E262AD">
      <w:pPr>
        <w:shd w:val="clear" w:color="auto" w:fill="FFFFFF"/>
        <w:spacing w:after="0" w:line="240" w:lineRule="auto"/>
        <w:textAlignment w:val="baseline"/>
        <w:rPr>
          <w:rFonts w:ascii="Arial" w:hAnsi="Arial" w:cs="Arial"/>
          <w:b/>
          <w:color w:val="B06900"/>
          <w:sz w:val="24"/>
          <w:szCs w:val="24"/>
        </w:rPr>
      </w:pPr>
      <w:r w:rsidRPr="00E262AD">
        <w:rPr>
          <w:rFonts w:ascii="Arial" w:eastAsia="Times New Roman" w:hAnsi="Arial" w:cs="Arial"/>
          <w:b/>
          <w:bCs/>
          <w:color w:val="B06900"/>
          <w:sz w:val="24"/>
          <w:szCs w:val="24"/>
        </w:rPr>
        <w:t>Step 5: Preparing your ICIA </w:t>
      </w:r>
    </w:p>
    <w:p w14:paraId="298A04A2" w14:textId="68AA4540" w:rsidR="005F1C01" w:rsidRPr="005F1C01" w:rsidRDefault="005F1C01" w:rsidP="00D56DE8">
      <w:pPr>
        <w:pStyle w:val="STPR2BodyText"/>
        <w:rPr>
          <w:rFonts w:ascii="Segoe UI" w:hAnsi="Segoe UI" w:cs="Segoe UI"/>
          <w:sz w:val="18"/>
          <w:szCs w:val="18"/>
        </w:rPr>
      </w:pPr>
      <w:r w:rsidRPr="005F1C01">
        <w:t xml:space="preserve">A draft ICIA report </w:t>
      </w:r>
      <w:r w:rsidR="0038197F">
        <w:t>was</w:t>
      </w:r>
      <w:r w:rsidRPr="005F1C01">
        <w:t xml:space="preserve"> published alongside the draft STPR2 </w:t>
      </w:r>
      <w:r w:rsidR="001A07B8">
        <w:t xml:space="preserve">Technical Report </w:t>
      </w:r>
      <w:r w:rsidR="00366144">
        <w:t>for public consultation in January 2022</w:t>
      </w:r>
      <w:r w:rsidRPr="005F1C01">
        <w:t>. This set out the legislative background, process undertaken, key issues and evidence relating to island communities and the high level potential impacts of the STPR2 recommendations on island communities.</w:t>
      </w:r>
      <w:r w:rsidR="00266630">
        <w:t xml:space="preserve"> </w:t>
      </w:r>
      <w:r w:rsidR="003169AC">
        <w:t xml:space="preserve">An islands specific information session was also held in March 2022 to </w:t>
      </w:r>
      <w:r w:rsidR="004A7A38">
        <w:t>present the findings of the ICIA.</w:t>
      </w:r>
    </w:p>
    <w:p w14:paraId="169FD22A" w14:textId="20D754E3" w:rsidR="00842DB5" w:rsidRPr="00BB3BA4" w:rsidRDefault="007B7226" w:rsidP="00D56DE8">
      <w:pPr>
        <w:pStyle w:val="STPR2BodyText"/>
      </w:pPr>
      <w:r>
        <w:t xml:space="preserve">This report sets out the </w:t>
      </w:r>
      <w:r w:rsidR="005F1C01" w:rsidRPr="005F1C01">
        <w:t>final ICIA and incorporate</w:t>
      </w:r>
      <w:r>
        <w:t>s</w:t>
      </w:r>
      <w:r w:rsidR="005F1C01" w:rsidRPr="005F1C01">
        <w:t xml:space="preserve"> feedback from consultation as well as updated findings from further detailed appraisal work following guidance set out in </w:t>
      </w:r>
      <w:r w:rsidR="005F1C01" w:rsidRPr="005F1C01">
        <w:rPr>
          <w:b/>
          <w:color w:val="B06900"/>
        </w:rPr>
        <w:t>step 6</w:t>
      </w:r>
      <w:r w:rsidR="0062256A">
        <w:rPr>
          <w:b/>
          <w:color w:val="B06900"/>
        </w:rPr>
        <w:t xml:space="preserve"> (making adjustments to the work)</w:t>
      </w:r>
      <w:r w:rsidR="005F1C01" w:rsidRPr="005F1C01">
        <w:rPr>
          <w:b/>
          <w:color w:val="B06900"/>
        </w:rPr>
        <w:t xml:space="preserve"> </w:t>
      </w:r>
      <w:r w:rsidR="005F1C01" w:rsidRPr="00B83F4B">
        <w:rPr>
          <w:color w:val="000000"/>
          <w:szCs w:val="22"/>
        </w:rPr>
        <w:t xml:space="preserve">and </w:t>
      </w:r>
      <w:r w:rsidR="00814137">
        <w:rPr>
          <w:b/>
          <w:color w:val="B06900"/>
        </w:rPr>
        <w:t xml:space="preserve">step </w:t>
      </w:r>
      <w:r w:rsidR="005F1C01" w:rsidRPr="005F1C01">
        <w:rPr>
          <w:b/>
          <w:color w:val="B06900"/>
        </w:rPr>
        <w:t>7</w:t>
      </w:r>
      <w:r w:rsidR="00814137">
        <w:rPr>
          <w:b/>
          <w:color w:val="B06900"/>
        </w:rPr>
        <w:t xml:space="preserve"> (publishing the work</w:t>
      </w:r>
      <w:r w:rsidR="00344EDC">
        <w:rPr>
          <w:b/>
          <w:color w:val="B06900"/>
        </w:rPr>
        <w:t>)</w:t>
      </w:r>
      <w:r w:rsidR="005F1C01" w:rsidRPr="005F1C01">
        <w:t xml:space="preserve"> where </w:t>
      </w:r>
      <w:r w:rsidR="005F1C01" w:rsidRPr="00BB3BA4">
        <w:t>appropriate.</w:t>
      </w:r>
    </w:p>
    <w:p w14:paraId="2DF131A9" w14:textId="5980C10C" w:rsidR="000C6958" w:rsidRDefault="000C6958" w:rsidP="00252B01">
      <w:pPr>
        <w:pStyle w:val="Heading1"/>
      </w:pPr>
      <w:bookmarkStart w:id="505" w:name="_Toc88563968"/>
      <w:bookmarkStart w:id="506" w:name="_Toc88563969"/>
      <w:bookmarkStart w:id="507" w:name="_Toc85028538"/>
      <w:bookmarkStart w:id="508" w:name="_Toc85028600"/>
      <w:bookmarkStart w:id="509" w:name="_Toc88563970"/>
      <w:bookmarkStart w:id="510" w:name="_Toc20903638"/>
      <w:bookmarkStart w:id="511" w:name="_Toc20903750"/>
      <w:bookmarkStart w:id="512" w:name="_Toc20903870"/>
      <w:bookmarkStart w:id="513" w:name="_Toc21078515"/>
      <w:bookmarkStart w:id="514" w:name="_Toc21080141"/>
      <w:bookmarkStart w:id="515" w:name="_Toc21353760"/>
      <w:bookmarkStart w:id="516" w:name="_Toc21354225"/>
      <w:bookmarkStart w:id="517" w:name="_Toc21446888"/>
      <w:bookmarkStart w:id="518" w:name="_Toc21447144"/>
      <w:bookmarkStart w:id="519" w:name="_Toc21447258"/>
      <w:bookmarkStart w:id="520" w:name="_Toc21447503"/>
      <w:bookmarkStart w:id="521" w:name="_Toc21447637"/>
      <w:bookmarkStart w:id="522" w:name="_Toc21510396"/>
      <w:bookmarkStart w:id="523" w:name="_Toc21510998"/>
      <w:bookmarkStart w:id="524" w:name="_Toc21523067"/>
      <w:bookmarkStart w:id="525" w:name="_Toc20903639"/>
      <w:bookmarkStart w:id="526" w:name="_Toc20903751"/>
      <w:bookmarkStart w:id="527" w:name="_Toc20903871"/>
      <w:bookmarkStart w:id="528" w:name="_Toc21078516"/>
      <w:bookmarkStart w:id="529" w:name="_Toc21080142"/>
      <w:bookmarkStart w:id="530" w:name="_Toc21353761"/>
      <w:bookmarkStart w:id="531" w:name="_Toc21354226"/>
      <w:bookmarkStart w:id="532" w:name="_Toc21446889"/>
      <w:bookmarkStart w:id="533" w:name="_Toc21447145"/>
      <w:bookmarkStart w:id="534" w:name="_Toc21447259"/>
      <w:bookmarkStart w:id="535" w:name="_Toc21447504"/>
      <w:bookmarkStart w:id="536" w:name="_Toc21447638"/>
      <w:bookmarkStart w:id="537" w:name="_Toc21510397"/>
      <w:bookmarkStart w:id="538" w:name="_Toc21510999"/>
      <w:bookmarkStart w:id="539" w:name="_Toc21523068"/>
      <w:bookmarkStart w:id="540" w:name="_Toc20903640"/>
      <w:bookmarkStart w:id="541" w:name="_Toc20903752"/>
      <w:bookmarkStart w:id="542" w:name="_Toc20903872"/>
      <w:bookmarkStart w:id="543" w:name="_Toc21078517"/>
      <w:bookmarkStart w:id="544" w:name="_Toc21080143"/>
      <w:bookmarkStart w:id="545" w:name="_Toc21353762"/>
      <w:bookmarkStart w:id="546" w:name="_Toc21354227"/>
      <w:bookmarkStart w:id="547" w:name="_Toc21446890"/>
      <w:bookmarkStart w:id="548" w:name="_Toc21447146"/>
      <w:bookmarkStart w:id="549" w:name="_Toc21447260"/>
      <w:bookmarkStart w:id="550" w:name="_Toc21447505"/>
      <w:bookmarkStart w:id="551" w:name="_Toc21447639"/>
      <w:bookmarkStart w:id="552" w:name="_Toc21510398"/>
      <w:bookmarkStart w:id="553" w:name="_Toc21511000"/>
      <w:bookmarkStart w:id="554" w:name="_Toc21523069"/>
      <w:bookmarkStart w:id="555" w:name="_Toc20903641"/>
      <w:bookmarkStart w:id="556" w:name="_Toc20903753"/>
      <w:bookmarkStart w:id="557" w:name="_Toc20903873"/>
      <w:bookmarkStart w:id="558" w:name="_Toc21078518"/>
      <w:bookmarkStart w:id="559" w:name="_Toc21080144"/>
      <w:bookmarkStart w:id="560" w:name="_Toc21353763"/>
      <w:bookmarkStart w:id="561" w:name="_Toc21354228"/>
      <w:bookmarkStart w:id="562" w:name="_Toc21446891"/>
      <w:bookmarkStart w:id="563" w:name="_Toc21447147"/>
      <w:bookmarkStart w:id="564" w:name="_Toc21447261"/>
      <w:bookmarkStart w:id="565" w:name="_Toc21447506"/>
      <w:bookmarkStart w:id="566" w:name="_Toc21447640"/>
      <w:bookmarkStart w:id="567" w:name="_Toc21510399"/>
      <w:bookmarkStart w:id="568" w:name="_Toc21511001"/>
      <w:bookmarkStart w:id="569" w:name="_Toc21523070"/>
      <w:bookmarkStart w:id="570" w:name="_Toc20903642"/>
      <w:bookmarkStart w:id="571" w:name="_Toc20903754"/>
      <w:bookmarkStart w:id="572" w:name="_Toc20903874"/>
      <w:bookmarkStart w:id="573" w:name="_Toc21078519"/>
      <w:bookmarkStart w:id="574" w:name="_Toc21080145"/>
      <w:bookmarkStart w:id="575" w:name="_Toc21353764"/>
      <w:bookmarkStart w:id="576" w:name="_Toc21354229"/>
      <w:bookmarkStart w:id="577" w:name="_Toc21446892"/>
      <w:bookmarkStart w:id="578" w:name="_Toc21447148"/>
      <w:bookmarkStart w:id="579" w:name="_Toc21447262"/>
      <w:bookmarkStart w:id="580" w:name="_Toc21447507"/>
      <w:bookmarkStart w:id="581" w:name="_Toc21447641"/>
      <w:bookmarkStart w:id="582" w:name="_Toc21510400"/>
      <w:bookmarkStart w:id="583" w:name="_Toc21511002"/>
      <w:bookmarkStart w:id="584" w:name="_Toc21523071"/>
      <w:bookmarkStart w:id="585" w:name="_Toc88563971"/>
      <w:bookmarkStart w:id="586" w:name="_Toc88563972"/>
      <w:bookmarkStart w:id="587" w:name="_Toc88563973"/>
      <w:bookmarkStart w:id="588" w:name="_Toc88563974"/>
      <w:bookmarkStart w:id="589" w:name="_Toc88563975"/>
      <w:bookmarkStart w:id="590" w:name="_Toc88563976"/>
      <w:bookmarkStart w:id="591" w:name="_Toc88563977"/>
      <w:bookmarkStart w:id="592" w:name="_Toc88563978"/>
      <w:bookmarkStart w:id="593" w:name="_Toc88563979"/>
      <w:bookmarkStart w:id="594" w:name="_Toc88563980"/>
      <w:bookmarkStart w:id="595" w:name="_Toc88563981"/>
      <w:bookmarkStart w:id="596" w:name="_Toc88563982"/>
      <w:bookmarkStart w:id="597" w:name="_Toc88563983"/>
      <w:bookmarkStart w:id="598" w:name="_Toc88563984"/>
      <w:bookmarkStart w:id="599" w:name="_Toc88563985"/>
      <w:bookmarkStart w:id="600" w:name="_Toc88563986"/>
      <w:bookmarkStart w:id="601" w:name="_Toc88563987"/>
      <w:bookmarkStart w:id="602" w:name="_Toc88563988"/>
      <w:bookmarkStart w:id="603" w:name="_Toc20903644"/>
      <w:bookmarkStart w:id="604" w:name="_Toc20903756"/>
      <w:bookmarkStart w:id="605" w:name="_Toc20903876"/>
      <w:bookmarkStart w:id="606" w:name="_Toc21078521"/>
      <w:bookmarkStart w:id="607" w:name="_Toc21080147"/>
      <w:bookmarkStart w:id="608" w:name="_Toc21353766"/>
      <w:bookmarkStart w:id="609" w:name="_Toc21354231"/>
      <w:bookmarkStart w:id="610" w:name="_Toc21446894"/>
      <w:bookmarkStart w:id="611" w:name="_Toc21447150"/>
      <w:bookmarkStart w:id="612" w:name="_Toc21447264"/>
      <w:bookmarkStart w:id="613" w:name="_Toc21447509"/>
      <w:bookmarkStart w:id="614" w:name="_Toc21447643"/>
      <w:bookmarkStart w:id="615" w:name="_Toc21510402"/>
      <w:bookmarkStart w:id="616" w:name="_Toc21511004"/>
      <w:bookmarkStart w:id="617" w:name="_Toc21523073"/>
      <w:bookmarkStart w:id="618" w:name="_Toc20903645"/>
      <w:bookmarkStart w:id="619" w:name="_Toc20903757"/>
      <w:bookmarkStart w:id="620" w:name="_Toc20903877"/>
      <w:bookmarkStart w:id="621" w:name="_Toc21078522"/>
      <w:bookmarkStart w:id="622" w:name="_Toc21080148"/>
      <w:bookmarkStart w:id="623" w:name="_Toc21353767"/>
      <w:bookmarkStart w:id="624" w:name="_Toc21354232"/>
      <w:bookmarkStart w:id="625" w:name="_Toc21446895"/>
      <w:bookmarkStart w:id="626" w:name="_Toc21447151"/>
      <w:bookmarkStart w:id="627" w:name="_Toc21447265"/>
      <w:bookmarkStart w:id="628" w:name="_Toc21447510"/>
      <w:bookmarkStart w:id="629" w:name="_Toc21447644"/>
      <w:bookmarkStart w:id="630" w:name="_Toc21510403"/>
      <w:bookmarkStart w:id="631" w:name="_Toc21511005"/>
      <w:bookmarkStart w:id="632" w:name="_Toc21523074"/>
      <w:bookmarkStart w:id="633" w:name="_Toc20903650"/>
      <w:bookmarkStart w:id="634" w:name="_Toc20903762"/>
      <w:bookmarkStart w:id="635" w:name="_Toc20903882"/>
      <w:bookmarkStart w:id="636" w:name="_Toc21078527"/>
      <w:bookmarkStart w:id="637" w:name="_Toc21080153"/>
      <w:bookmarkStart w:id="638" w:name="_Toc21353772"/>
      <w:bookmarkStart w:id="639" w:name="_Toc21354237"/>
      <w:bookmarkStart w:id="640" w:name="_Toc21446900"/>
      <w:bookmarkStart w:id="641" w:name="_Toc21447156"/>
      <w:bookmarkStart w:id="642" w:name="_Toc21447270"/>
      <w:bookmarkStart w:id="643" w:name="_Toc21447515"/>
      <w:bookmarkStart w:id="644" w:name="_Toc21447649"/>
      <w:bookmarkStart w:id="645" w:name="_Toc21510408"/>
      <w:bookmarkStart w:id="646" w:name="_Toc21511010"/>
      <w:bookmarkStart w:id="647" w:name="_Toc21523079"/>
      <w:bookmarkStart w:id="648" w:name="_Toc20903651"/>
      <w:bookmarkStart w:id="649" w:name="_Toc20903763"/>
      <w:bookmarkStart w:id="650" w:name="_Toc20903883"/>
      <w:bookmarkStart w:id="651" w:name="_Toc21078528"/>
      <w:bookmarkStart w:id="652" w:name="_Toc21080154"/>
      <w:bookmarkStart w:id="653" w:name="_Toc21353773"/>
      <w:bookmarkStart w:id="654" w:name="_Toc21354238"/>
      <w:bookmarkStart w:id="655" w:name="_Toc21446901"/>
      <w:bookmarkStart w:id="656" w:name="_Toc21447157"/>
      <w:bookmarkStart w:id="657" w:name="_Toc21447271"/>
      <w:bookmarkStart w:id="658" w:name="_Toc21447516"/>
      <w:bookmarkStart w:id="659" w:name="_Toc21447650"/>
      <w:bookmarkStart w:id="660" w:name="_Toc21510409"/>
      <w:bookmarkStart w:id="661" w:name="_Toc21511011"/>
      <w:bookmarkStart w:id="662" w:name="_Toc21523080"/>
      <w:bookmarkStart w:id="663" w:name="_Toc20903652"/>
      <w:bookmarkStart w:id="664" w:name="_Toc20903764"/>
      <w:bookmarkStart w:id="665" w:name="_Toc20903884"/>
      <w:bookmarkStart w:id="666" w:name="_Toc21078529"/>
      <w:bookmarkStart w:id="667" w:name="_Toc21080155"/>
      <w:bookmarkStart w:id="668" w:name="_Toc21353774"/>
      <w:bookmarkStart w:id="669" w:name="_Toc21354239"/>
      <w:bookmarkStart w:id="670" w:name="_Toc21446902"/>
      <w:bookmarkStart w:id="671" w:name="_Toc21447158"/>
      <w:bookmarkStart w:id="672" w:name="_Toc21447272"/>
      <w:bookmarkStart w:id="673" w:name="_Toc21447517"/>
      <w:bookmarkStart w:id="674" w:name="_Toc21447651"/>
      <w:bookmarkStart w:id="675" w:name="_Toc21510410"/>
      <w:bookmarkStart w:id="676" w:name="_Toc21511012"/>
      <w:bookmarkStart w:id="677" w:name="_Toc21523081"/>
      <w:bookmarkStart w:id="678" w:name="_Toc20903658"/>
      <w:bookmarkStart w:id="679" w:name="_Toc20903770"/>
      <w:bookmarkStart w:id="680" w:name="_Toc20903890"/>
      <w:bookmarkStart w:id="681" w:name="_Toc21078535"/>
      <w:bookmarkStart w:id="682" w:name="_Toc21080161"/>
      <w:bookmarkStart w:id="683" w:name="_Toc21353780"/>
      <w:bookmarkStart w:id="684" w:name="_Toc21354245"/>
      <w:bookmarkStart w:id="685" w:name="_Toc21446908"/>
      <w:bookmarkStart w:id="686" w:name="_Toc21447164"/>
      <w:bookmarkStart w:id="687" w:name="_Toc21447278"/>
      <w:bookmarkStart w:id="688" w:name="_Toc21447523"/>
      <w:bookmarkStart w:id="689" w:name="_Toc21447657"/>
      <w:bookmarkStart w:id="690" w:name="_Toc21510416"/>
      <w:bookmarkStart w:id="691" w:name="_Toc21511018"/>
      <w:bookmarkStart w:id="692" w:name="_Toc21523087"/>
      <w:bookmarkStart w:id="693" w:name="_Toc20124045"/>
      <w:bookmarkStart w:id="694" w:name="_Toc20124177"/>
      <w:bookmarkStart w:id="695" w:name="_Toc20124965"/>
      <w:bookmarkStart w:id="696" w:name="_Toc20127018"/>
      <w:bookmarkStart w:id="697" w:name="_Toc20380980"/>
      <w:bookmarkStart w:id="698" w:name="_Toc20484727"/>
      <w:bookmarkStart w:id="699" w:name="_Toc20484971"/>
      <w:bookmarkStart w:id="700" w:name="_Toc20487781"/>
      <w:bookmarkStart w:id="701" w:name="_Toc20487976"/>
      <w:bookmarkStart w:id="702" w:name="_Toc20744591"/>
      <w:bookmarkStart w:id="703" w:name="_Toc20754074"/>
      <w:bookmarkStart w:id="704" w:name="_Toc20756462"/>
      <w:bookmarkStart w:id="705" w:name="_Toc20758895"/>
      <w:bookmarkStart w:id="706" w:name="_Toc20758968"/>
      <w:bookmarkStart w:id="707" w:name="_Toc20759039"/>
      <w:bookmarkStart w:id="708" w:name="_Toc20759231"/>
      <w:bookmarkStart w:id="709" w:name="_Toc20898716"/>
      <w:bookmarkStart w:id="710" w:name="_Toc20899001"/>
      <w:bookmarkStart w:id="711" w:name="_Toc20903659"/>
      <w:bookmarkStart w:id="712" w:name="_Toc20903771"/>
      <w:bookmarkStart w:id="713" w:name="_Toc20903891"/>
      <w:bookmarkStart w:id="714" w:name="_Toc21078536"/>
      <w:bookmarkStart w:id="715" w:name="_Toc21080162"/>
      <w:bookmarkStart w:id="716" w:name="_Toc21353781"/>
      <w:bookmarkStart w:id="717" w:name="_Toc21354246"/>
      <w:bookmarkStart w:id="718" w:name="_Toc21446909"/>
      <w:bookmarkStart w:id="719" w:name="_Toc21447165"/>
      <w:bookmarkStart w:id="720" w:name="_Toc21447279"/>
      <w:bookmarkStart w:id="721" w:name="_Toc21447524"/>
      <w:bookmarkStart w:id="722" w:name="_Toc21447658"/>
      <w:bookmarkStart w:id="723" w:name="_Toc21510417"/>
      <w:bookmarkStart w:id="724" w:name="_Toc21511019"/>
      <w:bookmarkStart w:id="725" w:name="_Toc21523088"/>
      <w:bookmarkStart w:id="726" w:name="_Toc20124046"/>
      <w:bookmarkStart w:id="727" w:name="_Toc20124178"/>
      <w:bookmarkStart w:id="728" w:name="_Toc20124966"/>
      <w:bookmarkStart w:id="729" w:name="_Toc20127019"/>
      <w:bookmarkStart w:id="730" w:name="_Toc20380981"/>
      <w:bookmarkStart w:id="731" w:name="_Toc20484728"/>
      <w:bookmarkStart w:id="732" w:name="_Toc20484972"/>
      <w:bookmarkStart w:id="733" w:name="_Toc20487782"/>
      <w:bookmarkStart w:id="734" w:name="_Toc20487977"/>
      <w:bookmarkStart w:id="735" w:name="_Toc20744592"/>
      <w:bookmarkStart w:id="736" w:name="_Toc20754075"/>
      <w:bookmarkStart w:id="737" w:name="_Toc20756463"/>
      <w:bookmarkStart w:id="738" w:name="_Toc20758896"/>
      <w:bookmarkStart w:id="739" w:name="_Toc20758969"/>
      <w:bookmarkStart w:id="740" w:name="_Toc20759040"/>
      <w:bookmarkStart w:id="741" w:name="_Toc20759232"/>
      <w:bookmarkStart w:id="742" w:name="_Toc20898717"/>
      <w:bookmarkStart w:id="743" w:name="_Toc20899002"/>
      <w:bookmarkStart w:id="744" w:name="_Toc20903660"/>
      <w:bookmarkStart w:id="745" w:name="_Toc20903772"/>
      <w:bookmarkStart w:id="746" w:name="_Toc20903892"/>
      <w:bookmarkStart w:id="747" w:name="_Toc21078537"/>
      <w:bookmarkStart w:id="748" w:name="_Toc21080163"/>
      <w:bookmarkStart w:id="749" w:name="_Toc21353782"/>
      <w:bookmarkStart w:id="750" w:name="_Toc21354247"/>
      <w:bookmarkStart w:id="751" w:name="_Toc21446910"/>
      <w:bookmarkStart w:id="752" w:name="_Toc21447166"/>
      <w:bookmarkStart w:id="753" w:name="_Toc21447280"/>
      <w:bookmarkStart w:id="754" w:name="_Toc21447525"/>
      <w:bookmarkStart w:id="755" w:name="_Toc21447659"/>
      <w:bookmarkStart w:id="756" w:name="_Toc21510418"/>
      <w:bookmarkStart w:id="757" w:name="_Toc21511020"/>
      <w:bookmarkStart w:id="758" w:name="_Toc21523089"/>
      <w:bookmarkStart w:id="759" w:name="_Toc20124047"/>
      <w:bookmarkStart w:id="760" w:name="_Toc20124179"/>
      <w:bookmarkStart w:id="761" w:name="_Toc20124967"/>
      <w:bookmarkStart w:id="762" w:name="_Toc20127020"/>
      <w:bookmarkStart w:id="763" w:name="_Toc20380982"/>
      <w:bookmarkStart w:id="764" w:name="_Toc20484729"/>
      <w:bookmarkStart w:id="765" w:name="_Toc20484973"/>
      <w:bookmarkStart w:id="766" w:name="_Toc20487783"/>
      <w:bookmarkStart w:id="767" w:name="_Toc20487978"/>
      <w:bookmarkStart w:id="768" w:name="_Toc20744593"/>
      <w:bookmarkStart w:id="769" w:name="_Toc20754076"/>
      <w:bookmarkStart w:id="770" w:name="_Toc20756464"/>
      <w:bookmarkStart w:id="771" w:name="_Toc20758897"/>
      <w:bookmarkStart w:id="772" w:name="_Toc20758970"/>
      <w:bookmarkStart w:id="773" w:name="_Toc20759041"/>
      <w:bookmarkStart w:id="774" w:name="_Toc20759233"/>
      <w:bookmarkStart w:id="775" w:name="_Toc20898718"/>
      <w:bookmarkStart w:id="776" w:name="_Toc20899003"/>
      <w:bookmarkStart w:id="777" w:name="_Toc20903661"/>
      <w:bookmarkStart w:id="778" w:name="_Toc20903773"/>
      <w:bookmarkStart w:id="779" w:name="_Toc20903893"/>
      <w:bookmarkStart w:id="780" w:name="_Toc21078538"/>
      <w:bookmarkStart w:id="781" w:name="_Toc21080164"/>
      <w:bookmarkStart w:id="782" w:name="_Toc21353783"/>
      <w:bookmarkStart w:id="783" w:name="_Toc21354248"/>
      <w:bookmarkStart w:id="784" w:name="_Toc21446911"/>
      <w:bookmarkStart w:id="785" w:name="_Toc21447167"/>
      <w:bookmarkStart w:id="786" w:name="_Toc21447281"/>
      <w:bookmarkStart w:id="787" w:name="_Toc21447526"/>
      <w:bookmarkStart w:id="788" w:name="_Toc21447660"/>
      <w:bookmarkStart w:id="789" w:name="_Toc21510419"/>
      <w:bookmarkStart w:id="790" w:name="_Toc21511021"/>
      <w:bookmarkStart w:id="791" w:name="_Toc21523090"/>
      <w:bookmarkStart w:id="792" w:name="_Toc20124048"/>
      <w:bookmarkStart w:id="793" w:name="_Toc20124180"/>
      <w:bookmarkStart w:id="794" w:name="_Toc20124968"/>
      <w:bookmarkStart w:id="795" w:name="_Toc20127021"/>
      <w:bookmarkStart w:id="796" w:name="_Toc20380983"/>
      <w:bookmarkStart w:id="797" w:name="_Toc20484730"/>
      <w:bookmarkStart w:id="798" w:name="_Toc20484974"/>
      <w:bookmarkStart w:id="799" w:name="_Toc20487784"/>
      <w:bookmarkStart w:id="800" w:name="_Toc20487979"/>
      <w:bookmarkStart w:id="801" w:name="_Toc20744594"/>
      <w:bookmarkStart w:id="802" w:name="_Toc20754077"/>
      <w:bookmarkStart w:id="803" w:name="_Toc20756465"/>
      <w:bookmarkStart w:id="804" w:name="_Toc20758898"/>
      <w:bookmarkStart w:id="805" w:name="_Toc20758971"/>
      <w:bookmarkStart w:id="806" w:name="_Toc20759042"/>
      <w:bookmarkStart w:id="807" w:name="_Toc20759234"/>
      <w:bookmarkStart w:id="808" w:name="_Toc20898719"/>
      <w:bookmarkStart w:id="809" w:name="_Toc20899004"/>
      <w:bookmarkStart w:id="810" w:name="_Toc20903662"/>
      <w:bookmarkStart w:id="811" w:name="_Toc20903774"/>
      <w:bookmarkStart w:id="812" w:name="_Toc20903894"/>
      <w:bookmarkStart w:id="813" w:name="_Toc21078539"/>
      <w:bookmarkStart w:id="814" w:name="_Toc21080165"/>
      <w:bookmarkStart w:id="815" w:name="_Toc21353784"/>
      <w:bookmarkStart w:id="816" w:name="_Toc21354249"/>
      <w:bookmarkStart w:id="817" w:name="_Toc21446912"/>
      <w:bookmarkStart w:id="818" w:name="_Toc21447168"/>
      <w:bookmarkStart w:id="819" w:name="_Toc21447282"/>
      <w:bookmarkStart w:id="820" w:name="_Toc21447527"/>
      <w:bookmarkStart w:id="821" w:name="_Toc21447661"/>
      <w:bookmarkStart w:id="822" w:name="_Toc21510420"/>
      <w:bookmarkStart w:id="823" w:name="_Toc21511022"/>
      <w:bookmarkStart w:id="824" w:name="_Toc21523091"/>
      <w:bookmarkStart w:id="825" w:name="_Toc20756466"/>
      <w:bookmarkStart w:id="826" w:name="_Toc20758899"/>
      <w:bookmarkStart w:id="827" w:name="_Toc20758972"/>
      <w:bookmarkStart w:id="828" w:name="_Toc20759043"/>
      <w:bookmarkStart w:id="829" w:name="_Toc20759235"/>
      <w:bookmarkStart w:id="830" w:name="_Toc20898720"/>
      <w:bookmarkStart w:id="831" w:name="_Toc20899005"/>
      <w:bookmarkStart w:id="832" w:name="_Toc20903663"/>
      <w:bookmarkStart w:id="833" w:name="_Toc20903775"/>
      <w:bookmarkStart w:id="834" w:name="_Toc20903895"/>
      <w:bookmarkStart w:id="835" w:name="_Toc21078540"/>
      <w:bookmarkStart w:id="836" w:name="_Toc21080166"/>
      <w:bookmarkStart w:id="837" w:name="_Toc21353785"/>
      <w:bookmarkStart w:id="838" w:name="_Toc21354250"/>
      <w:bookmarkStart w:id="839" w:name="_Toc21446913"/>
      <w:bookmarkStart w:id="840" w:name="_Toc21447169"/>
      <w:bookmarkStart w:id="841" w:name="_Toc21447283"/>
      <w:bookmarkStart w:id="842" w:name="_Toc21447528"/>
      <w:bookmarkStart w:id="843" w:name="_Toc21447662"/>
      <w:bookmarkStart w:id="844" w:name="_Toc21510421"/>
      <w:bookmarkStart w:id="845" w:name="_Toc21511023"/>
      <w:bookmarkStart w:id="846" w:name="_Toc21523092"/>
      <w:bookmarkStart w:id="847" w:name="_Toc88563989"/>
      <w:bookmarkStart w:id="848" w:name="_Toc88563990"/>
      <w:bookmarkStart w:id="849" w:name="_Toc88563991"/>
      <w:bookmarkStart w:id="850" w:name="_Toc88563992"/>
      <w:bookmarkStart w:id="851" w:name="_Toc88563993"/>
      <w:bookmarkStart w:id="852" w:name="_Toc88563994"/>
      <w:bookmarkStart w:id="853" w:name="_Toc88563995"/>
      <w:bookmarkStart w:id="854" w:name="_Toc88563996"/>
      <w:bookmarkStart w:id="855" w:name="_Toc88563997"/>
      <w:bookmarkStart w:id="856" w:name="_Toc88563998"/>
      <w:bookmarkStart w:id="857" w:name="_Toc88563999"/>
      <w:bookmarkStart w:id="858" w:name="_Toc88564000"/>
      <w:bookmarkStart w:id="859" w:name="_Toc88564001"/>
      <w:bookmarkStart w:id="860" w:name="_Toc88564002"/>
      <w:bookmarkStart w:id="861" w:name="_Toc88564003"/>
      <w:bookmarkStart w:id="862" w:name="_Toc88564004"/>
      <w:bookmarkStart w:id="863" w:name="_Toc88564005"/>
      <w:bookmarkStart w:id="864" w:name="_Toc88564006"/>
      <w:bookmarkStart w:id="865" w:name="_Toc88564021"/>
      <w:bookmarkStart w:id="866" w:name="_Toc88564036"/>
      <w:bookmarkStart w:id="867" w:name="_Toc88564037"/>
      <w:bookmarkStart w:id="868" w:name="_Toc88564038"/>
      <w:bookmarkStart w:id="869" w:name="_Toc88564039"/>
      <w:bookmarkStart w:id="870" w:name="_Toc88564040"/>
      <w:bookmarkStart w:id="871" w:name="_Toc88564041"/>
      <w:bookmarkStart w:id="872" w:name="_Toc88564042"/>
      <w:bookmarkStart w:id="873" w:name="_Toc88564043"/>
      <w:bookmarkStart w:id="874" w:name="_Toc88564044"/>
      <w:bookmarkStart w:id="875" w:name="_Toc88564045"/>
      <w:bookmarkStart w:id="876" w:name="_Toc88564046"/>
      <w:bookmarkStart w:id="877" w:name="_Toc88564047"/>
      <w:bookmarkStart w:id="878" w:name="_Toc88564048"/>
      <w:bookmarkStart w:id="879" w:name="_Toc88564049"/>
      <w:bookmarkStart w:id="880" w:name="_Toc88564050"/>
      <w:bookmarkStart w:id="881" w:name="_Toc88564051"/>
      <w:bookmarkStart w:id="882" w:name="_Toc88564052"/>
      <w:bookmarkStart w:id="883" w:name="_Toc88564053"/>
      <w:bookmarkStart w:id="884" w:name="_Toc88564054"/>
      <w:bookmarkStart w:id="885" w:name="_Toc88564055"/>
      <w:bookmarkStart w:id="886" w:name="_Toc88564056"/>
      <w:bookmarkStart w:id="887" w:name="_Toc88564057"/>
      <w:bookmarkStart w:id="888" w:name="_Toc88564058"/>
      <w:bookmarkStart w:id="889" w:name="_Toc88564059"/>
      <w:bookmarkStart w:id="890" w:name="_Toc88564060"/>
      <w:bookmarkStart w:id="891" w:name="_Toc88564061"/>
      <w:bookmarkStart w:id="892" w:name="_Toc88564127"/>
      <w:bookmarkStart w:id="893" w:name="_Toc20756474"/>
      <w:bookmarkStart w:id="894" w:name="_Toc20758907"/>
      <w:bookmarkStart w:id="895" w:name="_Toc20758980"/>
      <w:bookmarkStart w:id="896" w:name="_Toc20759051"/>
      <w:bookmarkStart w:id="897" w:name="_Toc20759243"/>
      <w:bookmarkStart w:id="898" w:name="_Toc20898728"/>
      <w:bookmarkStart w:id="899" w:name="_Toc20899013"/>
      <w:bookmarkStart w:id="900" w:name="_Toc20903671"/>
      <w:bookmarkStart w:id="901" w:name="_Toc20903783"/>
      <w:bookmarkStart w:id="902" w:name="_Toc20903903"/>
      <w:bookmarkStart w:id="903" w:name="_Toc21078548"/>
      <w:bookmarkStart w:id="904" w:name="_Toc21080174"/>
      <w:bookmarkStart w:id="905" w:name="_Toc21353793"/>
      <w:bookmarkStart w:id="906" w:name="_Toc21354258"/>
      <w:bookmarkStart w:id="907" w:name="_Toc21446921"/>
      <w:bookmarkStart w:id="908" w:name="_Toc21447177"/>
      <w:bookmarkStart w:id="909" w:name="_Toc21447291"/>
      <w:bookmarkStart w:id="910" w:name="_Toc21447536"/>
      <w:bookmarkStart w:id="911" w:name="_Toc21447670"/>
      <w:bookmarkStart w:id="912" w:name="_Toc21510429"/>
      <w:bookmarkStart w:id="913" w:name="_Toc21511031"/>
      <w:bookmarkStart w:id="914" w:name="_Toc21523100"/>
      <w:bookmarkStart w:id="915" w:name="_Toc21672573"/>
      <w:bookmarkStart w:id="916" w:name="_Toc21677979"/>
      <w:bookmarkStart w:id="917" w:name="_Toc20756475"/>
      <w:bookmarkStart w:id="918" w:name="_Toc20758908"/>
      <w:bookmarkStart w:id="919" w:name="_Toc20758981"/>
      <w:bookmarkStart w:id="920" w:name="_Toc20759052"/>
      <w:bookmarkStart w:id="921" w:name="_Toc20759244"/>
      <w:bookmarkStart w:id="922" w:name="_Toc20898729"/>
      <w:bookmarkStart w:id="923" w:name="_Toc20899014"/>
      <w:bookmarkStart w:id="924" w:name="_Toc20903672"/>
      <w:bookmarkStart w:id="925" w:name="_Toc20903784"/>
      <w:bookmarkStart w:id="926" w:name="_Toc20903904"/>
      <w:bookmarkStart w:id="927" w:name="_Toc21078549"/>
      <w:bookmarkStart w:id="928" w:name="_Toc21080175"/>
      <w:bookmarkStart w:id="929" w:name="_Toc21353794"/>
      <w:bookmarkStart w:id="930" w:name="_Toc21354259"/>
      <w:bookmarkStart w:id="931" w:name="_Toc21446922"/>
      <w:bookmarkStart w:id="932" w:name="_Toc21447178"/>
      <w:bookmarkStart w:id="933" w:name="_Toc21447292"/>
      <w:bookmarkStart w:id="934" w:name="_Toc21447537"/>
      <w:bookmarkStart w:id="935" w:name="_Toc21447671"/>
      <w:bookmarkStart w:id="936" w:name="_Toc21510430"/>
      <w:bookmarkStart w:id="937" w:name="_Toc21511032"/>
      <w:bookmarkStart w:id="938" w:name="_Toc21523101"/>
      <w:bookmarkStart w:id="939" w:name="_Toc21672574"/>
      <w:bookmarkStart w:id="940" w:name="_Toc21677980"/>
      <w:bookmarkStart w:id="941" w:name="_Toc20756476"/>
      <w:bookmarkStart w:id="942" w:name="_Toc20758909"/>
      <w:bookmarkStart w:id="943" w:name="_Toc20758982"/>
      <w:bookmarkStart w:id="944" w:name="_Toc20759053"/>
      <w:bookmarkStart w:id="945" w:name="_Toc20759245"/>
      <w:bookmarkStart w:id="946" w:name="_Toc20898730"/>
      <w:bookmarkStart w:id="947" w:name="_Toc20899015"/>
      <w:bookmarkStart w:id="948" w:name="_Toc20903673"/>
      <w:bookmarkStart w:id="949" w:name="_Toc20903785"/>
      <w:bookmarkStart w:id="950" w:name="_Toc20903905"/>
      <w:bookmarkStart w:id="951" w:name="_Toc21078550"/>
      <w:bookmarkStart w:id="952" w:name="_Toc21080176"/>
      <w:bookmarkStart w:id="953" w:name="_Toc21353795"/>
      <w:bookmarkStart w:id="954" w:name="_Toc21354260"/>
      <w:bookmarkStart w:id="955" w:name="_Toc21446923"/>
      <w:bookmarkStart w:id="956" w:name="_Toc21447179"/>
      <w:bookmarkStart w:id="957" w:name="_Toc21447293"/>
      <w:bookmarkStart w:id="958" w:name="_Toc21447538"/>
      <w:bookmarkStart w:id="959" w:name="_Toc21447672"/>
      <w:bookmarkStart w:id="960" w:name="_Toc21510431"/>
      <w:bookmarkStart w:id="961" w:name="_Toc21511033"/>
      <w:bookmarkStart w:id="962" w:name="_Toc21523102"/>
      <w:bookmarkStart w:id="963" w:name="_Toc21672575"/>
      <w:bookmarkStart w:id="964" w:name="_Toc21677981"/>
      <w:bookmarkStart w:id="965" w:name="_Toc20756477"/>
      <w:bookmarkStart w:id="966" w:name="_Toc20758910"/>
      <w:bookmarkStart w:id="967" w:name="_Toc20758983"/>
      <w:bookmarkStart w:id="968" w:name="_Toc20759054"/>
      <w:bookmarkStart w:id="969" w:name="_Toc20759246"/>
      <w:bookmarkStart w:id="970" w:name="_Toc20898731"/>
      <w:bookmarkStart w:id="971" w:name="_Toc20899016"/>
      <w:bookmarkStart w:id="972" w:name="_Toc20903674"/>
      <w:bookmarkStart w:id="973" w:name="_Toc20903786"/>
      <w:bookmarkStart w:id="974" w:name="_Toc20903906"/>
      <w:bookmarkStart w:id="975" w:name="_Toc21078551"/>
      <w:bookmarkStart w:id="976" w:name="_Toc21080177"/>
      <w:bookmarkStart w:id="977" w:name="_Toc21353796"/>
      <w:bookmarkStart w:id="978" w:name="_Toc21354261"/>
      <w:bookmarkStart w:id="979" w:name="_Toc21446924"/>
      <w:bookmarkStart w:id="980" w:name="_Toc21447180"/>
      <w:bookmarkStart w:id="981" w:name="_Toc21447294"/>
      <w:bookmarkStart w:id="982" w:name="_Toc21447539"/>
      <w:bookmarkStart w:id="983" w:name="_Toc21447673"/>
      <w:bookmarkStart w:id="984" w:name="_Toc21510432"/>
      <w:bookmarkStart w:id="985" w:name="_Toc21511034"/>
      <w:bookmarkStart w:id="986" w:name="_Toc21523103"/>
      <w:bookmarkStart w:id="987" w:name="_Toc21672576"/>
      <w:bookmarkStart w:id="988" w:name="_Toc21677982"/>
      <w:bookmarkStart w:id="989" w:name="_Toc20756478"/>
      <w:bookmarkStart w:id="990" w:name="_Toc20758911"/>
      <w:bookmarkStart w:id="991" w:name="_Toc20758984"/>
      <w:bookmarkStart w:id="992" w:name="_Toc20759055"/>
      <w:bookmarkStart w:id="993" w:name="_Toc20759247"/>
      <w:bookmarkStart w:id="994" w:name="_Toc20898732"/>
      <w:bookmarkStart w:id="995" w:name="_Toc20899017"/>
      <w:bookmarkStart w:id="996" w:name="_Toc20903675"/>
      <w:bookmarkStart w:id="997" w:name="_Toc20903787"/>
      <w:bookmarkStart w:id="998" w:name="_Toc20903907"/>
      <w:bookmarkStart w:id="999" w:name="_Toc21078552"/>
      <w:bookmarkStart w:id="1000" w:name="_Toc21080178"/>
      <w:bookmarkStart w:id="1001" w:name="_Toc21353797"/>
      <w:bookmarkStart w:id="1002" w:name="_Toc21354262"/>
      <w:bookmarkStart w:id="1003" w:name="_Toc21446925"/>
      <w:bookmarkStart w:id="1004" w:name="_Toc21447181"/>
      <w:bookmarkStart w:id="1005" w:name="_Toc21447295"/>
      <w:bookmarkStart w:id="1006" w:name="_Toc21447540"/>
      <w:bookmarkStart w:id="1007" w:name="_Toc21447674"/>
      <w:bookmarkStart w:id="1008" w:name="_Toc21510433"/>
      <w:bookmarkStart w:id="1009" w:name="_Toc21511035"/>
      <w:bookmarkStart w:id="1010" w:name="_Toc21523104"/>
      <w:bookmarkStart w:id="1011" w:name="_Toc21672577"/>
      <w:bookmarkStart w:id="1012" w:name="_Toc21677983"/>
      <w:bookmarkStart w:id="1013" w:name="_Toc20756479"/>
      <w:bookmarkStart w:id="1014" w:name="_Toc20758912"/>
      <w:bookmarkStart w:id="1015" w:name="_Toc20758985"/>
      <w:bookmarkStart w:id="1016" w:name="_Toc20759056"/>
      <w:bookmarkStart w:id="1017" w:name="_Toc20759248"/>
      <w:bookmarkStart w:id="1018" w:name="_Toc20898733"/>
      <w:bookmarkStart w:id="1019" w:name="_Toc20899018"/>
      <w:bookmarkStart w:id="1020" w:name="_Toc20903676"/>
      <w:bookmarkStart w:id="1021" w:name="_Toc20903788"/>
      <w:bookmarkStart w:id="1022" w:name="_Toc20903908"/>
      <w:bookmarkStart w:id="1023" w:name="_Toc21078553"/>
      <w:bookmarkStart w:id="1024" w:name="_Toc21080179"/>
      <w:bookmarkStart w:id="1025" w:name="_Toc21353798"/>
      <w:bookmarkStart w:id="1026" w:name="_Toc21354263"/>
      <w:bookmarkStart w:id="1027" w:name="_Toc21446926"/>
      <w:bookmarkStart w:id="1028" w:name="_Toc21447182"/>
      <w:bookmarkStart w:id="1029" w:name="_Toc21447296"/>
      <w:bookmarkStart w:id="1030" w:name="_Toc21447541"/>
      <w:bookmarkStart w:id="1031" w:name="_Toc21447675"/>
      <w:bookmarkStart w:id="1032" w:name="_Toc21510434"/>
      <w:bookmarkStart w:id="1033" w:name="_Toc21511036"/>
      <w:bookmarkStart w:id="1034" w:name="_Toc21523105"/>
      <w:bookmarkStart w:id="1035" w:name="_Toc21672578"/>
      <w:bookmarkStart w:id="1036" w:name="_Toc21677984"/>
      <w:bookmarkStart w:id="1037" w:name="_Toc20756480"/>
      <w:bookmarkStart w:id="1038" w:name="_Toc20758913"/>
      <w:bookmarkStart w:id="1039" w:name="_Toc20758986"/>
      <w:bookmarkStart w:id="1040" w:name="_Toc20759057"/>
      <w:bookmarkStart w:id="1041" w:name="_Toc20759249"/>
      <w:bookmarkStart w:id="1042" w:name="_Toc20898734"/>
      <w:bookmarkStart w:id="1043" w:name="_Toc20899019"/>
      <w:bookmarkStart w:id="1044" w:name="_Toc20903677"/>
      <w:bookmarkStart w:id="1045" w:name="_Toc20903789"/>
      <w:bookmarkStart w:id="1046" w:name="_Toc20903909"/>
      <w:bookmarkStart w:id="1047" w:name="_Toc21078554"/>
      <w:bookmarkStart w:id="1048" w:name="_Toc21080180"/>
      <w:bookmarkStart w:id="1049" w:name="_Toc21353799"/>
      <w:bookmarkStart w:id="1050" w:name="_Toc21354264"/>
      <w:bookmarkStart w:id="1051" w:name="_Toc21446927"/>
      <w:bookmarkStart w:id="1052" w:name="_Toc21447183"/>
      <w:bookmarkStart w:id="1053" w:name="_Toc21447297"/>
      <w:bookmarkStart w:id="1054" w:name="_Toc21447542"/>
      <w:bookmarkStart w:id="1055" w:name="_Toc21447676"/>
      <w:bookmarkStart w:id="1056" w:name="_Toc21510435"/>
      <w:bookmarkStart w:id="1057" w:name="_Toc21511037"/>
      <w:bookmarkStart w:id="1058" w:name="_Toc21523106"/>
      <w:bookmarkStart w:id="1059" w:name="_Toc21672579"/>
      <w:bookmarkStart w:id="1060" w:name="_Toc21677985"/>
      <w:bookmarkStart w:id="1061" w:name="_Toc20756481"/>
      <w:bookmarkStart w:id="1062" w:name="_Toc20758914"/>
      <w:bookmarkStart w:id="1063" w:name="_Toc20758987"/>
      <w:bookmarkStart w:id="1064" w:name="_Toc20759058"/>
      <w:bookmarkStart w:id="1065" w:name="_Toc20759250"/>
      <w:bookmarkStart w:id="1066" w:name="_Toc20898735"/>
      <w:bookmarkStart w:id="1067" w:name="_Toc20899020"/>
      <w:bookmarkStart w:id="1068" w:name="_Toc20903678"/>
      <w:bookmarkStart w:id="1069" w:name="_Toc20903790"/>
      <w:bookmarkStart w:id="1070" w:name="_Toc20903910"/>
      <w:bookmarkStart w:id="1071" w:name="_Toc21078555"/>
      <w:bookmarkStart w:id="1072" w:name="_Toc21080181"/>
      <w:bookmarkStart w:id="1073" w:name="_Toc21353800"/>
      <w:bookmarkStart w:id="1074" w:name="_Toc21354265"/>
      <w:bookmarkStart w:id="1075" w:name="_Toc21446928"/>
      <w:bookmarkStart w:id="1076" w:name="_Toc21447184"/>
      <w:bookmarkStart w:id="1077" w:name="_Toc21447298"/>
      <w:bookmarkStart w:id="1078" w:name="_Toc21447543"/>
      <w:bookmarkStart w:id="1079" w:name="_Toc21447677"/>
      <w:bookmarkStart w:id="1080" w:name="_Toc21510436"/>
      <w:bookmarkStart w:id="1081" w:name="_Toc21511038"/>
      <w:bookmarkStart w:id="1082" w:name="_Toc21523107"/>
      <w:bookmarkStart w:id="1083" w:name="_Toc21672580"/>
      <w:bookmarkStart w:id="1084" w:name="_Toc21677986"/>
      <w:bookmarkStart w:id="1085" w:name="_Toc20756482"/>
      <w:bookmarkStart w:id="1086" w:name="_Toc20758915"/>
      <w:bookmarkStart w:id="1087" w:name="_Toc20758988"/>
      <w:bookmarkStart w:id="1088" w:name="_Toc20759059"/>
      <w:bookmarkStart w:id="1089" w:name="_Toc20759251"/>
      <w:bookmarkStart w:id="1090" w:name="_Toc20898736"/>
      <w:bookmarkStart w:id="1091" w:name="_Toc20899021"/>
      <w:bookmarkStart w:id="1092" w:name="_Toc20903679"/>
      <w:bookmarkStart w:id="1093" w:name="_Toc20903791"/>
      <w:bookmarkStart w:id="1094" w:name="_Toc20903911"/>
      <w:bookmarkStart w:id="1095" w:name="_Toc21078556"/>
      <w:bookmarkStart w:id="1096" w:name="_Toc21080182"/>
      <w:bookmarkStart w:id="1097" w:name="_Toc21353801"/>
      <w:bookmarkStart w:id="1098" w:name="_Toc21354266"/>
      <w:bookmarkStart w:id="1099" w:name="_Toc21446929"/>
      <w:bookmarkStart w:id="1100" w:name="_Toc21447185"/>
      <w:bookmarkStart w:id="1101" w:name="_Toc21447299"/>
      <w:bookmarkStart w:id="1102" w:name="_Toc21447544"/>
      <w:bookmarkStart w:id="1103" w:name="_Toc21447678"/>
      <w:bookmarkStart w:id="1104" w:name="_Toc21510437"/>
      <w:bookmarkStart w:id="1105" w:name="_Toc21511039"/>
      <w:bookmarkStart w:id="1106" w:name="_Toc21523108"/>
      <w:bookmarkStart w:id="1107" w:name="_Toc21672581"/>
      <w:bookmarkStart w:id="1108" w:name="_Toc21677987"/>
      <w:bookmarkStart w:id="1109" w:name="_Toc20756483"/>
      <w:bookmarkStart w:id="1110" w:name="_Toc20758916"/>
      <w:bookmarkStart w:id="1111" w:name="_Toc20758989"/>
      <w:bookmarkStart w:id="1112" w:name="_Toc20759060"/>
      <w:bookmarkStart w:id="1113" w:name="_Toc20759252"/>
      <w:bookmarkStart w:id="1114" w:name="_Toc20898737"/>
      <w:bookmarkStart w:id="1115" w:name="_Toc20899022"/>
      <w:bookmarkStart w:id="1116" w:name="_Toc20903680"/>
      <w:bookmarkStart w:id="1117" w:name="_Toc20903792"/>
      <w:bookmarkStart w:id="1118" w:name="_Toc20903912"/>
      <w:bookmarkStart w:id="1119" w:name="_Toc21078557"/>
      <w:bookmarkStart w:id="1120" w:name="_Toc21080183"/>
      <w:bookmarkStart w:id="1121" w:name="_Toc21353802"/>
      <w:bookmarkStart w:id="1122" w:name="_Toc21354267"/>
      <w:bookmarkStart w:id="1123" w:name="_Toc21446930"/>
      <w:bookmarkStart w:id="1124" w:name="_Toc21447186"/>
      <w:bookmarkStart w:id="1125" w:name="_Toc21447300"/>
      <w:bookmarkStart w:id="1126" w:name="_Toc21447545"/>
      <w:bookmarkStart w:id="1127" w:name="_Toc21447679"/>
      <w:bookmarkStart w:id="1128" w:name="_Toc21510438"/>
      <w:bookmarkStart w:id="1129" w:name="_Toc21511040"/>
      <w:bookmarkStart w:id="1130" w:name="_Toc21523109"/>
      <w:bookmarkStart w:id="1131" w:name="_Toc21672582"/>
      <w:bookmarkStart w:id="1132" w:name="_Toc21677988"/>
      <w:bookmarkStart w:id="1133" w:name="_Toc20756484"/>
      <w:bookmarkStart w:id="1134" w:name="_Toc20758917"/>
      <w:bookmarkStart w:id="1135" w:name="_Toc20758990"/>
      <w:bookmarkStart w:id="1136" w:name="_Toc20759061"/>
      <w:bookmarkStart w:id="1137" w:name="_Toc20759253"/>
      <w:bookmarkStart w:id="1138" w:name="_Toc20898738"/>
      <w:bookmarkStart w:id="1139" w:name="_Toc20899023"/>
      <w:bookmarkStart w:id="1140" w:name="_Toc20903681"/>
      <w:bookmarkStart w:id="1141" w:name="_Toc20903793"/>
      <w:bookmarkStart w:id="1142" w:name="_Toc20903913"/>
      <w:bookmarkStart w:id="1143" w:name="_Toc21078558"/>
      <w:bookmarkStart w:id="1144" w:name="_Toc21080184"/>
      <w:bookmarkStart w:id="1145" w:name="_Toc21353803"/>
      <w:bookmarkStart w:id="1146" w:name="_Toc21354268"/>
      <w:bookmarkStart w:id="1147" w:name="_Toc21446931"/>
      <w:bookmarkStart w:id="1148" w:name="_Toc21447187"/>
      <w:bookmarkStart w:id="1149" w:name="_Toc21447301"/>
      <w:bookmarkStart w:id="1150" w:name="_Toc21447546"/>
      <w:bookmarkStart w:id="1151" w:name="_Toc21447680"/>
      <w:bookmarkStart w:id="1152" w:name="_Toc21510439"/>
      <w:bookmarkStart w:id="1153" w:name="_Toc21511041"/>
      <w:bookmarkStart w:id="1154" w:name="_Toc21523110"/>
      <w:bookmarkStart w:id="1155" w:name="_Toc21672583"/>
      <w:bookmarkStart w:id="1156" w:name="_Toc21677989"/>
      <w:bookmarkStart w:id="1157" w:name="_Toc20756485"/>
      <w:bookmarkStart w:id="1158" w:name="_Toc20758918"/>
      <w:bookmarkStart w:id="1159" w:name="_Toc20758991"/>
      <w:bookmarkStart w:id="1160" w:name="_Toc20759062"/>
      <w:bookmarkStart w:id="1161" w:name="_Toc20759254"/>
      <w:bookmarkStart w:id="1162" w:name="_Toc20898739"/>
      <w:bookmarkStart w:id="1163" w:name="_Toc20899024"/>
      <w:bookmarkStart w:id="1164" w:name="_Toc20903682"/>
      <w:bookmarkStart w:id="1165" w:name="_Toc20903794"/>
      <w:bookmarkStart w:id="1166" w:name="_Toc20903914"/>
      <w:bookmarkStart w:id="1167" w:name="_Toc21078559"/>
      <w:bookmarkStart w:id="1168" w:name="_Toc21080185"/>
      <w:bookmarkStart w:id="1169" w:name="_Toc21353804"/>
      <w:bookmarkStart w:id="1170" w:name="_Toc21354269"/>
      <w:bookmarkStart w:id="1171" w:name="_Toc21446932"/>
      <w:bookmarkStart w:id="1172" w:name="_Toc21447188"/>
      <w:bookmarkStart w:id="1173" w:name="_Toc21447302"/>
      <w:bookmarkStart w:id="1174" w:name="_Toc21447547"/>
      <w:bookmarkStart w:id="1175" w:name="_Toc21447681"/>
      <w:bookmarkStart w:id="1176" w:name="_Toc21510440"/>
      <w:bookmarkStart w:id="1177" w:name="_Toc21511042"/>
      <w:bookmarkStart w:id="1178" w:name="_Toc21523111"/>
      <w:bookmarkStart w:id="1179" w:name="_Toc21672584"/>
      <w:bookmarkStart w:id="1180" w:name="_Toc21677990"/>
      <w:bookmarkStart w:id="1181" w:name="_Toc20756486"/>
      <w:bookmarkStart w:id="1182" w:name="_Toc20758919"/>
      <w:bookmarkStart w:id="1183" w:name="_Toc20758992"/>
      <w:bookmarkStart w:id="1184" w:name="_Toc20759063"/>
      <w:bookmarkStart w:id="1185" w:name="_Toc20759255"/>
      <w:bookmarkStart w:id="1186" w:name="_Toc20898740"/>
      <w:bookmarkStart w:id="1187" w:name="_Toc20899025"/>
      <w:bookmarkStart w:id="1188" w:name="_Toc20903683"/>
      <w:bookmarkStart w:id="1189" w:name="_Toc20903795"/>
      <w:bookmarkStart w:id="1190" w:name="_Toc20903915"/>
      <w:bookmarkStart w:id="1191" w:name="_Toc21078560"/>
      <w:bookmarkStart w:id="1192" w:name="_Toc21080186"/>
      <w:bookmarkStart w:id="1193" w:name="_Toc21353805"/>
      <w:bookmarkStart w:id="1194" w:name="_Toc21354270"/>
      <w:bookmarkStart w:id="1195" w:name="_Toc21446933"/>
      <w:bookmarkStart w:id="1196" w:name="_Toc21447189"/>
      <w:bookmarkStart w:id="1197" w:name="_Toc21447303"/>
      <w:bookmarkStart w:id="1198" w:name="_Toc21447548"/>
      <w:bookmarkStart w:id="1199" w:name="_Toc21447682"/>
      <w:bookmarkStart w:id="1200" w:name="_Toc21510441"/>
      <w:bookmarkStart w:id="1201" w:name="_Toc21511043"/>
      <w:bookmarkStart w:id="1202" w:name="_Toc21523112"/>
      <w:bookmarkStart w:id="1203" w:name="_Toc21672585"/>
      <w:bookmarkStart w:id="1204" w:name="_Toc21677991"/>
      <w:bookmarkStart w:id="1205" w:name="_Toc20756487"/>
      <w:bookmarkStart w:id="1206" w:name="_Toc20758920"/>
      <w:bookmarkStart w:id="1207" w:name="_Toc20758993"/>
      <w:bookmarkStart w:id="1208" w:name="_Toc20759064"/>
      <w:bookmarkStart w:id="1209" w:name="_Toc20759256"/>
      <w:bookmarkStart w:id="1210" w:name="_Toc20898741"/>
      <w:bookmarkStart w:id="1211" w:name="_Toc20899026"/>
      <w:bookmarkStart w:id="1212" w:name="_Toc20903684"/>
      <w:bookmarkStart w:id="1213" w:name="_Toc20903796"/>
      <w:bookmarkStart w:id="1214" w:name="_Toc20903916"/>
      <w:bookmarkStart w:id="1215" w:name="_Toc21078561"/>
      <w:bookmarkStart w:id="1216" w:name="_Toc21080187"/>
      <w:bookmarkStart w:id="1217" w:name="_Toc21353806"/>
      <w:bookmarkStart w:id="1218" w:name="_Toc21354271"/>
      <w:bookmarkStart w:id="1219" w:name="_Toc21446934"/>
      <w:bookmarkStart w:id="1220" w:name="_Toc21447190"/>
      <w:bookmarkStart w:id="1221" w:name="_Toc21447304"/>
      <w:bookmarkStart w:id="1222" w:name="_Toc21447549"/>
      <w:bookmarkStart w:id="1223" w:name="_Toc21447683"/>
      <w:bookmarkStart w:id="1224" w:name="_Toc21510442"/>
      <w:bookmarkStart w:id="1225" w:name="_Toc21511044"/>
      <w:bookmarkStart w:id="1226" w:name="_Toc21523113"/>
      <w:bookmarkStart w:id="1227" w:name="_Toc21672586"/>
      <w:bookmarkStart w:id="1228" w:name="_Toc21677992"/>
      <w:bookmarkStart w:id="1229" w:name="_Toc20756488"/>
      <w:bookmarkStart w:id="1230" w:name="_Toc20758921"/>
      <w:bookmarkStart w:id="1231" w:name="_Toc20758994"/>
      <w:bookmarkStart w:id="1232" w:name="_Toc20759065"/>
      <w:bookmarkStart w:id="1233" w:name="_Toc20759257"/>
      <w:bookmarkStart w:id="1234" w:name="_Toc20898742"/>
      <w:bookmarkStart w:id="1235" w:name="_Toc20899027"/>
      <w:bookmarkStart w:id="1236" w:name="_Toc20903685"/>
      <w:bookmarkStart w:id="1237" w:name="_Toc20903797"/>
      <w:bookmarkStart w:id="1238" w:name="_Toc20903917"/>
      <w:bookmarkStart w:id="1239" w:name="_Toc21078562"/>
      <w:bookmarkStart w:id="1240" w:name="_Toc21080188"/>
      <w:bookmarkStart w:id="1241" w:name="_Toc21353807"/>
      <w:bookmarkStart w:id="1242" w:name="_Toc21354272"/>
      <w:bookmarkStart w:id="1243" w:name="_Toc21446935"/>
      <w:bookmarkStart w:id="1244" w:name="_Toc21447191"/>
      <w:bookmarkStart w:id="1245" w:name="_Toc21447305"/>
      <w:bookmarkStart w:id="1246" w:name="_Toc21447550"/>
      <w:bookmarkStart w:id="1247" w:name="_Toc21447684"/>
      <w:bookmarkStart w:id="1248" w:name="_Toc21510443"/>
      <w:bookmarkStart w:id="1249" w:name="_Toc21511045"/>
      <w:bookmarkStart w:id="1250" w:name="_Toc21523114"/>
      <w:bookmarkStart w:id="1251" w:name="_Toc21672587"/>
      <w:bookmarkStart w:id="1252" w:name="_Toc21677993"/>
      <w:bookmarkStart w:id="1253" w:name="_Toc20756489"/>
      <w:bookmarkStart w:id="1254" w:name="_Toc20758922"/>
      <w:bookmarkStart w:id="1255" w:name="_Toc20758995"/>
      <w:bookmarkStart w:id="1256" w:name="_Toc20759066"/>
      <w:bookmarkStart w:id="1257" w:name="_Toc20759258"/>
      <w:bookmarkStart w:id="1258" w:name="_Toc20898743"/>
      <w:bookmarkStart w:id="1259" w:name="_Toc20899028"/>
      <w:bookmarkStart w:id="1260" w:name="_Toc20903686"/>
      <w:bookmarkStart w:id="1261" w:name="_Toc20903798"/>
      <w:bookmarkStart w:id="1262" w:name="_Toc20903918"/>
      <w:bookmarkStart w:id="1263" w:name="_Toc21078563"/>
      <w:bookmarkStart w:id="1264" w:name="_Toc21080189"/>
      <w:bookmarkStart w:id="1265" w:name="_Toc21353808"/>
      <w:bookmarkStart w:id="1266" w:name="_Toc21354273"/>
      <w:bookmarkStart w:id="1267" w:name="_Toc21446936"/>
      <w:bookmarkStart w:id="1268" w:name="_Toc21447192"/>
      <w:bookmarkStart w:id="1269" w:name="_Toc21447306"/>
      <w:bookmarkStart w:id="1270" w:name="_Toc21447551"/>
      <w:bookmarkStart w:id="1271" w:name="_Toc21447685"/>
      <w:bookmarkStart w:id="1272" w:name="_Toc21510444"/>
      <w:bookmarkStart w:id="1273" w:name="_Toc21511046"/>
      <w:bookmarkStart w:id="1274" w:name="_Toc21523115"/>
      <w:bookmarkStart w:id="1275" w:name="_Toc21672588"/>
      <w:bookmarkStart w:id="1276" w:name="_Toc21677994"/>
      <w:bookmarkStart w:id="1277" w:name="_Toc20756490"/>
      <w:bookmarkStart w:id="1278" w:name="_Toc20758923"/>
      <w:bookmarkStart w:id="1279" w:name="_Toc20758996"/>
      <w:bookmarkStart w:id="1280" w:name="_Toc20759067"/>
      <w:bookmarkStart w:id="1281" w:name="_Toc20759259"/>
      <w:bookmarkStart w:id="1282" w:name="_Toc20898744"/>
      <w:bookmarkStart w:id="1283" w:name="_Toc20899029"/>
      <w:bookmarkStart w:id="1284" w:name="_Toc20903687"/>
      <w:bookmarkStart w:id="1285" w:name="_Toc20903799"/>
      <w:bookmarkStart w:id="1286" w:name="_Toc20903919"/>
      <w:bookmarkStart w:id="1287" w:name="_Toc21078564"/>
      <w:bookmarkStart w:id="1288" w:name="_Toc21080190"/>
      <w:bookmarkStart w:id="1289" w:name="_Toc21353809"/>
      <w:bookmarkStart w:id="1290" w:name="_Toc21354274"/>
      <w:bookmarkStart w:id="1291" w:name="_Toc21446937"/>
      <w:bookmarkStart w:id="1292" w:name="_Toc21447193"/>
      <w:bookmarkStart w:id="1293" w:name="_Toc21447307"/>
      <w:bookmarkStart w:id="1294" w:name="_Toc21447552"/>
      <w:bookmarkStart w:id="1295" w:name="_Toc21447686"/>
      <w:bookmarkStart w:id="1296" w:name="_Toc21510445"/>
      <w:bookmarkStart w:id="1297" w:name="_Toc21511047"/>
      <w:bookmarkStart w:id="1298" w:name="_Toc21523116"/>
      <w:bookmarkStart w:id="1299" w:name="_Toc21672589"/>
      <w:bookmarkStart w:id="1300" w:name="_Toc21677995"/>
      <w:bookmarkStart w:id="1301" w:name="_Toc20756491"/>
      <w:bookmarkStart w:id="1302" w:name="_Toc20758924"/>
      <w:bookmarkStart w:id="1303" w:name="_Toc20758997"/>
      <w:bookmarkStart w:id="1304" w:name="_Toc20759068"/>
      <w:bookmarkStart w:id="1305" w:name="_Toc20759260"/>
      <w:bookmarkStart w:id="1306" w:name="_Toc20898745"/>
      <w:bookmarkStart w:id="1307" w:name="_Toc20899030"/>
      <w:bookmarkStart w:id="1308" w:name="_Toc20903688"/>
      <w:bookmarkStart w:id="1309" w:name="_Toc20903800"/>
      <w:bookmarkStart w:id="1310" w:name="_Toc20903920"/>
      <w:bookmarkStart w:id="1311" w:name="_Toc21078565"/>
      <w:bookmarkStart w:id="1312" w:name="_Toc21080191"/>
      <w:bookmarkStart w:id="1313" w:name="_Toc21353810"/>
      <w:bookmarkStart w:id="1314" w:name="_Toc21354275"/>
      <w:bookmarkStart w:id="1315" w:name="_Toc21446938"/>
      <w:bookmarkStart w:id="1316" w:name="_Toc21447194"/>
      <w:bookmarkStart w:id="1317" w:name="_Toc21447308"/>
      <w:bookmarkStart w:id="1318" w:name="_Toc21447553"/>
      <w:bookmarkStart w:id="1319" w:name="_Toc21447687"/>
      <w:bookmarkStart w:id="1320" w:name="_Toc21510446"/>
      <w:bookmarkStart w:id="1321" w:name="_Toc21511048"/>
      <w:bookmarkStart w:id="1322" w:name="_Toc21523117"/>
      <w:bookmarkStart w:id="1323" w:name="_Toc21672590"/>
      <w:bookmarkStart w:id="1324" w:name="_Toc21677996"/>
      <w:bookmarkStart w:id="1325" w:name="_Toc20756492"/>
      <w:bookmarkStart w:id="1326" w:name="_Toc20758925"/>
      <w:bookmarkStart w:id="1327" w:name="_Toc20758998"/>
      <w:bookmarkStart w:id="1328" w:name="_Toc20759069"/>
      <w:bookmarkStart w:id="1329" w:name="_Toc20759261"/>
      <w:bookmarkStart w:id="1330" w:name="_Toc20898746"/>
      <w:bookmarkStart w:id="1331" w:name="_Toc20899031"/>
      <w:bookmarkStart w:id="1332" w:name="_Toc20903689"/>
      <w:bookmarkStart w:id="1333" w:name="_Toc20903801"/>
      <w:bookmarkStart w:id="1334" w:name="_Toc20903921"/>
      <w:bookmarkStart w:id="1335" w:name="_Toc21078566"/>
      <w:bookmarkStart w:id="1336" w:name="_Toc21080192"/>
      <w:bookmarkStart w:id="1337" w:name="_Toc21353811"/>
      <w:bookmarkStart w:id="1338" w:name="_Toc21354276"/>
      <w:bookmarkStart w:id="1339" w:name="_Toc21446939"/>
      <w:bookmarkStart w:id="1340" w:name="_Toc21447195"/>
      <w:bookmarkStart w:id="1341" w:name="_Toc21447309"/>
      <w:bookmarkStart w:id="1342" w:name="_Toc21447554"/>
      <w:bookmarkStart w:id="1343" w:name="_Toc21447688"/>
      <w:bookmarkStart w:id="1344" w:name="_Toc21510447"/>
      <w:bookmarkStart w:id="1345" w:name="_Toc21511049"/>
      <w:bookmarkStart w:id="1346" w:name="_Toc21523118"/>
      <w:bookmarkStart w:id="1347" w:name="_Toc21672591"/>
      <w:bookmarkStart w:id="1348" w:name="_Toc21677997"/>
      <w:bookmarkStart w:id="1349" w:name="_Toc81993593"/>
      <w:bookmarkStart w:id="1350" w:name="_Toc12121393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r>
        <w:lastRenderedPageBreak/>
        <w:t>Baseline</w:t>
      </w:r>
      <w:r w:rsidRPr="001728BB">
        <w:t xml:space="preserve"> </w:t>
      </w:r>
      <w:r>
        <w:t>Summary</w:t>
      </w:r>
      <w:bookmarkEnd w:id="1349"/>
      <w:bookmarkEnd w:id="1350"/>
    </w:p>
    <w:p w14:paraId="56B37EC9" w14:textId="4BE8EA56" w:rsidR="002C7F01" w:rsidRDefault="002C7F01" w:rsidP="002C7F01">
      <w:pPr>
        <w:pStyle w:val="Heading2"/>
      </w:pPr>
      <w:bookmarkStart w:id="1351" w:name="_Toc121213935"/>
      <w:r>
        <w:t>Introduction</w:t>
      </w:r>
      <w:bookmarkEnd w:id="1351"/>
    </w:p>
    <w:p w14:paraId="31712CA4" w14:textId="3F00AC7D" w:rsidR="000C6958" w:rsidRDefault="005D5183" w:rsidP="00D56DE8">
      <w:pPr>
        <w:pStyle w:val="STPR2BodyText"/>
      </w:pPr>
      <w:r>
        <w:t xml:space="preserve">Island </w:t>
      </w:r>
      <w:r w:rsidR="003E6EEE">
        <w:t>c</w:t>
      </w:r>
      <w:r>
        <w:t>ommunities</w:t>
      </w:r>
      <w:r w:rsidRPr="005D5183">
        <w:t xml:space="preserve"> in Scotland have the potential to be affected </w:t>
      </w:r>
      <w:r>
        <w:t>broadly by many of the</w:t>
      </w:r>
      <w:r w:rsidRPr="005D5183">
        <w:t xml:space="preserve"> interventions within STPR2, therefore the scope of this </w:t>
      </w:r>
      <w:r>
        <w:t>ICIA</w:t>
      </w:r>
      <w:r w:rsidRPr="005D5183">
        <w:t xml:space="preserve"> focuses on high-level, </w:t>
      </w:r>
      <w:r>
        <w:t xml:space="preserve">national </w:t>
      </w:r>
      <w:r w:rsidR="00263B8B">
        <w:t xml:space="preserve">and </w:t>
      </w:r>
      <w:r>
        <w:t>island</w:t>
      </w:r>
      <w:r w:rsidRPr="005D5183">
        <w:t xml:space="preserve"> trends to identify key areas of focus for the assessment.</w:t>
      </w:r>
      <w:r w:rsidR="00C42B99">
        <w:t xml:space="preserve"> </w:t>
      </w:r>
    </w:p>
    <w:p w14:paraId="53952440" w14:textId="6DE3506E" w:rsidR="005D5183" w:rsidRPr="005D5183" w:rsidRDefault="005D5183" w:rsidP="001A07B8">
      <w:pPr>
        <w:widowControl w:val="0"/>
        <w:suppressAutoHyphens/>
        <w:autoSpaceDE w:val="0"/>
        <w:autoSpaceDN w:val="0"/>
        <w:adjustRightInd w:val="0"/>
        <w:spacing w:line="240" w:lineRule="auto"/>
        <w:textAlignment w:val="center"/>
        <w:rPr>
          <w:rFonts w:ascii="Arial" w:eastAsia="Times New Roman" w:hAnsi="Arial" w:cs="Arial"/>
          <w:sz w:val="24"/>
          <w:shd w:val="clear" w:color="auto" w:fill="FFFFFF"/>
        </w:rPr>
      </w:pPr>
      <w:r w:rsidRPr="005D5183">
        <w:rPr>
          <w:rFonts w:ascii="Arial" w:eastAsia="Times New Roman" w:hAnsi="Arial" w:cs="Arial"/>
          <w:sz w:val="24"/>
          <w:shd w:val="clear" w:color="auto" w:fill="FFFFFF"/>
        </w:rPr>
        <w:t xml:space="preserve">A key limitation of the </w:t>
      </w:r>
      <w:r>
        <w:rPr>
          <w:rFonts w:ascii="Arial" w:eastAsia="Times New Roman" w:hAnsi="Arial" w:cs="Arial"/>
          <w:sz w:val="24"/>
          <w:shd w:val="clear" w:color="auto" w:fill="FFFFFF"/>
        </w:rPr>
        <w:t xml:space="preserve">ICIA </w:t>
      </w:r>
      <w:r w:rsidRPr="005D5183">
        <w:rPr>
          <w:rFonts w:ascii="Arial" w:eastAsia="Times New Roman" w:hAnsi="Arial" w:cs="Arial"/>
          <w:sz w:val="24"/>
          <w:shd w:val="clear" w:color="auto" w:fill="FFFFFF"/>
        </w:rPr>
        <w:t xml:space="preserve">is therefore its inability to address more localised area-specific outcomes for the majority of the STPR2 interventions. The interventions are in various </w:t>
      </w:r>
      <w:r w:rsidR="00DD456A" w:rsidRPr="005D5183">
        <w:rPr>
          <w:rFonts w:ascii="Arial" w:eastAsia="Times New Roman" w:hAnsi="Arial" w:cs="Arial"/>
          <w:sz w:val="24"/>
          <w:shd w:val="clear" w:color="auto" w:fill="FFFFFF"/>
        </w:rPr>
        <w:t>stages</w:t>
      </w:r>
      <w:r w:rsidRPr="005D5183">
        <w:rPr>
          <w:rFonts w:ascii="Arial" w:eastAsia="Times New Roman" w:hAnsi="Arial" w:cs="Arial"/>
          <w:sz w:val="24"/>
          <w:shd w:val="clear" w:color="auto" w:fill="FFFFFF"/>
        </w:rPr>
        <w:t xml:space="preserve"> of development, and while a few </w:t>
      </w:r>
      <w:r w:rsidR="00905741">
        <w:rPr>
          <w:rFonts w:ascii="Arial" w:eastAsia="Times New Roman" w:hAnsi="Arial" w:cs="Arial"/>
          <w:sz w:val="24"/>
          <w:shd w:val="clear" w:color="auto" w:fill="FFFFFF"/>
        </w:rPr>
        <w:t>have</w:t>
      </w:r>
      <w:r w:rsidRPr="005D5183">
        <w:rPr>
          <w:rFonts w:ascii="Arial" w:eastAsia="Times New Roman" w:hAnsi="Arial" w:cs="Arial"/>
          <w:sz w:val="24"/>
          <w:shd w:val="clear" w:color="auto" w:fill="FFFFFF"/>
        </w:rPr>
        <w:t xml:space="preserve"> design </w:t>
      </w:r>
      <w:r w:rsidR="00905741">
        <w:rPr>
          <w:rFonts w:ascii="Arial" w:eastAsia="Times New Roman" w:hAnsi="Arial" w:cs="Arial"/>
          <w:sz w:val="24"/>
          <w:shd w:val="clear" w:color="auto" w:fill="FFFFFF"/>
        </w:rPr>
        <w:t>details</w:t>
      </w:r>
      <w:r w:rsidRPr="005D5183">
        <w:rPr>
          <w:rFonts w:ascii="Arial" w:eastAsia="Times New Roman" w:hAnsi="Arial" w:cs="Arial"/>
          <w:sz w:val="24"/>
          <w:shd w:val="clear" w:color="auto" w:fill="FFFFFF"/>
        </w:rPr>
        <w:t xml:space="preserve">, many are </w:t>
      </w:r>
      <w:r w:rsidR="00D479F0" w:rsidRPr="00D479F0">
        <w:rPr>
          <w:rFonts w:ascii="Arial" w:eastAsia="Times New Roman" w:hAnsi="Arial" w:cs="Arial"/>
          <w:sz w:val="24"/>
          <w:shd w:val="clear" w:color="auto" w:fill="FFFFFF"/>
        </w:rPr>
        <w:t>still at a high level and would require further detail working with partner organisations</w:t>
      </w:r>
      <w:r w:rsidRPr="005D5183">
        <w:rPr>
          <w:rFonts w:ascii="Arial" w:eastAsia="Times New Roman" w:hAnsi="Arial" w:cs="Arial"/>
          <w:sz w:val="24"/>
          <w:shd w:val="clear" w:color="auto" w:fill="FFFFFF"/>
        </w:rPr>
        <w:t xml:space="preserve">. This has influenced one of the key recommendations set out in </w:t>
      </w:r>
      <w:r w:rsidR="00284191">
        <w:rPr>
          <w:rFonts w:ascii="Arial" w:eastAsia="Times New Roman" w:hAnsi="Arial" w:cs="Arial"/>
          <w:sz w:val="24"/>
          <w:shd w:val="clear" w:color="auto" w:fill="FFFFFF"/>
        </w:rPr>
        <w:t>c</w:t>
      </w:r>
      <w:r w:rsidR="003C12DF">
        <w:rPr>
          <w:rFonts w:ascii="Arial" w:eastAsia="Times New Roman" w:hAnsi="Arial" w:cs="Arial"/>
          <w:sz w:val="24"/>
          <w:shd w:val="clear" w:color="auto" w:fill="FFFFFF"/>
        </w:rPr>
        <w:t>hapter 7</w:t>
      </w:r>
      <w:r w:rsidRPr="005D5183">
        <w:rPr>
          <w:rFonts w:ascii="Arial" w:eastAsia="Times New Roman" w:hAnsi="Arial" w:cs="Arial"/>
          <w:sz w:val="24"/>
          <w:shd w:val="clear" w:color="auto" w:fill="FFFFFF"/>
        </w:rPr>
        <w:t>, which is the likely need for further impact assessment once these interventions are at detailed design stage.</w:t>
      </w:r>
    </w:p>
    <w:p w14:paraId="7FC00E90" w14:textId="44918C8A" w:rsidR="00263B8B" w:rsidRDefault="00C310FA" w:rsidP="00D56DE8">
      <w:pPr>
        <w:pStyle w:val="STPR2BodyText"/>
      </w:pPr>
      <w:r w:rsidRPr="00E42273">
        <w:t xml:space="preserve">For the purpose of the STPR2, Scotland has been split into 11 </w:t>
      </w:r>
      <w:r w:rsidR="000605C1">
        <w:t>regions</w:t>
      </w:r>
      <w:r w:rsidRPr="00E42273">
        <w:t>.</w:t>
      </w:r>
      <w:r>
        <w:t xml:space="preserve"> Of these</w:t>
      </w:r>
      <w:r w:rsidR="00023584">
        <w:t>,</w:t>
      </w:r>
      <w:r>
        <w:t xml:space="preserve"> four of the regions contain populated islands. </w:t>
      </w:r>
      <w:r w:rsidR="00263B8B" w:rsidRPr="00DD7B07">
        <w:t>Th</w:t>
      </w:r>
      <w:r w:rsidR="00263B8B">
        <w:t>is chapter of the ICIA Report identifies the impacted islands and summarises the evidence baseline which has been used. The baseline included data that is available about the current situation in the islands and highlights any differences between islands.</w:t>
      </w:r>
    </w:p>
    <w:p w14:paraId="6B1EEE88" w14:textId="66FE5B8A" w:rsidR="002C7F01" w:rsidRDefault="002E6E62" w:rsidP="002C7F01">
      <w:pPr>
        <w:pStyle w:val="Heading2"/>
      </w:pPr>
      <w:bookmarkStart w:id="1352" w:name="_Toc121213936"/>
      <w:r>
        <w:t>Island Communities</w:t>
      </w:r>
      <w:r w:rsidR="00F543BD">
        <w:t xml:space="preserve"> - </w:t>
      </w:r>
      <w:r w:rsidR="004A2290">
        <w:t>Population</w:t>
      </w:r>
      <w:bookmarkEnd w:id="1352"/>
    </w:p>
    <w:p w14:paraId="768E15C0" w14:textId="33414B86" w:rsidR="002E6E62" w:rsidRDefault="002E6E62" w:rsidP="002E6E62">
      <w:pPr>
        <w:rPr>
          <w:rFonts w:ascii="Arial" w:eastAsia="Times New Roman" w:hAnsi="Arial" w:cs="Arial"/>
          <w:sz w:val="24"/>
          <w:shd w:val="clear" w:color="auto" w:fill="FFFFFF"/>
        </w:rPr>
      </w:pPr>
      <w:r w:rsidRPr="002E6E62">
        <w:rPr>
          <w:rFonts w:ascii="Arial" w:eastAsia="Times New Roman" w:hAnsi="Arial" w:cs="Arial"/>
          <w:sz w:val="24"/>
          <w:shd w:val="clear" w:color="auto" w:fill="FFFFFF"/>
        </w:rPr>
        <w:t>The Islands (Scotland) Act 2018</w:t>
      </w:r>
      <w:r>
        <w:rPr>
          <w:rStyle w:val="FootnoteReference"/>
          <w:rFonts w:ascii="Arial" w:eastAsia="Times New Roman" w:hAnsi="Arial" w:cs="Arial"/>
          <w:sz w:val="24"/>
          <w:shd w:val="clear" w:color="auto" w:fill="FFFFFF"/>
        </w:rPr>
        <w:footnoteReference w:id="2"/>
      </w:r>
      <w:r w:rsidRPr="002E6E62">
        <w:rPr>
          <w:rFonts w:ascii="Arial" w:eastAsia="Times New Roman" w:hAnsi="Arial" w:cs="Arial"/>
          <w:sz w:val="24"/>
          <w:shd w:val="clear" w:color="auto" w:fill="FFFFFF"/>
        </w:rPr>
        <w:t xml:space="preserve"> defines an island community as a community of two or more people, all of whom live permanently on the island with a common interest in the identity of that island.</w:t>
      </w:r>
    </w:p>
    <w:p w14:paraId="6AFB1055" w14:textId="1EC95849" w:rsidR="00842DB5" w:rsidRDefault="00842DB5" w:rsidP="002E6E62">
      <w:pPr>
        <w:rPr>
          <w:rFonts w:ascii="Arial" w:eastAsia="Times New Roman" w:hAnsi="Arial" w:cs="Arial"/>
          <w:sz w:val="24"/>
          <w:shd w:val="clear" w:color="auto" w:fill="FFFFFF"/>
        </w:rPr>
      </w:pPr>
      <w:r>
        <w:rPr>
          <w:rFonts w:ascii="Arial" w:eastAsia="Times New Roman" w:hAnsi="Arial" w:cs="Arial"/>
          <w:sz w:val="24"/>
          <w:shd w:val="clear" w:color="auto" w:fill="FFFFFF"/>
        </w:rPr>
        <w:t>There are almost 100 populated islands within Scotland. At the time of the 2011 Census, the total island population was 103,700</w:t>
      </w:r>
      <w:r w:rsidR="00A32D88">
        <w:rPr>
          <w:rFonts w:ascii="Arial" w:eastAsia="Times New Roman" w:hAnsi="Arial" w:cs="Arial"/>
          <w:sz w:val="24"/>
          <w:shd w:val="clear" w:color="auto" w:fill="FFFFFF"/>
        </w:rPr>
        <w:t>,</w:t>
      </w:r>
      <w:r>
        <w:rPr>
          <w:rFonts w:ascii="Arial" w:eastAsia="Times New Roman" w:hAnsi="Arial" w:cs="Arial"/>
          <w:sz w:val="24"/>
          <w:shd w:val="clear" w:color="auto" w:fill="FFFFFF"/>
        </w:rPr>
        <w:t xml:space="preserve"> which is just 2% of the population of Scotland.</w:t>
      </w:r>
      <w:r w:rsidR="00F72DA8">
        <w:rPr>
          <w:rFonts w:ascii="Arial" w:eastAsia="Times New Roman" w:hAnsi="Arial" w:cs="Arial"/>
          <w:sz w:val="24"/>
          <w:shd w:val="clear" w:color="auto" w:fill="FFFFFF"/>
        </w:rPr>
        <w:t xml:space="preserve"> The population of the islands increased by 4% between 2001 and 2011, more than reversing the 3</w:t>
      </w:r>
      <w:r w:rsidR="00FA41E3">
        <w:rPr>
          <w:rFonts w:ascii="Arial" w:eastAsia="Times New Roman" w:hAnsi="Arial" w:cs="Arial"/>
          <w:sz w:val="24"/>
          <w:shd w:val="clear" w:color="auto" w:fill="FFFFFF"/>
        </w:rPr>
        <w:t>%</w:t>
      </w:r>
      <w:r w:rsidR="00F72DA8">
        <w:rPr>
          <w:rFonts w:ascii="Arial" w:eastAsia="Times New Roman" w:hAnsi="Arial" w:cs="Arial"/>
          <w:sz w:val="24"/>
          <w:shd w:val="clear" w:color="auto" w:fill="FFFFFF"/>
        </w:rPr>
        <w:t xml:space="preserve"> decrease recorded between </w:t>
      </w:r>
      <w:r w:rsidR="00963ADD">
        <w:rPr>
          <w:rFonts w:ascii="Arial" w:eastAsia="Times New Roman" w:hAnsi="Arial" w:cs="Arial"/>
          <w:sz w:val="24"/>
          <w:shd w:val="clear" w:color="auto" w:fill="FFFFFF"/>
        </w:rPr>
        <w:t>t</w:t>
      </w:r>
      <w:r w:rsidR="00F72DA8">
        <w:rPr>
          <w:rFonts w:ascii="Arial" w:eastAsia="Times New Roman" w:hAnsi="Arial" w:cs="Arial"/>
          <w:sz w:val="24"/>
          <w:shd w:val="clear" w:color="auto" w:fill="FFFFFF"/>
        </w:rPr>
        <w:t>he 1991 and 2001 Census.</w:t>
      </w:r>
    </w:p>
    <w:p w14:paraId="7AF8D5C6" w14:textId="1394DE6C" w:rsidR="000806A4" w:rsidRPr="00C310FA" w:rsidRDefault="00842DB5" w:rsidP="00C310FA">
      <w:pPr>
        <w:rPr>
          <w:rFonts w:ascii="Arial" w:hAnsi="Arial" w:cs="Arial"/>
          <w:sz w:val="24"/>
          <w:szCs w:val="24"/>
        </w:rPr>
      </w:pPr>
      <w:r w:rsidRPr="00842DB5">
        <w:rPr>
          <w:rFonts w:ascii="Arial" w:eastAsia="Times New Roman" w:hAnsi="Arial" w:cs="Arial"/>
          <w:sz w:val="24"/>
          <w:shd w:val="clear" w:color="auto" w:fill="FFFFFF"/>
        </w:rPr>
        <w:t>Population decline is a real threat to the sustainability of many, although not all, of Scotland’s island communities. Over the last 10 years, almost twice as many islands have lost populations as have gained. Future population projections suggest that islands are at further risk of depopulation</w:t>
      </w:r>
      <w:r w:rsidR="00EE7351">
        <w:rPr>
          <w:rFonts w:ascii="Arial" w:eastAsia="Times New Roman" w:hAnsi="Arial" w:cs="Arial"/>
          <w:sz w:val="24"/>
          <w:shd w:val="clear" w:color="auto" w:fill="FFFFFF"/>
        </w:rPr>
        <w:t>,</w:t>
      </w:r>
      <w:r w:rsidRPr="00842DB5">
        <w:rPr>
          <w:rFonts w:ascii="Arial" w:eastAsia="Times New Roman" w:hAnsi="Arial" w:cs="Arial"/>
          <w:sz w:val="24"/>
          <w:shd w:val="clear" w:color="auto" w:fill="FFFFFF"/>
        </w:rPr>
        <w:t xml:space="preserve"> with Orkney</w:t>
      </w:r>
      <w:r w:rsidR="00971E78">
        <w:rPr>
          <w:rFonts w:ascii="Arial" w:eastAsia="Times New Roman" w:hAnsi="Arial" w:cs="Arial"/>
          <w:sz w:val="24"/>
          <w:shd w:val="clear" w:color="auto" w:fill="FFFFFF"/>
        </w:rPr>
        <w:t xml:space="preserve"> projected to lose 1.63</w:t>
      </w:r>
      <w:r w:rsidR="002A1817">
        <w:rPr>
          <w:rFonts w:ascii="Arial" w:eastAsia="Times New Roman" w:hAnsi="Arial" w:cs="Arial"/>
          <w:sz w:val="24"/>
          <w:shd w:val="clear" w:color="auto" w:fill="FFFFFF"/>
        </w:rPr>
        <w:t>%</w:t>
      </w:r>
      <w:r w:rsidR="00E42273">
        <w:rPr>
          <w:rFonts w:ascii="Arial" w:eastAsia="Times New Roman" w:hAnsi="Arial" w:cs="Arial"/>
          <w:sz w:val="24"/>
          <w:shd w:val="clear" w:color="auto" w:fill="FFFFFF"/>
        </w:rPr>
        <w:t xml:space="preserve"> of </w:t>
      </w:r>
      <w:r w:rsidR="00023584">
        <w:rPr>
          <w:rFonts w:ascii="Arial" w:eastAsia="Times New Roman" w:hAnsi="Arial" w:cs="Arial"/>
          <w:sz w:val="24"/>
          <w:shd w:val="clear" w:color="auto" w:fill="FFFFFF"/>
        </w:rPr>
        <w:t xml:space="preserve">its </w:t>
      </w:r>
      <w:r w:rsidR="00E42273">
        <w:rPr>
          <w:rFonts w:ascii="Arial" w:eastAsia="Times New Roman" w:hAnsi="Arial" w:cs="Arial"/>
          <w:sz w:val="24"/>
          <w:shd w:val="clear" w:color="auto" w:fill="FFFFFF"/>
        </w:rPr>
        <w:t>population by 2043,</w:t>
      </w:r>
      <w:r w:rsidRPr="00842DB5">
        <w:rPr>
          <w:rFonts w:ascii="Arial" w:eastAsia="Times New Roman" w:hAnsi="Arial" w:cs="Arial"/>
          <w:sz w:val="24"/>
          <w:shd w:val="clear" w:color="auto" w:fill="FFFFFF"/>
        </w:rPr>
        <w:t xml:space="preserve"> Shetland projected to lose </w:t>
      </w:r>
      <w:r w:rsidR="00E42273">
        <w:rPr>
          <w:rFonts w:ascii="Arial" w:eastAsia="Times New Roman" w:hAnsi="Arial" w:cs="Arial"/>
          <w:sz w:val="24"/>
          <w:shd w:val="clear" w:color="auto" w:fill="FFFFFF"/>
        </w:rPr>
        <w:t>6</w:t>
      </w:r>
      <w:r w:rsidRPr="00842DB5">
        <w:rPr>
          <w:rFonts w:ascii="Arial" w:eastAsia="Times New Roman" w:hAnsi="Arial" w:cs="Arial"/>
          <w:sz w:val="24"/>
          <w:shd w:val="clear" w:color="auto" w:fill="FFFFFF"/>
        </w:rPr>
        <w:t>.</w:t>
      </w:r>
      <w:r w:rsidR="00E42273">
        <w:rPr>
          <w:rFonts w:ascii="Arial" w:eastAsia="Times New Roman" w:hAnsi="Arial" w:cs="Arial"/>
          <w:sz w:val="24"/>
          <w:shd w:val="clear" w:color="auto" w:fill="FFFFFF"/>
        </w:rPr>
        <w:t>1</w:t>
      </w:r>
      <w:r w:rsidR="002A1817">
        <w:rPr>
          <w:rFonts w:ascii="Arial" w:eastAsia="Times New Roman" w:hAnsi="Arial" w:cs="Arial"/>
          <w:sz w:val="24"/>
          <w:shd w:val="clear" w:color="auto" w:fill="FFFFFF"/>
        </w:rPr>
        <w:t>%</w:t>
      </w:r>
      <w:r w:rsidRPr="00842DB5">
        <w:rPr>
          <w:rFonts w:ascii="Arial" w:eastAsia="Times New Roman" w:hAnsi="Arial" w:cs="Arial"/>
          <w:sz w:val="24"/>
          <w:shd w:val="clear" w:color="auto" w:fill="FFFFFF"/>
        </w:rPr>
        <w:t xml:space="preserve"> of </w:t>
      </w:r>
      <w:r w:rsidR="00023584">
        <w:rPr>
          <w:rFonts w:ascii="Arial" w:eastAsia="Times New Roman" w:hAnsi="Arial" w:cs="Arial"/>
          <w:sz w:val="24"/>
          <w:shd w:val="clear" w:color="auto" w:fill="FFFFFF"/>
        </w:rPr>
        <w:t xml:space="preserve">its </w:t>
      </w:r>
      <w:r w:rsidRPr="00842DB5">
        <w:rPr>
          <w:rFonts w:ascii="Arial" w:eastAsia="Times New Roman" w:hAnsi="Arial" w:cs="Arial"/>
          <w:sz w:val="24"/>
          <w:shd w:val="clear" w:color="auto" w:fill="FFFFFF"/>
        </w:rPr>
        <w:t>population by 2041 and Comhairle nan Eilean Siar 1</w:t>
      </w:r>
      <w:r w:rsidR="00E42273">
        <w:rPr>
          <w:rFonts w:ascii="Arial" w:eastAsia="Times New Roman" w:hAnsi="Arial" w:cs="Arial"/>
          <w:sz w:val="24"/>
          <w:shd w:val="clear" w:color="auto" w:fill="FFFFFF"/>
        </w:rPr>
        <w:t>5.98</w:t>
      </w:r>
      <w:r w:rsidR="002A1817">
        <w:rPr>
          <w:rFonts w:ascii="Arial" w:eastAsia="Times New Roman" w:hAnsi="Arial" w:cs="Arial"/>
          <w:sz w:val="24"/>
          <w:shd w:val="clear" w:color="auto" w:fill="FFFFFF"/>
        </w:rPr>
        <w:t>%</w:t>
      </w:r>
      <w:r w:rsidR="001109C6">
        <w:rPr>
          <w:rFonts w:ascii="Arial" w:eastAsia="Times New Roman" w:hAnsi="Arial" w:cs="Arial"/>
          <w:sz w:val="24"/>
          <w:shd w:val="clear" w:color="auto" w:fill="FFFFFF"/>
        </w:rPr>
        <w:t xml:space="preserve"> (National Records of Scotland, </w:t>
      </w:r>
      <w:r w:rsidR="00105BA0">
        <w:rPr>
          <w:rFonts w:ascii="Arial" w:eastAsia="Times New Roman" w:hAnsi="Arial" w:cs="Arial"/>
          <w:sz w:val="24"/>
          <w:shd w:val="clear" w:color="auto" w:fill="FFFFFF"/>
        </w:rPr>
        <w:t>20</w:t>
      </w:r>
      <w:r w:rsidR="00326B44">
        <w:rPr>
          <w:rFonts w:ascii="Arial" w:eastAsia="Times New Roman" w:hAnsi="Arial" w:cs="Arial"/>
          <w:sz w:val="24"/>
          <w:shd w:val="clear" w:color="auto" w:fill="FFFFFF"/>
        </w:rPr>
        <w:t>20</w:t>
      </w:r>
      <w:r w:rsidR="00105BA0">
        <w:rPr>
          <w:rFonts w:ascii="Arial" w:eastAsia="Times New Roman" w:hAnsi="Arial" w:cs="Arial"/>
          <w:sz w:val="24"/>
          <w:shd w:val="clear" w:color="auto" w:fill="FFFFFF"/>
        </w:rPr>
        <w:t>)</w:t>
      </w:r>
      <w:r w:rsidRPr="00842DB5">
        <w:rPr>
          <w:rFonts w:ascii="Arial" w:eastAsia="Times New Roman" w:hAnsi="Arial" w:cs="Arial"/>
          <w:sz w:val="24"/>
          <w:shd w:val="clear" w:color="auto" w:fill="FFFFFF"/>
        </w:rPr>
        <w:t>.</w:t>
      </w:r>
      <w:r w:rsidR="00C310FA">
        <w:rPr>
          <w:rFonts w:ascii="Arial" w:eastAsia="Times New Roman" w:hAnsi="Arial" w:cs="Arial"/>
          <w:sz w:val="24"/>
          <w:shd w:val="clear" w:color="auto" w:fill="FFFFFF"/>
        </w:rPr>
        <w:t xml:space="preserve"> </w:t>
      </w:r>
      <w:r w:rsidR="003059E2" w:rsidRPr="00C310FA">
        <w:rPr>
          <w:rFonts w:ascii="Arial" w:hAnsi="Arial" w:cs="Arial"/>
          <w:sz w:val="24"/>
          <w:szCs w:val="24"/>
        </w:rPr>
        <w:t>Through depopulation and the aging of the current island population, many islands are projected to see significant decreases in the number of children and working-age people.</w:t>
      </w:r>
      <w:r w:rsidR="007C52D3" w:rsidRPr="00C310FA">
        <w:rPr>
          <w:rFonts w:ascii="Arial" w:hAnsi="Arial" w:cs="Arial"/>
          <w:sz w:val="24"/>
          <w:szCs w:val="24"/>
        </w:rPr>
        <w:t xml:space="preserve"> </w:t>
      </w:r>
    </w:p>
    <w:p w14:paraId="4C98CE6B" w14:textId="26238651" w:rsidR="0061523F" w:rsidRDefault="004E6914" w:rsidP="00D56DE8">
      <w:pPr>
        <w:pStyle w:val="STPR2BodyText"/>
      </w:pPr>
      <w:r>
        <w:t>It</w:t>
      </w:r>
      <w:r w:rsidR="00C73CC9">
        <w:t xml:space="preserve"> i</w:t>
      </w:r>
      <w:r>
        <w:t xml:space="preserve">s important to note that the findings of the National Islands Plan Survey – Final Report (Scottish Government, </w:t>
      </w:r>
      <w:r w:rsidR="00A76A72">
        <w:t>Jul</w:t>
      </w:r>
      <w:r w:rsidR="00B400AA">
        <w:t>y</w:t>
      </w:r>
      <w:r w:rsidR="00A76A72">
        <w:t xml:space="preserve"> </w:t>
      </w:r>
      <w:r>
        <w:t>202</w:t>
      </w:r>
      <w:r w:rsidR="00A76A72">
        <w:t>1</w:t>
      </w:r>
      <w:r w:rsidR="0053033E">
        <w:t>b</w:t>
      </w:r>
      <w:r>
        <w:t>) show that the</w:t>
      </w:r>
      <w:r w:rsidR="00C73CC9">
        <w:t xml:space="preserve"> older and younger</w:t>
      </w:r>
      <w:r>
        <w:t xml:space="preserve"> age groups have distinct experiences of island life, and a young person’s views can contrast with those of an older person living in the same island group. This is especially true of perceptions of opportunities for population growth and economic development, about which younger respondents are more positive.</w:t>
      </w:r>
    </w:p>
    <w:p w14:paraId="5F550001" w14:textId="50190DD3" w:rsidR="00FE79D6" w:rsidRDefault="00FF67B4" w:rsidP="00D56DE8">
      <w:pPr>
        <w:pStyle w:val="STPR2BodyText"/>
      </w:pPr>
      <w:r>
        <w:lastRenderedPageBreak/>
        <w:t>None of the 20% most deprived areas</w:t>
      </w:r>
      <w:r w:rsidR="00FF17EF">
        <w:t>,</w:t>
      </w:r>
      <w:r>
        <w:t xml:space="preserve"> according to the Scottish Index of </w:t>
      </w:r>
      <w:r w:rsidR="00F43789">
        <w:t>Multiple</w:t>
      </w:r>
      <w:r>
        <w:t xml:space="preserve"> Deprivation (</w:t>
      </w:r>
      <w:r w:rsidR="002F1334">
        <w:t>Scottish Government, Jan</w:t>
      </w:r>
      <w:r w:rsidR="007D50AE">
        <w:t>uary</w:t>
      </w:r>
      <w:r w:rsidR="002F1334">
        <w:t xml:space="preserve"> </w:t>
      </w:r>
      <w:r>
        <w:t>2020)</w:t>
      </w:r>
      <w:r w:rsidR="00FF17EF">
        <w:t>,</w:t>
      </w:r>
      <w:r>
        <w:t xml:space="preserve"> are located in </w:t>
      </w:r>
      <w:r w:rsidR="0031525E">
        <w:t>i</w:t>
      </w:r>
      <w:r>
        <w:t>slands</w:t>
      </w:r>
      <w:r w:rsidR="00FE79D6">
        <w:t>;</w:t>
      </w:r>
      <w:r>
        <w:t xml:space="preserve"> </w:t>
      </w:r>
      <w:r w:rsidR="00FE79D6">
        <w:t>h</w:t>
      </w:r>
      <w:r>
        <w:t xml:space="preserve">owever, deprivation is experienced differently between people living in rural and urban parts of the country. </w:t>
      </w:r>
      <w:r w:rsidR="00905410">
        <w:t xml:space="preserve">Evidence suggests that people living in rural areas experience deprivation differently from those living in towns and cities. Particular issues in rural areas include: </w:t>
      </w:r>
    </w:p>
    <w:p w14:paraId="65A24B4A" w14:textId="03819683" w:rsidR="00FE79D6" w:rsidRPr="00FF7072" w:rsidRDefault="00905410" w:rsidP="00D56DE8">
      <w:pPr>
        <w:pStyle w:val="STPR2BulletsLevel1"/>
      </w:pPr>
      <w:r w:rsidRPr="00FF7072">
        <w:t>higher consumption of fuel for heating and transport</w:t>
      </w:r>
      <w:r w:rsidR="00FE79D6" w:rsidRPr="00FF7072">
        <w:t>;</w:t>
      </w:r>
    </w:p>
    <w:p w14:paraId="13635C97" w14:textId="3B9EF8D6" w:rsidR="00FE79D6" w:rsidRPr="00FF7072" w:rsidRDefault="00905410" w:rsidP="00D56DE8">
      <w:pPr>
        <w:pStyle w:val="STPR2BulletsLevel1"/>
      </w:pPr>
      <w:r w:rsidRPr="00FF7072">
        <w:t>less accessible key services including healthcare, childcare and broadband</w:t>
      </w:r>
      <w:r w:rsidR="00FE79D6" w:rsidRPr="00FF7072">
        <w:t>; and,</w:t>
      </w:r>
    </w:p>
    <w:p w14:paraId="218AF927" w14:textId="1E2F3079" w:rsidR="00FF67B4" w:rsidRPr="00FF7072" w:rsidRDefault="00905410" w:rsidP="00D56DE8">
      <w:pPr>
        <w:pStyle w:val="STPR2BulletsLevel1"/>
      </w:pPr>
      <w:r w:rsidRPr="00FF7072">
        <w:t>limited opportunities to earn adequate income compared to urban areas.</w:t>
      </w:r>
    </w:p>
    <w:p w14:paraId="42EA09B0" w14:textId="7F9D6554" w:rsidR="00FF67B4" w:rsidRDefault="00FF67B4" w:rsidP="00905410">
      <w:pPr>
        <w:pStyle w:val="Heading2"/>
      </w:pPr>
      <w:bookmarkStart w:id="1353" w:name="_Toc121213937"/>
      <w:r>
        <w:t>Employment</w:t>
      </w:r>
      <w:r w:rsidR="009A26D1">
        <w:t>, Income and Wealth</w:t>
      </w:r>
      <w:bookmarkEnd w:id="1353"/>
    </w:p>
    <w:p w14:paraId="278277BC" w14:textId="467ADC0C" w:rsidR="00FF67B4" w:rsidRDefault="00513403" w:rsidP="00D56DE8">
      <w:pPr>
        <w:pStyle w:val="STPR2BodyText"/>
      </w:pPr>
      <w:r>
        <w:t>In the 2011 Census, t</w:t>
      </w:r>
      <w:r w:rsidR="00FF67B4">
        <w:t>he proportion of island residents aged 16 to 74 who were in employment increased from 63</w:t>
      </w:r>
      <w:r w:rsidR="002A1817">
        <w:t>%</w:t>
      </w:r>
      <w:r w:rsidR="00FF67B4">
        <w:t xml:space="preserve"> in 2001 to 67</w:t>
      </w:r>
      <w:r w:rsidR="002A1817">
        <w:t>%</w:t>
      </w:r>
      <w:r w:rsidR="00FF67B4">
        <w:t xml:space="preserve"> in 2011. Island residents were more likely to be self-employed (13</w:t>
      </w:r>
      <w:r w:rsidR="002A1817">
        <w:t>%</w:t>
      </w:r>
      <w:r w:rsidR="00FF67B4">
        <w:t>) or part-time employees (16</w:t>
      </w:r>
      <w:r w:rsidR="002A1817">
        <w:t>%</w:t>
      </w:r>
      <w:r w:rsidR="00FF67B4">
        <w:t>) than in Scotland as a whole (7</w:t>
      </w:r>
      <w:r w:rsidR="002A1817">
        <w:t>%</w:t>
      </w:r>
      <w:r w:rsidR="00FF67B4">
        <w:t xml:space="preserve"> and 13</w:t>
      </w:r>
      <w:r w:rsidR="002A1817">
        <w:t>%</w:t>
      </w:r>
      <w:r w:rsidR="00FF67B4">
        <w:t xml:space="preserve"> respectively).</w:t>
      </w:r>
      <w:r>
        <w:t xml:space="preserve"> Island residents were also more likely to be working in ‘Agriculture, forestry and fishing’ (7</w:t>
      </w:r>
      <w:r w:rsidR="002A1817">
        <w:t>%</w:t>
      </w:r>
      <w:r>
        <w:t>)</w:t>
      </w:r>
      <w:r w:rsidR="003D48CB">
        <w:t>,</w:t>
      </w:r>
      <w:r>
        <w:t xml:space="preserve"> ‘Construction’ (11</w:t>
      </w:r>
      <w:r w:rsidR="002A1817">
        <w:t>%</w:t>
      </w:r>
      <w:r>
        <w:t>)</w:t>
      </w:r>
      <w:r w:rsidR="003D48CB">
        <w:t xml:space="preserve"> and ‘Skilled trades occupations’ (21</w:t>
      </w:r>
      <w:r w:rsidR="002A1817">
        <w:t>%</w:t>
      </w:r>
      <w:r w:rsidR="003D48CB">
        <w:t>)</w:t>
      </w:r>
      <w:r w:rsidR="00F672BA">
        <w:t xml:space="preserve"> compared </w:t>
      </w:r>
      <w:r w:rsidR="0005387C">
        <w:t>with</w:t>
      </w:r>
      <w:r w:rsidR="00582E79">
        <w:t xml:space="preserve"> </w:t>
      </w:r>
      <w:r w:rsidR="00F672BA">
        <w:t>Scotland (2</w:t>
      </w:r>
      <w:r w:rsidR="002A1817">
        <w:t>%</w:t>
      </w:r>
      <w:r w:rsidR="003D48CB">
        <w:t>,</w:t>
      </w:r>
      <w:r w:rsidR="00F672BA">
        <w:t xml:space="preserve"> 8</w:t>
      </w:r>
      <w:r w:rsidR="002A1817">
        <w:t>%</w:t>
      </w:r>
      <w:r w:rsidR="00F672BA">
        <w:t xml:space="preserve"> </w:t>
      </w:r>
      <w:r w:rsidR="003D48CB">
        <w:t>and 13</w:t>
      </w:r>
      <w:r w:rsidR="002A1817">
        <w:t>%</w:t>
      </w:r>
      <w:r w:rsidR="003D48CB">
        <w:t xml:space="preserve"> </w:t>
      </w:r>
      <w:r w:rsidR="00F672BA">
        <w:t>respectively).</w:t>
      </w:r>
    </w:p>
    <w:p w14:paraId="39DFB7E2" w14:textId="4A01CACE" w:rsidR="003059E2" w:rsidRDefault="003059E2" w:rsidP="00D56DE8">
      <w:pPr>
        <w:pStyle w:val="STPR2BodyText"/>
      </w:pPr>
      <w:r>
        <w:t>Across Scotland</w:t>
      </w:r>
      <w:r w:rsidR="00F863F5">
        <w:t>,</w:t>
      </w:r>
      <w:r>
        <w:t xml:space="preserve"> tourism accounts for 1 in 12 jobs</w:t>
      </w:r>
      <w:r w:rsidR="00C46C28">
        <w:t>, while</w:t>
      </w:r>
      <w:r>
        <w:t xml:space="preserve"> rural and island communities, particularly areas such as Argyll and Bute, rely more heavily on tourism than some of Scotland’s other regions. The proportion of island residents working in the ‘Services’ sector increased from 70</w:t>
      </w:r>
      <w:r w:rsidR="002A1817">
        <w:t>%</w:t>
      </w:r>
      <w:r>
        <w:t xml:space="preserve"> in 2001 to 74</w:t>
      </w:r>
      <w:r w:rsidR="002A1817">
        <w:t>%</w:t>
      </w:r>
      <w:r>
        <w:t xml:space="preserve"> in 2011.</w:t>
      </w:r>
    </w:p>
    <w:p w14:paraId="78659E56" w14:textId="19B73DF9" w:rsidR="001B0663" w:rsidRDefault="00FF67B4" w:rsidP="00D56DE8">
      <w:pPr>
        <w:pStyle w:val="STPR2BodyText"/>
      </w:pPr>
      <w:r>
        <w:t>Nearly a tenth (9</w:t>
      </w:r>
      <w:r w:rsidR="002A1817">
        <w:t>%</w:t>
      </w:r>
      <w:r>
        <w:t>) of employed islanders worked 60 hours or more per week, compared with 5</w:t>
      </w:r>
      <w:r w:rsidR="002A1817">
        <w:t>%</w:t>
      </w:r>
      <w:r>
        <w:t xml:space="preserve"> in Scotland. This may in part reflect the higher proportion of people on the islands who were self-employed</w:t>
      </w:r>
      <w:r w:rsidR="0002251B">
        <w:t>.</w:t>
      </w:r>
    </w:p>
    <w:p w14:paraId="200E635F" w14:textId="25D13314" w:rsidR="00117740" w:rsidRDefault="00733508" w:rsidP="00D56DE8">
      <w:pPr>
        <w:pStyle w:val="STPR2BodyText"/>
      </w:pPr>
      <w:r>
        <w:t xml:space="preserve">However, </w:t>
      </w:r>
      <w:r w:rsidR="007B1837">
        <w:t xml:space="preserve">in 2020, </w:t>
      </w:r>
      <w:r>
        <w:t>t</w:t>
      </w:r>
      <w:r w:rsidR="00117740">
        <w:t xml:space="preserve">he </w:t>
      </w:r>
      <w:r w:rsidR="00EC19E0">
        <w:t>a</w:t>
      </w:r>
      <w:r>
        <w:t xml:space="preserve">verage </w:t>
      </w:r>
      <w:r w:rsidR="00117740">
        <w:t xml:space="preserve">gross annual pay </w:t>
      </w:r>
      <w:r>
        <w:t xml:space="preserve">for the local authority areas that contain islands </w:t>
      </w:r>
      <w:r w:rsidR="003454F3">
        <w:t>is</w:t>
      </w:r>
      <w:r>
        <w:t xml:space="preserve"> </w:t>
      </w:r>
      <w:r w:rsidR="0003181C">
        <w:t xml:space="preserve">significantly lower than the </w:t>
      </w:r>
      <w:r w:rsidR="007B1837">
        <w:t>average for Scotland (£30,097)</w:t>
      </w:r>
      <w:r w:rsidR="0094754F">
        <w:t xml:space="preserve"> (ONS, 2021)</w:t>
      </w:r>
      <w:r w:rsidR="007B1837">
        <w:t xml:space="preserve">. </w:t>
      </w:r>
      <w:r w:rsidR="00B7476F">
        <w:t xml:space="preserve">The average across the </w:t>
      </w:r>
      <w:r w:rsidR="00DD65FE">
        <w:t>local authority areas is £27,002</w:t>
      </w:r>
      <w:r w:rsidR="00C057C7">
        <w:t>, which is a difference of just over 10%</w:t>
      </w:r>
      <w:r w:rsidR="0094754F">
        <w:t>.</w:t>
      </w:r>
    </w:p>
    <w:p w14:paraId="2D476310" w14:textId="791C328F" w:rsidR="005C7B40" w:rsidRDefault="00120076" w:rsidP="00D56DE8">
      <w:pPr>
        <w:pStyle w:val="STPR2BodyText"/>
      </w:pPr>
      <w:r>
        <w:t>Typically, the minimum cost of living in remote rural Scotland ranges between 10</w:t>
      </w:r>
      <w:r w:rsidR="002A1817">
        <w:t>%</w:t>
      </w:r>
      <w:r>
        <w:t xml:space="preserve"> and 40</w:t>
      </w:r>
      <w:r w:rsidR="002A1817">
        <w:t>%</w:t>
      </w:r>
      <w:r>
        <w:t xml:space="preserve"> more than the equivalent in urban Britain </w:t>
      </w:r>
      <w:r w:rsidR="00B5058B">
        <w:t>(Highlands and Islands, 2021).</w:t>
      </w:r>
      <w:r w:rsidR="005C7B40">
        <w:t xml:space="preserve"> The three principal sources of this premium are:</w:t>
      </w:r>
    </w:p>
    <w:p w14:paraId="2C22C4C0" w14:textId="3666BEFD" w:rsidR="005C7B40" w:rsidRDefault="005C7B40" w:rsidP="00D56DE8">
      <w:pPr>
        <w:pStyle w:val="STPR2BulletsLevel1"/>
      </w:pPr>
      <w:r>
        <w:t>the higher prices that households must pay for food, clothes and household goods;</w:t>
      </w:r>
    </w:p>
    <w:p w14:paraId="34F0389F" w14:textId="43926008" w:rsidR="005C7B40" w:rsidRDefault="005C7B40" w:rsidP="00D56DE8">
      <w:pPr>
        <w:pStyle w:val="STPR2BulletsLevel1"/>
      </w:pPr>
      <w:r>
        <w:t>higher household fuel bills, influenced by climate and fuel sources; and,</w:t>
      </w:r>
    </w:p>
    <w:p w14:paraId="7B73BFA1" w14:textId="59C82D8C" w:rsidR="00093363" w:rsidRDefault="005C7B40" w:rsidP="00D56DE8">
      <w:pPr>
        <w:pStyle w:val="STPR2BulletsLevel1"/>
      </w:pPr>
      <w:r>
        <w:t>the longer distances that people have to routinely travel, particularly to work.</w:t>
      </w:r>
    </w:p>
    <w:p w14:paraId="2AF3D717" w14:textId="09F13869" w:rsidR="00120076" w:rsidRDefault="00093363" w:rsidP="00D56DE8">
      <w:pPr>
        <w:pStyle w:val="STPR2BodyText"/>
      </w:pPr>
      <w:r>
        <w:t>These high</w:t>
      </w:r>
      <w:r w:rsidR="49909F88">
        <w:t>er</w:t>
      </w:r>
      <w:r>
        <w:t xml:space="preserve"> living costs threaten the sustainability of local communities by making it harder for people from a range of backgrounds and ages to live there at an acceptable</w:t>
      </w:r>
      <w:r w:rsidR="00BB3BA4">
        <w:t> </w:t>
      </w:r>
      <w:r>
        <w:t>standard</w:t>
      </w:r>
      <w:r w:rsidR="001B0663">
        <w:t>.</w:t>
      </w:r>
    </w:p>
    <w:p w14:paraId="559A28C4" w14:textId="60AD18EF" w:rsidR="00FF67B4" w:rsidRDefault="00FF67B4" w:rsidP="00FF67B4">
      <w:pPr>
        <w:pStyle w:val="Heading2"/>
      </w:pPr>
      <w:bookmarkStart w:id="1354" w:name="_Toc121213938"/>
      <w:r>
        <w:t>Education and Skills</w:t>
      </w:r>
      <w:bookmarkEnd w:id="1354"/>
    </w:p>
    <w:p w14:paraId="7D53E0C0" w14:textId="1C8551AA" w:rsidR="001E2A77" w:rsidRDefault="001E2A77" w:rsidP="00D56DE8">
      <w:pPr>
        <w:pStyle w:val="STPR2BodyText"/>
      </w:pPr>
      <w:r w:rsidRPr="001E2A77">
        <w:t>Good quality education is a key driver for socio-economic development, not only on islands. Families will often make decisions about where to live based on the presence of good schools.</w:t>
      </w:r>
      <w:r w:rsidR="005F4B60">
        <w:t xml:space="preserve"> H</w:t>
      </w:r>
      <w:r w:rsidR="005F4B60" w:rsidRPr="005F4B60">
        <w:t>aving a thriving and successful school</w:t>
      </w:r>
      <w:r w:rsidR="005F4B60">
        <w:t xml:space="preserve"> in an island community</w:t>
      </w:r>
      <w:r w:rsidR="005F4B60" w:rsidRPr="005F4B60">
        <w:t xml:space="preserve"> contributes </w:t>
      </w:r>
      <w:r w:rsidR="005F4B60">
        <w:t xml:space="preserve">to </w:t>
      </w:r>
      <w:r w:rsidR="005F4B60" w:rsidRPr="005F4B60">
        <w:t xml:space="preserve">its community in multiple ways, from adding teachers and school workers to the island population to using schools as a hub of community </w:t>
      </w:r>
      <w:r w:rsidR="00D96F8D" w:rsidRPr="005F4B60">
        <w:t>extracurricular</w:t>
      </w:r>
      <w:r w:rsidR="005F4B60" w:rsidRPr="005F4B60">
        <w:t xml:space="preserve"> activities.</w:t>
      </w:r>
    </w:p>
    <w:p w14:paraId="187967EA" w14:textId="49CC84E5" w:rsidR="00FF67B4" w:rsidRDefault="0050025B" w:rsidP="00D56DE8">
      <w:pPr>
        <w:pStyle w:val="STPR2BodyText"/>
      </w:pPr>
      <w:r>
        <w:lastRenderedPageBreak/>
        <w:t>Young people are likely to migrate to mainland communities for further education opportunities.</w:t>
      </w:r>
      <w:r w:rsidR="00CE0B18">
        <w:t xml:space="preserve"> However, i</w:t>
      </w:r>
      <w:r w:rsidR="00CC3DCC">
        <w:t xml:space="preserve">n the 2011 Census, </w:t>
      </w:r>
      <w:r w:rsidR="00D96F8D">
        <w:t>o</w:t>
      </w:r>
      <w:r w:rsidR="00FF67B4">
        <w:t>ver a quarter (27</w:t>
      </w:r>
      <w:r w:rsidR="002A1817">
        <w:t>%</w:t>
      </w:r>
      <w:r w:rsidR="00FF67B4">
        <w:t xml:space="preserve">) of island residents held a degree level qualification, </w:t>
      </w:r>
      <w:r w:rsidR="00CE0B18">
        <w:t>which is</w:t>
      </w:r>
      <w:r w:rsidR="00FF67B4">
        <w:t xml:space="preserve"> similar to the corresponding proportions in Scotland as a whole.</w:t>
      </w:r>
    </w:p>
    <w:p w14:paraId="26147825" w14:textId="173103C5" w:rsidR="00FF67B4" w:rsidRDefault="00FF67B4" w:rsidP="00FF67B4">
      <w:pPr>
        <w:pStyle w:val="Heading2"/>
      </w:pPr>
      <w:bookmarkStart w:id="1355" w:name="_Toc121213939"/>
      <w:r>
        <w:t>Health and Health Inequality</w:t>
      </w:r>
      <w:bookmarkEnd w:id="1355"/>
    </w:p>
    <w:p w14:paraId="66903D2A" w14:textId="4613233A" w:rsidR="00F601BE" w:rsidRDefault="00F601BE" w:rsidP="00D56DE8">
      <w:pPr>
        <w:pStyle w:val="STPR2BodyText"/>
      </w:pPr>
      <w:r>
        <w:t xml:space="preserve">The National Islands Plan Survey – Final Report (Scottish Government, </w:t>
      </w:r>
      <w:r w:rsidR="00B424E1">
        <w:t>Jul</w:t>
      </w:r>
      <w:r w:rsidR="00B400AA">
        <w:t>y</w:t>
      </w:r>
      <w:r>
        <w:t xml:space="preserve"> 202</w:t>
      </w:r>
      <w:r w:rsidR="00B424E1">
        <w:t>1</w:t>
      </w:r>
      <w:r w:rsidR="0053033E">
        <w:t>b</w:t>
      </w:r>
      <w:r>
        <w:t>) highlighted concerns from islanders about perceived centralisation of healthcare services</w:t>
      </w:r>
      <w:r w:rsidR="00DF223C">
        <w:t>,</w:t>
      </w:r>
      <w:r>
        <w:t xml:space="preserve"> both in terms of access to certain services being moved to the mainland or the population centres of larger islands. </w:t>
      </w:r>
      <w:r w:rsidR="00E5386A">
        <w:t>L</w:t>
      </w:r>
      <w:r>
        <w:t xml:space="preserve">ocal access to services was </w:t>
      </w:r>
      <w:r w:rsidR="00E5386A">
        <w:t xml:space="preserve">also </w:t>
      </w:r>
      <w:r>
        <w:t xml:space="preserve">an important issue for many women who reported having to travel long distances for appointments. In island communities, there </w:t>
      </w:r>
      <w:r w:rsidR="00E5386A">
        <w:t>is</w:t>
      </w:r>
      <w:r>
        <w:t xml:space="preserve"> a desire to have as much care as possible provided locally, although women did recognise the need to ensure that services were safe and sustainable. </w:t>
      </w:r>
    </w:p>
    <w:p w14:paraId="20E1866A" w14:textId="612E7116" w:rsidR="00FF67B4" w:rsidRDefault="00FF67B4" w:rsidP="00FF67B4">
      <w:pPr>
        <w:pStyle w:val="Heading2"/>
      </w:pPr>
      <w:bookmarkStart w:id="1356" w:name="_Toc121213940"/>
      <w:r>
        <w:t>Transport Accessibility and Connectivity</w:t>
      </w:r>
      <w:bookmarkEnd w:id="1356"/>
    </w:p>
    <w:p w14:paraId="7DFC2E9F" w14:textId="767F0C4E" w:rsidR="00905410" w:rsidRDefault="00905410" w:rsidP="00D56DE8">
      <w:pPr>
        <w:pStyle w:val="STPR2BodyText"/>
      </w:pPr>
      <w:r>
        <w:t>Transport (air, road, ferry, bus and other shared transport, active travel and mainland rail services) is of great importance to island communities and is a key factor in the ability of individual residents to, for example, access services and enjoy fundamental human rights.</w:t>
      </w:r>
    </w:p>
    <w:p w14:paraId="1C5E6825" w14:textId="59E3AE1B" w:rsidR="00905410" w:rsidRDefault="00905410" w:rsidP="00D56DE8">
      <w:pPr>
        <w:pStyle w:val="STPR2BodyText"/>
      </w:pPr>
      <w:r>
        <w:t>Respondents to the National Islands Plan Survey (</w:t>
      </w:r>
      <w:r w:rsidR="00B424E1">
        <w:t>Scottish Government, Jul</w:t>
      </w:r>
      <w:r w:rsidR="00B400AA">
        <w:t>y</w:t>
      </w:r>
      <w:r w:rsidR="00B424E1">
        <w:t xml:space="preserve"> </w:t>
      </w:r>
      <w:r>
        <w:t>202</w:t>
      </w:r>
      <w:r w:rsidR="00B424E1">
        <w:t>1</w:t>
      </w:r>
      <w:r w:rsidR="0053033E">
        <w:t>b</w:t>
      </w:r>
      <w:r>
        <w:t>) have stressed that island communities face many different transport challenges when carrying out their daily lives compared to those living in less rural areas of the mainland and urban</w:t>
      </w:r>
      <w:r w:rsidR="00BB3BA4">
        <w:t> </w:t>
      </w:r>
      <w:r>
        <w:t>areas.</w:t>
      </w:r>
    </w:p>
    <w:p w14:paraId="3F9D69FF" w14:textId="0B82737E" w:rsidR="00EC398B" w:rsidRDefault="00905410" w:rsidP="00D56DE8">
      <w:pPr>
        <w:pStyle w:val="STPR2BodyText"/>
      </w:pPr>
      <w:r>
        <w:t xml:space="preserve">Currently, the cost of transport on islands is much higher, relative to income, than in the rest of Scotland. </w:t>
      </w:r>
      <w:r w:rsidR="00EC398B">
        <w:t xml:space="preserve">Public transport services in rural areas often involve long journeys, sparse bus timetables and expensive tickets, in comparison to urban areas. </w:t>
      </w:r>
      <w:r w:rsidR="00840167">
        <w:t xml:space="preserve">In addition, integrated ticketing is not always available, meaning that multiple tickets are required, further adding to price and complexity. </w:t>
      </w:r>
      <w:r w:rsidR="00EC398B">
        <w:t xml:space="preserve">Owning a car is therefore seen as a solution; however, for </w:t>
      </w:r>
      <w:r w:rsidR="00840167">
        <w:t>low-income</w:t>
      </w:r>
      <w:r w:rsidR="00EC398B">
        <w:t xml:space="preserve"> families, car ownership may be pushing them into poverty due to maintenance costs and higher fuel prices (SRUC, 2014).</w:t>
      </w:r>
    </w:p>
    <w:p w14:paraId="318B196C" w14:textId="671FFC08" w:rsidR="00FF67B4" w:rsidRDefault="00FF67B4" w:rsidP="00D56DE8">
      <w:pPr>
        <w:pStyle w:val="STPR2BodyText"/>
      </w:pPr>
      <w:r>
        <w:t>In 2011, the proportion of island households with at least one car or van available was 79</w:t>
      </w:r>
      <w:r w:rsidR="002A1817">
        <w:t>%</w:t>
      </w:r>
      <w:r>
        <w:t>, compared with just over two-thirds (69</w:t>
      </w:r>
      <w:r w:rsidR="002A1817">
        <w:t>%</w:t>
      </w:r>
      <w:r>
        <w:t xml:space="preserve">) nationally. </w:t>
      </w:r>
    </w:p>
    <w:p w14:paraId="17CC73EC" w14:textId="6DA33159" w:rsidR="00251775" w:rsidRDefault="00FF67B4" w:rsidP="00D56DE8">
      <w:pPr>
        <w:pStyle w:val="STPR2BodyText"/>
        <w:sectPr w:rsidR="00251775" w:rsidSect="00F110EE">
          <w:footerReference w:type="default" r:id="rId24"/>
          <w:pgSz w:w="11906" w:h="16838" w:code="9"/>
          <w:pgMar w:top="1699" w:right="1138" w:bottom="1138" w:left="1138" w:header="454" w:footer="567" w:gutter="0"/>
          <w:cols w:space="720"/>
          <w:noEndnote/>
          <w:docGrid w:linePitch="299"/>
        </w:sectPr>
      </w:pPr>
      <w:r>
        <w:t>Compared with Scotland as a whole, and excluding people who worked or studied mainly at or from home, higher proportions of islanders travelled to their work or place of study in 2011 by car or motorcycle (64</w:t>
      </w:r>
      <w:r w:rsidR="002A1817">
        <w:t>%</w:t>
      </w:r>
      <w:r>
        <w:t xml:space="preserve"> in the islands and 57</w:t>
      </w:r>
      <w:r w:rsidR="002A1817">
        <w:t>%</w:t>
      </w:r>
      <w:r>
        <w:t xml:space="preserve"> in Scotland) or by ‘Other methods of transport’ such as ferry (3</w:t>
      </w:r>
      <w:r w:rsidR="002A1817">
        <w:t>%</w:t>
      </w:r>
      <w:r>
        <w:t xml:space="preserve"> in the islands and 1</w:t>
      </w:r>
      <w:r w:rsidR="002A1817">
        <w:t>%</w:t>
      </w:r>
      <w:r>
        <w:t xml:space="preserve"> in Scotland). Of those people aged 16 to 74 who travelled to work, island residents tended to work closer to home than people in Scotland as a whole: 24</w:t>
      </w:r>
      <w:r w:rsidR="002A1817">
        <w:t>%</w:t>
      </w:r>
      <w:r>
        <w:t xml:space="preserve"> travelled less than 2km and 39</w:t>
      </w:r>
      <w:r w:rsidR="002A1817">
        <w:t>%</w:t>
      </w:r>
      <w:r>
        <w:t xml:space="preserve"> less than 5km to their workplace, compared with 15</w:t>
      </w:r>
      <w:r w:rsidR="002A1817">
        <w:t>%</w:t>
      </w:r>
      <w:r>
        <w:t xml:space="preserve"> and 36</w:t>
      </w:r>
      <w:r w:rsidR="002A1817">
        <w:t>%</w:t>
      </w:r>
      <w:r>
        <w:t xml:space="preserve"> respectively in Scotland.</w:t>
      </w:r>
    </w:p>
    <w:p w14:paraId="3B20F823" w14:textId="3BA386B8" w:rsidR="00591E06" w:rsidRDefault="00591E06" w:rsidP="00591E06">
      <w:pPr>
        <w:pStyle w:val="Heading2"/>
      </w:pPr>
      <w:bookmarkStart w:id="1357" w:name="_Toc121213941"/>
      <w:r>
        <w:lastRenderedPageBreak/>
        <w:t>Variation across Island Communities</w:t>
      </w:r>
      <w:r w:rsidR="005C290E">
        <w:t xml:space="preserve"> compared to Scotland</w:t>
      </w:r>
      <w:bookmarkEnd w:id="1357"/>
    </w:p>
    <w:p w14:paraId="5E21F89A" w14:textId="63359D71" w:rsidR="00BB3BA4" w:rsidRDefault="005C290E" w:rsidP="00D56DE8">
      <w:pPr>
        <w:pStyle w:val="STPR2BodyText"/>
        <w:sectPr w:rsidR="00BB3BA4" w:rsidSect="00BB3BA4">
          <w:pgSz w:w="11906" w:h="16838" w:code="9"/>
          <w:pgMar w:top="1699" w:right="1138" w:bottom="1138" w:left="1138" w:header="454" w:footer="567" w:gutter="0"/>
          <w:cols w:space="720"/>
          <w:noEndnote/>
          <w:docGrid w:linePitch="299"/>
        </w:sectPr>
      </w:pPr>
      <w:r>
        <w:t>This ICIA</w:t>
      </w:r>
      <w:r w:rsidR="00115F1F">
        <w:t xml:space="preserve"> is </w:t>
      </w:r>
      <w:r>
        <w:t xml:space="preserve">also </w:t>
      </w:r>
      <w:r w:rsidR="00115F1F">
        <w:t xml:space="preserve">required to assess whether the policy strategy or service is likely to have an </w:t>
      </w:r>
      <w:r w:rsidR="000605C1">
        <w:t>impact</w:t>
      </w:r>
      <w:r w:rsidR="00115F1F">
        <w:t xml:space="preserve"> in an island community which is significantly different from its </w:t>
      </w:r>
      <w:r w:rsidR="000605C1">
        <w:t>impact</w:t>
      </w:r>
      <w:r w:rsidR="00115F1F">
        <w:t xml:space="preserve"> on other communities (including other island communities). </w:t>
      </w:r>
      <w:r w:rsidR="00672C52" w:rsidRPr="000605C1">
        <w:fldChar w:fldCharType="begin"/>
      </w:r>
      <w:r w:rsidR="00672C52">
        <w:instrText xml:space="preserve"> REF _Ref120095535 \h  \* MERGEFORMAT </w:instrText>
      </w:r>
      <w:r w:rsidR="00672C52" w:rsidRPr="000605C1">
        <w:fldChar w:fldCharType="separate"/>
      </w:r>
      <w:r w:rsidR="00B71F51" w:rsidRPr="00B83F4B">
        <w:t xml:space="preserve">Table </w:t>
      </w:r>
      <w:r w:rsidR="00B71F51">
        <w:t>1</w:t>
      </w:r>
      <w:r w:rsidR="00672C52" w:rsidRPr="000605C1">
        <w:fldChar w:fldCharType="end"/>
      </w:r>
      <w:r w:rsidR="00672C52">
        <w:t xml:space="preserve"> </w:t>
      </w:r>
      <w:r w:rsidR="00115F1F">
        <w:t>below</w:t>
      </w:r>
      <w:r w:rsidR="0030625C">
        <w:t xml:space="preserve"> </w:t>
      </w:r>
      <w:r w:rsidR="00115F1F">
        <w:t xml:space="preserve">sets out </w:t>
      </w:r>
      <w:r w:rsidR="00947304">
        <w:t>a profile</w:t>
      </w:r>
      <w:r w:rsidR="00FE64B9">
        <w:t xml:space="preserve">, with relevant </w:t>
      </w:r>
      <w:r w:rsidR="00672C52">
        <w:t xml:space="preserve">population </w:t>
      </w:r>
      <w:r w:rsidR="00FE64B9">
        <w:t>indicators,</w:t>
      </w:r>
      <w:r w:rsidR="00947304">
        <w:t xml:space="preserve"> for each of the local authority areas that </w:t>
      </w:r>
      <w:r w:rsidR="00947304" w:rsidRPr="00504862">
        <w:t>ha</w:t>
      </w:r>
      <w:r w:rsidR="00B751A4">
        <w:t>ve</w:t>
      </w:r>
      <w:r w:rsidR="00947304">
        <w:t xml:space="preserve"> island communities </w:t>
      </w:r>
      <w:r w:rsidR="0030625C">
        <w:t>in order to provide a high-level comparison</w:t>
      </w:r>
      <w:r w:rsidR="00116ECA">
        <w:t xml:space="preserve"> with the </w:t>
      </w:r>
      <w:r w:rsidR="004D4998">
        <w:t>national Scottish figures</w:t>
      </w:r>
      <w:r w:rsidR="0030625C">
        <w:t>.</w:t>
      </w:r>
    </w:p>
    <w:p w14:paraId="2542BA02" w14:textId="4D0A45DA" w:rsidR="000C00D0" w:rsidRPr="00B83F4B" w:rsidRDefault="00CC289D" w:rsidP="00BB3BA4">
      <w:pPr>
        <w:pStyle w:val="STPR2Caption"/>
        <w:rPr>
          <w:i/>
        </w:rPr>
      </w:pPr>
      <w:bookmarkStart w:id="1358" w:name="_Ref120095535"/>
      <w:bookmarkStart w:id="1359" w:name="_Toc121213961"/>
      <w:r w:rsidRPr="00B83F4B">
        <w:lastRenderedPageBreak/>
        <w:t xml:space="preserve">Table </w:t>
      </w:r>
      <w:r w:rsidR="00293A74">
        <w:fldChar w:fldCharType="begin"/>
      </w:r>
      <w:r w:rsidR="00293A74">
        <w:instrText xml:space="preserve"> SEQ Table \* ARABIC </w:instrText>
      </w:r>
      <w:r w:rsidR="00293A74">
        <w:fldChar w:fldCharType="separate"/>
      </w:r>
      <w:r w:rsidR="00B71F51">
        <w:rPr>
          <w:noProof/>
        </w:rPr>
        <w:t>1</w:t>
      </w:r>
      <w:r w:rsidR="00293A74">
        <w:rPr>
          <w:noProof/>
        </w:rPr>
        <w:fldChar w:fldCharType="end"/>
      </w:r>
      <w:bookmarkEnd w:id="1358"/>
      <w:r w:rsidRPr="00B83F4B">
        <w:t xml:space="preserve"> </w:t>
      </w:r>
      <w:r w:rsidR="00BB3BA4">
        <w:t>–</w:t>
      </w:r>
      <w:r w:rsidRPr="00B83F4B">
        <w:t xml:space="preserve"> Population Indicators by Local Authority</w:t>
      </w:r>
      <w:bookmarkEnd w:id="1359"/>
    </w:p>
    <w:tbl>
      <w:tblPr>
        <w:tblStyle w:val="Style1"/>
        <w:tblW w:w="5000" w:type="pct"/>
        <w:tblLook w:val="04A0" w:firstRow="1" w:lastRow="0" w:firstColumn="1" w:lastColumn="0" w:noHBand="0" w:noVBand="1"/>
      </w:tblPr>
      <w:tblGrid>
        <w:gridCol w:w="2053"/>
        <w:gridCol w:w="1260"/>
        <w:gridCol w:w="1621"/>
        <w:gridCol w:w="2132"/>
        <w:gridCol w:w="1735"/>
        <w:gridCol w:w="1487"/>
        <w:gridCol w:w="2118"/>
        <w:gridCol w:w="1565"/>
      </w:tblGrid>
      <w:tr w:rsidR="00BB3BA4" w:rsidRPr="00814137" w14:paraId="65E4107E" w14:textId="77777777" w:rsidTr="00BB3BA4">
        <w:trPr>
          <w:cnfStyle w:val="100000000000" w:firstRow="1" w:lastRow="0" w:firstColumn="0" w:lastColumn="0" w:oddVBand="0" w:evenVBand="0" w:oddHBand="0" w:evenHBand="0" w:firstRowFirstColumn="0" w:firstRowLastColumn="0" w:lastRowFirstColumn="0" w:lastRowLastColumn="0"/>
          <w:tblHeader/>
        </w:trPr>
        <w:tc>
          <w:tcPr>
            <w:tcW w:w="735" w:type="pct"/>
            <w:shd w:val="clear" w:color="auto" w:fill="007D55"/>
          </w:tcPr>
          <w:p w14:paraId="1B33FBAD" w14:textId="77777777" w:rsidR="002E7ED2" w:rsidRPr="0021740A" w:rsidRDefault="002E7ED2" w:rsidP="00BB3BA4">
            <w:pPr>
              <w:pStyle w:val="TABLEHEADINGWHITE"/>
            </w:pPr>
            <w:bookmarkStart w:id="1360" w:name="_Hlk118468922"/>
            <w:r w:rsidRPr="0021740A">
              <w:rPr>
                <w:rFonts w:hint="eastAsia"/>
              </w:rPr>
              <w:t>Population Indicator</w:t>
            </w:r>
          </w:p>
        </w:tc>
        <w:tc>
          <w:tcPr>
            <w:tcW w:w="451" w:type="pct"/>
            <w:shd w:val="clear" w:color="auto" w:fill="007D55"/>
          </w:tcPr>
          <w:p w14:paraId="344AE2A8" w14:textId="77777777" w:rsidR="002E7ED2" w:rsidRPr="0021740A" w:rsidRDefault="002E7ED2" w:rsidP="00BB3BA4">
            <w:pPr>
              <w:pStyle w:val="TABLEHEADINGWHITE"/>
            </w:pPr>
            <w:r w:rsidRPr="0021740A">
              <w:rPr>
                <w:rFonts w:hint="eastAsia"/>
              </w:rPr>
              <w:t>Argyll &amp; Bute</w:t>
            </w:r>
          </w:p>
        </w:tc>
        <w:tc>
          <w:tcPr>
            <w:tcW w:w="580" w:type="pct"/>
            <w:shd w:val="clear" w:color="auto" w:fill="007D55"/>
          </w:tcPr>
          <w:p w14:paraId="37E61375" w14:textId="77777777" w:rsidR="002E7ED2" w:rsidRPr="0021740A" w:rsidRDefault="002E7ED2" w:rsidP="00BB3BA4">
            <w:pPr>
              <w:pStyle w:val="TABLEHEADINGWHITE"/>
            </w:pPr>
            <w:r w:rsidRPr="0021740A">
              <w:rPr>
                <w:rFonts w:hint="eastAsia"/>
              </w:rPr>
              <w:t>Highland</w:t>
            </w:r>
          </w:p>
        </w:tc>
        <w:tc>
          <w:tcPr>
            <w:tcW w:w="763" w:type="pct"/>
            <w:shd w:val="clear" w:color="auto" w:fill="007D55"/>
          </w:tcPr>
          <w:p w14:paraId="108553D6" w14:textId="77777777" w:rsidR="002E7ED2" w:rsidRPr="0021740A" w:rsidRDefault="002E7ED2" w:rsidP="00BB3BA4">
            <w:pPr>
              <w:pStyle w:val="TABLEHEADINGWHITE"/>
            </w:pPr>
            <w:r w:rsidRPr="0021740A">
              <w:rPr>
                <w:rFonts w:hint="eastAsia"/>
              </w:rPr>
              <w:t>Na h-Eileanan Siar</w:t>
            </w:r>
          </w:p>
        </w:tc>
        <w:tc>
          <w:tcPr>
            <w:tcW w:w="621" w:type="pct"/>
            <w:shd w:val="clear" w:color="auto" w:fill="007D55"/>
          </w:tcPr>
          <w:p w14:paraId="65EDF488" w14:textId="77777777" w:rsidR="002E7ED2" w:rsidRPr="0021740A" w:rsidRDefault="002E7ED2" w:rsidP="00BB3BA4">
            <w:pPr>
              <w:pStyle w:val="TABLEHEADINGWHITE"/>
            </w:pPr>
            <w:r w:rsidRPr="0021740A">
              <w:rPr>
                <w:rFonts w:hint="eastAsia"/>
              </w:rPr>
              <w:t>North Ayrshire</w:t>
            </w:r>
          </w:p>
        </w:tc>
        <w:tc>
          <w:tcPr>
            <w:tcW w:w="532" w:type="pct"/>
            <w:shd w:val="clear" w:color="auto" w:fill="007D55"/>
          </w:tcPr>
          <w:p w14:paraId="74CB03A8" w14:textId="77777777" w:rsidR="002E7ED2" w:rsidRPr="0021740A" w:rsidRDefault="002E7ED2" w:rsidP="00BB3BA4">
            <w:pPr>
              <w:pStyle w:val="TABLEHEADINGWHITE"/>
            </w:pPr>
            <w:r w:rsidRPr="0021740A">
              <w:rPr>
                <w:rFonts w:hint="eastAsia"/>
              </w:rPr>
              <w:t>Orkney Islands</w:t>
            </w:r>
          </w:p>
        </w:tc>
        <w:tc>
          <w:tcPr>
            <w:tcW w:w="758" w:type="pct"/>
            <w:shd w:val="clear" w:color="auto" w:fill="007D55"/>
          </w:tcPr>
          <w:p w14:paraId="2B5846B5" w14:textId="77777777" w:rsidR="002E7ED2" w:rsidRPr="0021740A" w:rsidRDefault="002E7ED2" w:rsidP="00BB3BA4">
            <w:pPr>
              <w:pStyle w:val="TABLEHEADINGWHITE"/>
            </w:pPr>
            <w:r w:rsidRPr="0021740A">
              <w:rPr>
                <w:rFonts w:hint="eastAsia"/>
              </w:rPr>
              <w:t>Shetland Islands</w:t>
            </w:r>
          </w:p>
        </w:tc>
        <w:tc>
          <w:tcPr>
            <w:tcW w:w="560" w:type="pct"/>
            <w:shd w:val="clear" w:color="auto" w:fill="007D55"/>
          </w:tcPr>
          <w:p w14:paraId="749D5F33" w14:textId="77777777" w:rsidR="002E7ED2" w:rsidRPr="0021740A" w:rsidRDefault="002E7ED2" w:rsidP="00BB3BA4">
            <w:pPr>
              <w:pStyle w:val="TABLEHEADINGWHITE"/>
            </w:pPr>
            <w:r w:rsidRPr="0021740A">
              <w:rPr>
                <w:rFonts w:hint="eastAsia"/>
              </w:rPr>
              <w:t>Scotland</w:t>
            </w:r>
          </w:p>
        </w:tc>
      </w:tr>
      <w:bookmarkEnd w:id="1360"/>
      <w:tr w:rsidR="00BB3BA4" w:rsidRPr="00814137" w14:paraId="1652D17E" w14:textId="77777777" w:rsidTr="00BB3BA4">
        <w:tc>
          <w:tcPr>
            <w:tcW w:w="735" w:type="pct"/>
          </w:tcPr>
          <w:p w14:paraId="1E7FC79E" w14:textId="77777777" w:rsidR="002E7ED2" w:rsidRPr="0021740A" w:rsidRDefault="002E7ED2" w:rsidP="00BB3BA4">
            <w:pPr>
              <w:pStyle w:val="STPR2TableBody"/>
            </w:pPr>
            <w:r w:rsidRPr="0021740A">
              <w:t>Population (June 2020)</w:t>
            </w:r>
          </w:p>
        </w:tc>
        <w:tc>
          <w:tcPr>
            <w:tcW w:w="451" w:type="pct"/>
          </w:tcPr>
          <w:p w14:paraId="2719AA9A" w14:textId="77777777" w:rsidR="002E7ED2" w:rsidRPr="0021740A" w:rsidRDefault="002E7ED2" w:rsidP="00BB3BA4">
            <w:pPr>
              <w:pStyle w:val="STPR2TableBody"/>
            </w:pPr>
            <w:r w:rsidRPr="0021740A">
              <w:t>85,430</w:t>
            </w:r>
          </w:p>
        </w:tc>
        <w:tc>
          <w:tcPr>
            <w:tcW w:w="580" w:type="pct"/>
          </w:tcPr>
          <w:p w14:paraId="1EB2A43F" w14:textId="77777777" w:rsidR="002E7ED2" w:rsidRPr="0021740A" w:rsidRDefault="002E7ED2" w:rsidP="00BB3BA4">
            <w:pPr>
              <w:pStyle w:val="STPR2TableBody"/>
            </w:pPr>
            <w:r w:rsidRPr="0021740A">
              <w:t>235,430</w:t>
            </w:r>
          </w:p>
        </w:tc>
        <w:tc>
          <w:tcPr>
            <w:tcW w:w="763" w:type="pct"/>
          </w:tcPr>
          <w:p w14:paraId="4653D79C" w14:textId="77777777" w:rsidR="002E7ED2" w:rsidRPr="0021740A" w:rsidRDefault="002E7ED2" w:rsidP="00BB3BA4">
            <w:pPr>
              <w:pStyle w:val="STPR2TableBody"/>
            </w:pPr>
            <w:r w:rsidRPr="0021740A">
              <w:t>26,500</w:t>
            </w:r>
          </w:p>
        </w:tc>
        <w:tc>
          <w:tcPr>
            <w:tcW w:w="621" w:type="pct"/>
          </w:tcPr>
          <w:p w14:paraId="19834388" w14:textId="77777777" w:rsidR="002E7ED2" w:rsidRPr="0021740A" w:rsidRDefault="002E7ED2" w:rsidP="00BB3BA4">
            <w:pPr>
              <w:pStyle w:val="STPR2TableBody"/>
            </w:pPr>
            <w:r w:rsidRPr="0021740A">
              <w:t>134,250</w:t>
            </w:r>
          </w:p>
        </w:tc>
        <w:tc>
          <w:tcPr>
            <w:tcW w:w="532" w:type="pct"/>
          </w:tcPr>
          <w:p w14:paraId="5BC2734C" w14:textId="77777777" w:rsidR="002E7ED2" w:rsidRPr="0021740A" w:rsidRDefault="002E7ED2" w:rsidP="00BB3BA4">
            <w:pPr>
              <w:pStyle w:val="STPR2TableBody"/>
            </w:pPr>
            <w:r w:rsidRPr="0021740A">
              <w:t>22,400</w:t>
            </w:r>
          </w:p>
        </w:tc>
        <w:tc>
          <w:tcPr>
            <w:tcW w:w="758" w:type="pct"/>
          </w:tcPr>
          <w:p w14:paraId="4DCE21F8" w14:textId="77777777" w:rsidR="002E7ED2" w:rsidRPr="0021740A" w:rsidRDefault="002E7ED2" w:rsidP="00BB3BA4">
            <w:pPr>
              <w:pStyle w:val="STPR2TableBody"/>
            </w:pPr>
            <w:r w:rsidRPr="0021740A">
              <w:t>22,870</w:t>
            </w:r>
          </w:p>
        </w:tc>
        <w:tc>
          <w:tcPr>
            <w:tcW w:w="560" w:type="pct"/>
          </w:tcPr>
          <w:p w14:paraId="77FA0E7E" w14:textId="77777777" w:rsidR="002E7ED2" w:rsidRPr="0021740A" w:rsidRDefault="002E7ED2" w:rsidP="00BB3BA4">
            <w:pPr>
              <w:pStyle w:val="STPR2TableBody"/>
            </w:pPr>
            <w:r w:rsidRPr="0021740A">
              <w:t>5,466,000</w:t>
            </w:r>
          </w:p>
        </w:tc>
      </w:tr>
      <w:tr w:rsidR="00BB3BA4" w:rsidRPr="00814137" w14:paraId="19BEE15A" w14:textId="77777777" w:rsidTr="00BB3BA4">
        <w:tc>
          <w:tcPr>
            <w:tcW w:w="735" w:type="pct"/>
          </w:tcPr>
          <w:p w14:paraId="70E999CF" w14:textId="77777777" w:rsidR="002E7ED2" w:rsidRPr="0021740A" w:rsidRDefault="002E7ED2" w:rsidP="00BB3BA4">
            <w:pPr>
              <w:pStyle w:val="STPR2TableBody"/>
            </w:pPr>
            <w:r w:rsidRPr="0021740A">
              <w:t>Population Growth (2019-2020)</w:t>
            </w:r>
          </w:p>
        </w:tc>
        <w:tc>
          <w:tcPr>
            <w:tcW w:w="451" w:type="pct"/>
            <w:vAlign w:val="center"/>
          </w:tcPr>
          <w:p w14:paraId="4CBE8CD7" w14:textId="673CE2E5" w:rsidR="002E7ED2" w:rsidRPr="0021740A" w:rsidRDefault="002E7ED2" w:rsidP="00BB3BA4">
            <w:pPr>
              <w:pStyle w:val="STPR2TableBody"/>
            </w:pPr>
            <w:r w:rsidRPr="0021740A">
              <w:t>-0.5%</w:t>
            </w:r>
          </w:p>
        </w:tc>
        <w:tc>
          <w:tcPr>
            <w:tcW w:w="580" w:type="pct"/>
            <w:vAlign w:val="center"/>
          </w:tcPr>
          <w:p w14:paraId="452DEAA6" w14:textId="2058DA9C" w:rsidR="002E7ED2" w:rsidRPr="0021740A" w:rsidRDefault="002E7ED2" w:rsidP="00BB3BA4">
            <w:pPr>
              <w:pStyle w:val="STPR2TableBody"/>
            </w:pPr>
            <w:r w:rsidRPr="0021740A">
              <w:t>-0.2%</w:t>
            </w:r>
          </w:p>
        </w:tc>
        <w:tc>
          <w:tcPr>
            <w:tcW w:w="763" w:type="pct"/>
            <w:vAlign w:val="center"/>
          </w:tcPr>
          <w:p w14:paraId="0D8FB448" w14:textId="76E0B137" w:rsidR="002E7ED2" w:rsidRPr="0021740A" w:rsidRDefault="002E7ED2" w:rsidP="00BB3BA4">
            <w:pPr>
              <w:pStyle w:val="STPR2TableBody"/>
            </w:pPr>
            <w:r w:rsidRPr="0021740A">
              <w:t>-0.8%</w:t>
            </w:r>
          </w:p>
        </w:tc>
        <w:tc>
          <w:tcPr>
            <w:tcW w:w="621" w:type="pct"/>
            <w:vAlign w:val="center"/>
          </w:tcPr>
          <w:p w14:paraId="5D03D6B1" w14:textId="5FC9EAD2" w:rsidR="002E7ED2" w:rsidRPr="0021740A" w:rsidRDefault="002E7ED2" w:rsidP="00BB3BA4">
            <w:pPr>
              <w:pStyle w:val="STPR2TableBody"/>
            </w:pPr>
            <w:r w:rsidRPr="0021740A">
              <w:t>-0.4%</w:t>
            </w:r>
          </w:p>
        </w:tc>
        <w:tc>
          <w:tcPr>
            <w:tcW w:w="532" w:type="pct"/>
            <w:vAlign w:val="center"/>
          </w:tcPr>
          <w:p w14:paraId="77502867" w14:textId="6F42BDE3" w:rsidR="002E7ED2" w:rsidRPr="0021740A" w:rsidRDefault="002E7ED2" w:rsidP="00BB3BA4">
            <w:pPr>
              <w:pStyle w:val="STPR2TableBody"/>
            </w:pPr>
            <w:r w:rsidRPr="0021740A">
              <w:t>+0.6%</w:t>
            </w:r>
          </w:p>
        </w:tc>
        <w:tc>
          <w:tcPr>
            <w:tcW w:w="758" w:type="pct"/>
            <w:vAlign w:val="center"/>
          </w:tcPr>
          <w:p w14:paraId="592AEB08" w14:textId="15AED9BE" w:rsidR="002E7ED2" w:rsidRPr="0021740A" w:rsidRDefault="002E7ED2" w:rsidP="00BB3BA4">
            <w:pPr>
              <w:pStyle w:val="STPR2TableBody"/>
            </w:pPr>
            <w:r w:rsidRPr="0021740A">
              <w:t>-0.2%</w:t>
            </w:r>
          </w:p>
        </w:tc>
        <w:tc>
          <w:tcPr>
            <w:tcW w:w="560" w:type="pct"/>
            <w:vAlign w:val="center"/>
          </w:tcPr>
          <w:p w14:paraId="5E87763C" w14:textId="77777777" w:rsidR="002E7ED2" w:rsidRPr="0021740A" w:rsidRDefault="002E7ED2" w:rsidP="00BB3BA4">
            <w:pPr>
              <w:pStyle w:val="STPR2TableBody"/>
            </w:pPr>
            <w:r w:rsidRPr="0021740A">
              <w:t>0.0%</w:t>
            </w:r>
          </w:p>
        </w:tc>
      </w:tr>
      <w:tr w:rsidR="00BB3BA4" w:rsidRPr="00814137" w14:paraId="3B273B7B" w14:textId="77777777" w:rsidTr="00BB3BA4">
        <w:tc>
          <w:tcPr>
            <w:tcW w:w="735" w:type="pct"/>
          </w:tcPr>
          <w:p w14:paraId="75B71187" w14:textId="77777777" w:rsidR="002E7ED2" w:rsidRPr="0021740A" w:rsidRDefault="002E7ED2" w:rsidP="00BB3BA4">
            <w:pPr>
              <w:pStyle w:val="STPR2TableBody"/>
            </w:pPr>
            <w:r w:rsidRPr="0021740A">
              <w:t>Net Migration (per 100,000) (2019-2020)</w:t>
            </w:r>
          </w:p>
        </w:tc>
        <w:tc>
          <w:tcPr>
            <w:tcW w:w="451" w:type="pct"/>
          </w:tcPr>
          <w:p w14:paraId="0B286AB9" w14:textId="19035E36" w:rsidR="002E7ED2" w:rsidRPr="0021740A" w:rsidRDefault="002E7ED2" w:rsidP="00BB3BA4">
            <w:pPr>
              <w:pStyle w:val="STPR2TableBody"/>
            </w:pPr>
            <w:r w:rsidRPr="0021740A">
              <w:t>-0.8</w:t>
            </w:r>
          </w:p>
        </w:tc>
        <w:tc>
          <w:tcPr>
            <w:tcW w:w="580" w:type="pct"/>
          </w:tcPr>
          <w:p w14:paraId="2892E64B" w14:textId="48F08138" w:rsidR="002E7ED2" w:rsidRPr="0021740A" w:rsidRDefault="002E7ED2" w:rsidP="00BB3BA4">
            <w:pPr>
              <w:pStyle w:val="STPR2TableBody"/>
            </w:pPr>
            <w:r w:rsidRPr="0021740A">
              <w:t>1.7</w:t>
            </w:r>
          </w:p>
        </w:tc>
        <w:tc>
          <w:tcPr>
            <w:tcW w:w="763" w:type="pct"/>
          </w:tcPr>
          <w:p w14:paraId="26998FBC" w14:textId="2CF1E1A9" w:rsidR="002E7ED2" w:rsidRPr="0021740A" w:rsidRDefault="002E7ED2" w:rsidP="00BB3BA4">
            <w:pPr>
              <w:pStyle w:val="STPR2TableBody"/>
            </w:pPr>
            <w:r w:rsidRPr="0021740A">
              <w:t>-1.5</w:t>
            </w:r>
          </w:p>
        </w:tc>
        <w:tc>
          <w:tcPr>
            <w:tcW w:w="621" w:type="pct"/>
          </w:tcPr>
          <w:p w14:paraId="6C2BD385" w14:textId="5C69EB55" w:rsidR="002E7ED2" w:rsidRPr="0021740A" w:rsidRDefault="002E7ED2" w:rsidP="00BB3BA4">
            <w:pPr>
              <w:pStyle w:val="STPR2TableBody"/>
            </w:pPr>
            <w:r w:rsidRPr="0021740A">
              <w:t>1.1</w:t>
            </w:r>
          </w:p>
        </w:tc>
        <w:tc>
          <w:tcPr>
            <w:tcW w:w="532" w:type="pct"/>
          </w:tcPr>
          <w:p w14:paraId="685E864E" w14:textId="59180638" w:rsidR="002E7ED2" w:rsidRPr="0021740A" w:rsidRDefault="002E7ED2" w:rsidP="00BB3BA4">
            <w:pPr>
              <w:pStyle w:val="STPR2TableBody"/>
            </w:pPr>
            <w:r w:rsidRPr="0021740A">
              <w:t>7.5</w:t>
            </w:r>
          </w:p>
        </w:tc>
        <w:tc>
          <w:tcPr>
            <w:tcW w:w="758" w:type="pct"/>
          </w:tcPr>
          <w:p w14:paraId="0D535B3F" w14:textId="433E9943" w:rsidR="002E7ED2" w:rsidRPr="0021740A" w:rsidRDefault="002E7ED2" w:rsidP="00BB3BA4">
            <w:pPr>
              <w:pStyle w:val="STPR2TableBody"/>
            </w:pPr>
            <w:r w:rsidRPr="0021740A">
              <w:t>-1.4</w:t>
            </w:r>
          </w:p>
        </w:tc>
        <w:tc>
          <w:tcPr>
            <w:tcW w:w="560" w:type="pct"/>
          </w:tcPr>
          <w:p w14:paraId="51E02B7F" w14:textId="77777777" w:rsidR="002E7ED2" w:rsidRPr="0021740A" w:rsidRDefault="002E7ED2" w:rsidP="00BB3BA4">
            <w:pPr>
              <w:pStyle w:val="STPR2TableBody"/>
            </w:pPr>
            <w:r w:rsidRPr="0021740A">
              <w:t>3.1</w:t>
            </w:r>
          </w:p>
        </w:tc>
      </w:tr>
      <w:tr w:rsidR="00BB3BA4" w:rsidRPr="00814137" w14:paraId="3EDCEECF" w14:textId="77777777" w:rsidTr="00BB3BA4">
        <w:tc>
          <w:tcPr>
            <w:tcW w:w="735" w:type="pct"/>
          </w:tcPr>
          <w:p w14:paraId="0D4A1B61" w14:textId="77777777" w:rsidR="002E7ED2" w:rsidRPr="0021740A" w:rsidRDefault="002E7ED2" w:rsidP="00BB3BA4">
            <w:pPr>
              <w:pStyle w:val="STPR2TableBody"/>
            </w:pPr>
            <w:r w:rsidRPr="0021740A">
              <w:t>Youth Population (16-24) (2020)</w:t>
            </w:r>
          </w:p>
        </w:tc>
        <w:tc>
          <w:tcPr>
            <w:tcW w:w="451" w:type="pct"/>
            <w:vAlign w:val="center"/>
          </w:tcPr>
          <w:p w14:paraId="6F08FF20" w14:textId="04BECFB6" w:rsidR="002E7ED2" w:rsidRPr="0021740A" w:rsidRDefault="002E7ED2" w:rsidP="00BB3BA4">
            <w:pPr>
              <w:pStyle w:val="STPR2TableBody"/>
            </w:pPr>
            <w:r w:rsidRPr="0021740A">
              <w:t>8,121 (9.5%)</w:t>
            </w:r>
          </w:p>
        </w:tc>
        <w:tc>
          <w:tcPr>
            <w:tcW w:w="580" w:type="pct"/>
            <w:vAlign w:val="center"/>
          </w:tcPr>
          <w:p w14:paraId="473052E1" w14:textId="714294E3" w:rsidR="002E7ED2" w:rsidRPr="0021740A" w:rsidRDefault="002E7ED2" w:rsidP="00BB3BA4">
            <w:pPr>
              <w:pStyle w:val="STPR2TableBody"/>
            </w:pPr>
            <w:r w:rsidRPr="0021740A">
              <w:t>20,937 (8.9%)</w:t>
            </w:r>
          </w:p>
        </w:tc>
        <w:tc>
          <w:tcPr>
            <w:tcW w:w="763" w:type="pct"/>
            <w:vAlign w:val="center"/>
          </w:tcPr>
          <w:p w14:paraId="23E85D14" w14:textId="764BDAA4" w:rsidR="002E7ED2" w:rsidRPr="0021740A" w:rsidRDefault="002E7ED2" w:rsidP="00BB3BA4">
            <w:pPr>
              <w:pStyle w:val="STPR2TableBody"/>
            </w:pPr>
            <w:r w:rsidRPr="0021740A">
              <w:t>2,087 (7.9%)</w:t>
            </w:r>
          </w:p>
        </w:tc>
        <w:tc>
          <w:tcPr>
            <w:tcW w:w="621" w:type="pct"/>
            <w:vAlign w:val="center"/>
          </w:tcPr>
          <w:p w14:paraId="24478BDA" w14:textId="1212479E" w:rsidR="002E7ED2" w:rsidRPr="0021740A" w:rsidRDefault="002E7ED2" w:rsidP="00BB3BA4">
            <w:pPr>
              <w:pStyle w:val="STPR2TableBody"/>
            </w:pPr>
            <w:r w:rsidRPr="0021740A">
              <w:t>13,130 (9.8%)</w:t>
            </w:r>
          </w:p>
        </w:tc>
        <w:tc>
          <w:tcPr>
            <w:tcW w:w="532" w:type="pct"/>
            <w:vAlign w:val="center"/>
          </w:tcPr>
          <w:p w14:paraId="67CCFDE3" w14:textId="0686953F" w:rsidR="002E7ED2" w:rsidRPr="0021740A" w:rsidRDefault="002E7ED2" w:rsidP="00BB3BA4">
            <w:pPr>
              <w:pStyle w:val="STPR2TableBody"/>
            </w:pPr>
            <w:r w:rsidRPr="0021740A">
              <w:t>1,793 (8%)</w:t>
            </w:r>
          </w:p>
        </w:tc>
        <w:tc>
          <w:tcPr>
            <w:tcW w:w="758" w:type="pct"/>
            <w:vAlign w:val="center"/>
          </w:tcPr>
          <w:p w14:paraId="3E34E98C" w14:textId="64321B0C" w:rsidR="002E7ED2" w:rsidRPr="0021740A" w:rsidRDefault="002E7ED2" w:rsidP="00BB3BA4">
            <w:pPr>
              <w:pStyle w:val="STPR2TableBody"/>
            </w:pPr>
            <w:r w:rsidRPr="0021740A">
              <w:t>2,068 (9%)</w:t>
            </w:r>
          </w:p>
        </w:tc>
        <w:tc>
          <w:tcPr>
            <w:tcW w:w="560" w:type="pct"/>
            <w:vAlign w:val="center"/>
          </w:tcPr>
          <w:p w14:paraId="0EF071E9" w14:textId="77777777" w:rsidR="002E7ED2" w:rsidRPr="0021740A" w:rsidRDefault="002E7ED2" w:rsidP="00BB3BA4">
            <w:pPr>
              <w:pStyle w:val="STPR2TableBody"/>
            </w:pPr>
            <w:r w:rsidRPr="0021740A">
              <w:t>566,882 (10.4%)</w:t>
            </w:r>
          </w:p>
        </w:tc>
      </w:tr>
      <w:tr w:rsidR="00BB3BA4" w:rsidRPr="00814137" w14:paraId="108E6F98" w14:textId="77777777" w:rsidTr="00BB3BA4">
        <w:tc>
          <w:tcPr>
            <w:tcW w:w="735" w:type="pct"/>
          </w:tcPr>
          <w:p w14:paraId="196F3CCA" w14:textId="77777777" w:rsidR="002E7ED2" w:rsidRPr="0021740A" w:rsidRDefault="002E7ED2" w:rsidP="00BB3BA4">
            <w:pPr>
              <w:pStyle w:val="STPR2TableBody"/>
            </w:pPr>
            <w:r w:rsidRPr="0021740A">
              <w:t>Older Working Age Population (45-64) (2020)</w:t>
            </w:r>
          </w:p>
        </w:tc>
        <w:tc>
          <w:tcPr>
            <w:tcW w:w="451" w:type="pct"/>
          </w:tcPr>
          <w:p w14:paraId="5B7BDF02" w14:textId="6D75D2FC" w:rsidR="002E7ED2" w:rsidRPr="0021740A" w:rsidRDefault="002E7ED2" w:rsidP="00BB3BA4">
            <w:pPr>
              <w:pStyle w:val="STPR2TableBody"/>
            </w:pPr>
            <w:r w:rsidRPr="0021740A">
              <w:t>25,648 (30%)</w:t>
            </w:r>
          </w:p>
        </w:tc>
        <w:tc>
          <w:tcPr>
            <w:tcW w:w="580" w:type="pct"/>
          </w:tcPr>
          <w:p w14:paraId="3A273076" w14:textId="2099D630" w:rsidR="002E7ED2" w:rsidRPr="0021740A" w:rsidRDefault="002E7ED2" w:rsidP="00BB3BA4">
            <w:pPr>
              <w:pStyle w:val="STPR2TableBody"/>
            </w:pPr>
            <w:r w:rsidRPr="0021740A">
              <w:t>69,194 (29.4%)</w:t>
            </w:r>
          </w:p>
        </w:tc>
        <w:tc>
          <w:tcPr>
            <w:tcW w:w="763" w:type="pct"/>
          </w:tcPr>
          <w:p w14:paraId="0C7AE574" w14:textId="40302152" w:rsidR="002E7ED2" w:rsidRPr="0021740A" w:rsidRDefault="002E7ED2" w:rsidP="00BB3BA4">
            <w:pPr>
              <w:pStyle w:val="STPR2TableBody"/>
            </w:pPr>
            <w:r w:rsidRPr="0021740A">
              <w:t>8,016 (30.3%)</w:t>
            </w:r>
          </w:p>
        </w:tc>
        <w:tc>
          <w:tcPr>
            <w:tcW w:w="621" w:type="pct"/>
          </w:tcPr>
          <w:p w14:paraId="61C14AA9" w14:textId="39CB073E" w:rsidR="002E7ED2" w:rsidRPr="0021740A" w:rsidRDefault="002E7ED2" w:rsidP="00BB3BA4">
            <w:pPr>
              <w:pStyle w:val="STPR2TableBody"/>
            </w:pPr>
            <w:r w:rsidRPr="0021740A">
              <w:t>39,262 (29.3%)</w:t>
            </w:r>
          </w:p>
        </w:tc>
        <w:tc>
          <w:tcPr>
            <w:tcW w:w="532" w:type="pct"/>
          </w:tcPr>
          <w:p w14:paraId="4F5A2616" w14:textId="362E95B2" w:rsidR="002E7ED2" w:rsidRPr="0021740A" w:rsidRDefault="002E7ED2" w:rsidP="00BB3BA4">
            <w:pPr>
              <w:pStyle w:val="STPR2TableBody"/>
            </w:pPr>
            <w:r w:rsidRPr="0021740A">
              <w:t>6,661 (29.7%)</w:t>
            </w:r>
          </w:p>
        </w:tc>
        <w:tc>
          <w:tcPr>
            <w:tcW w:w="758" w:type="pct"/>
          </w:tcPr>
          <w:p w14:paraId="5073FB06" w14:textId="6DA0CC4E" w:rsidR="002E7ED2" w:rsidRPr="0021740A" w:rsidRDefault="002E7ED2" w:rsidP="00BB3BA4">
            <w:pPr>
              <w:pStyle w:val="STPR2TableBody"/>
            </w:pPr>
            <w:r w:rsidRPr="0021740A">
              <w:t>6,483 (28.4%)</w:t>
            </w:r>
          </w:p>
        </w:tc>
        <w:tc>
          <w:tcPr>
            <w:tcW w:w="560" w:type="pct"/>
          </w:tcPr>
          <w:p w14:paraId="0C71F7A4" w14:textId="77777777" w:rsidR="002E7ED2" w:rsidRPr="0021740A" w:rsidRDefault="002E7ED2" w:rsidP="00BB3BA4">
            <w:pPr>
              <w:pStyle w:val="STPR2TableBody"/>
            </w:pPr>
            <w:r w:rsidRPr="0021740A">
              <w:t>1,494,950 (27.4%)</w:t>
            </w:r>
          </w:p>
        </w:tc>
      </w:tr>
      <w:tr w:rsidR="00BB3BA4" w:rsidRPr="00814137" w14:paraId="6FC3BA2D" w14:textId="77777777" w:rsidTr="00BB3BA4">
        <w:tc>
          <w:tcPr>
            <w:tcW w:w="735" w:type="pct"/>
          </w:tcPr>
          <w:p w14:paraId="301C7A3A" w14:textId="77777777" w:rsidR="002E7ED2" w:rsidRPr="0021740A" w:rsidRDefault="002E7ED2" w:rsidP="00BB3BA4">
            <w:pPr>
              <w:pStyle w:val="STPR2TableBody"/>
            </w:pPr>
            <w:r w:rsidRPr="0021740A">
              <w:t>Female Life Expectancy (2018-2020)</w:t>
            </w:r>
          </w:p>
        </w:tc>
        <w:tc>
          <w:tcPr>
            <w:tcW w:w="451" w:type="pct"/>
          </w:tcPr>
          <w:p w14:paraId="4F89D604" w14:textId="16A06F4D" w:rsidR="002E7ED2" w:rsidRPr="0021740A" w:rsidRDefault="002E7ED2" w:rsidP="00BB3BA4">
            <w:pPr>
              <w:pStyle w:val="STPR2TableBody"/>
            </w:pPr>
            <w:r w:rsidRPr="0021740A">
              <w:t>81.6</w:t>
            </w:r>
          </w:p>
        </w:tc>
        <w:tc>
          <w:tcPr>
            <w:tcW w:w="580" w:type="pct"/>
          </w:tcPr>
          <w:p w14:paraId="75E43436" w14:textId="12E17D95" w:rsidR="002E7ED2" w:rsidRPr="0021740A" w:rsidRDefault="002E7ED2" w:rsidP="00BB3BA4">
            <w:pPr>
              <w:pStyle w:val="STPR2TableBody"/>
            </w:pPr>
            <w:r w:rsidRPr="0021740A">
              <w:t>81.9</w:t>
            </w:r>
          </w:p>
        </w:tc>
        <w:tc>
          <w:tcPr>
            <w:tcW w:w="763" w:type="pct"/>
          </w:tcPr>
          <w:p w14:paraId="4EB3F6E0" w14:textId="39C895A5" w:rsidR="002E7ED2" w:rsidRPr="0021740A" w:rsidRDefault="002E7ED2" w:rsidP="00BB3BA4">
            <w:pPr>
              <w:pStyle w:val="STPR2TableBody"/>
            </w:pPr>
            <w:r w:rsidRPr="0021740A">
              <w:t>83</w:t>
            </w:r>
          </w:p>
        </w:tc>
        <w:tc>
          <w:tcPr>
            <w:tcW w:w="621" w:type="pct"/>
          </w:tcPr>
          <w:p w14:paraId="6912C192" w14:textId="298EC06F" w:rsidR="002E7ED2" w:rsidRPr="0021740A" w:rsidRDefault="002E7ED2" w:rsidP="00BB3BA4">
            <w:pPr>
              <w:pStyle w:val="STPR2TableBody"/>
            </w:pPr>
            <w:r w:rsidRPr="0021740A">
              <w:t>80.1</w:t>
            </w:r>
          </w:p>
        </w:tc>
        <w:tc>
          <w:tcPr>
            <w:tcW w:w="532" w:type="pct"/>
          </w:tcPr>
          <w:p w14:paraId="0F98E1D9" w14:textId="1A2E271F" w:rsidR="002E7ED2" w:rsidRPr="0021740A" w:rsidRDefault="002E7ED2" w:rsidP="00BB3BA4">
            <w:pPr>
              <w:pStyle w:val="STPR2TableBody"/>
            </w:pPr>
            <w:r w:rsidRPr="0021740A">
              <w:t>83.5</w:t>
            </w:r>
          </w:p>
        </w:tc>
        <w:tc>
          <w:tcPr>
            <w:tcW w:w="758" w:type="pct"/>
          </w:tcPr>
          <w:p w14:paraId="771CF335" w14:textId="40569B42" w:rsidR="002E7ED2" w:rsidRPr="0021740A" w:rsidRDefault="002E7ED2" w:rsidP="00BB3BA4">
            <w:pPr>
              <w:pStyle w:val="STPR2TableBody"/>
            </w:pPr>
            <w:r w:rsidRPr="0021740A">
              <w:t>83.2</w:t>
            </w:r>
          </w:p>
        </w:tc>
        <w:tc>
          <w:tcPr>
            <w:tcW w:w="560" w:type="pct"/>
          </w:tcPr>
          <w:p w14:paraId="2CAB2CFE" w14:textId="77777777" w:rsidR="002E7ED2" w:rsidRPr="0021740A" w:rsidRDefault="002E7ED2" w:rsidP="00BB3BA4">
            <w:pPr>
              <w:pStyle w:val="STPR2TableBody"/>
            </w:pPr>
            <w:r w:rsidRPr="0021740A">
              <w:t>81</w:t>
            </w:r>
          </w:p>
        </w:tc>
      </w:tr>
      <w:tr w:rsidR="00BB3BA4" w:rsidRPr="00814137" w14:paraId="3240AE59" w14:textId="77777777" w:rsidTr="00BB3BA4">
        <w:tc>
          <w:tcPr>
            <w:tcW w:w="735" w:type="pct"/>
          </w:tcPr>
          <w:p w14:paraId="512DB835" w14:textId="77777777" w:rsidR="002E7ED2" w:rsidRPr="0021740A" w:rsidRDefault="002E7ED2" w:rsidP="00BB3BA4">
            <w:pPr>
              <w:pStyle w:val="STPR2TableBody"/>
            </w:pPr>
            <w:r w:rsidRPr="0021740A">
              <w:t>Male Life Expectancy (2018-2020)</w:t>
            </w:r>
          </w:p>
        </w:tc>
        <w:tc>
          <w:tcPr>
            <w:tcW w:w="451" w:type="pct"/>
          </w:tcPr>
          <w:p w14:paraId="6200A2A4" w14:textId="6DF0E851" w:rsidR="002E7ED2" w:rsidRPr="0021740A" w:rsidRDefault="002E7ED2" w:rsidP="00BB3BA4">
            <w:pPr>
              <w:pStyle w:val="STPR2TableBody"/>
            </w:pPr>
            <w:r w:rsidRPr="0021740A">
              <w:t>78</w:t>
            </w:r>
          </w:p>
        </w:tc>
        <w:tc>
          <w:tcPr>
            <w:tcW w:w="580" w:type="pct"/>
          </w:tcPr>
          <w:p w14:paraId="4D6C622B" w14:textId="71E72841" w:rsidR="002E7ED2" w:rsidRPr="0021740A" w:rsidRDefault="002E7ED2" w:rsidP="00BB3BA4">
            <w:pPr>
              <w:pStyle w:val="STPR2TableBody"/>
            </w:pPr>
            <w:r w:rsidRPr="0021740A">
              <w:t>77.5</w:t>
            </w:r>
          </w:p>
        </w:tc>
        <w:tc>
          <w:tcPr>
            <w:tcW w:w="763" w:type="pct"/>
          </w:tcPr>
          <w:p w14:paraId="51FED75F" w14:textId="3D6FC38B" w:rsidR="002E7ED2" w:rsidRPr="0021740A" w:rsidRDefault="002E7ED2" w:rsidP="00BB3BA4">
            <w:pPr>
              <w:pStyle w:val="STPR2TableBody"/>
            </w:pPr>
            <w:r w:rsidRPr="0021740A">
              <w:t>78.6</w:t>
            </w:r>
          </w:p>
        </w:tc>
        <w:tc>
          <w:tcPr>
            <w:tcW w:w="621" w:type="pct"/>
          </w:tcPr>
          <w:p w14:paraId="389949DA" w14:textId="32C72714" w:rsidR="002E7ED2" w:rsidRPr="0021740A" w:rsidRDefault="002E7ED2" w:rsidP="00BB3BA4">
            <w:pPr>
              <w:pStyle w:val="STPR2TableBody"/>
            </w:pPr>
            <w:r w:rsidRPr="0021740A">
              <w:t>75.3</w:t>
            </w:r>
          </w:p>
        </w:tc>
        <w:tc>
          <w:tcPr>
            <w:tcW w:w="532" w:type="pct"/>
          </w:tcPr>
          <w:p w14:paraId="6BB31113" w14:textId="48EF3474" w:rsidR="002E7ED2" w:rsidRPr="0021740A" w:rsidRDefault="002E7ED2" w:rsidP="00BB3BA4">
            <w:pPr>
              <w:pStyle w:val="STPR2TableBody"/>
            </w:pPr>
            <w:r w:rsidRPr="0021740A">
              <w:t>80.1</w:t>
            </w:r>
          </w:p>
        </w:tc>
        <w:tc>
          <w:tcPr>
            <w:tcW w:w="758" w:type="pct"/>
          </w:tcPr>
          <w:p w14:paraId="4FA300C9" w14:textId="1DC73377" w:rsidR="002E7ED2" w:rsidRPr="0021740A" w:rsidRDefault="002E7ED2" w:rsidP="00BB3BA4">
            <w:pPr>
              <w:pStyle w:val="STPR2TableBody"/>
            </w:pPr>
            <w:r w:rsidRPr="0021740A">
              <w:t>80.6</w:t>
            </w:r>
          </w:p>
        </w:tc>
        <w:tc>
          <w:tcPr>
            <w:tcW w:w="560" w:type="pct"/>
          </w:tcPr>
          <w:p w14:paraId="3B61F4AA" w14:textId="77777777" w:rsidR="002E7ED2" w:rsidRPr="0021740A" w:rsidRDefault="002E7ED2" w:rsidP="00BB3BA4">
            <w:pPr>
              <w:pStyle w:val="STPR2TableBody"/>
            </w:pPr>
            <w:r w:rsidRPr="0021740A">
              <w:t>76.8</w:t>
            </w:r>
          </w:p>
        </w:tc>
      </w:tr>
      <w:tr w:rsidR="00BB3BA4" w:rsidRPr="00814137" w14:paraId="55068E51" w14:textId="77777777" w:rsidTr="00BB3BA4">
        <w:tc>
          <w:tcPr>
            <w:tcW w:w="735" w:type="pct"/>
          </w:tcPr>
          <w:p w14:paraId="233833BC" w14:textId="77777777" w:rsidR="002E7ED2" w:rsidRPr="0021740A" w:rsidRDefault="002E7ED2" w:rsidP="00156EC4">
            <w:pPr>
              <w:pStyle w:val="Tabletext"/>
              <w:rPr>
                <w:rFonts w:ascii="Arial" w:hAnsi="Arial" w:cs="Arial"/>
                <w:sz w:val="24"/>
                <w:szCs w:val="24"/>
              </w:rPr>
            </w:pPr>
            <w:r w:rsidRPr="0021740A">
              <w:rPr>
                <w:rFonts w:ascii="Arial" w:hAnsi="Arial" w:cs="Arial"/>
                <w:sz w:val="24"/>
                <w:szCs w:val="24"/>
              </w:rPr>
              <w:t xml:space="preserve">Gross Annual Pay (2020) </w:t>
            </w:r>
          </w:p>
        </w:tc>
        <w:tc>
          <w:tcPr>
            <w:tcW w:w="451" w:type="pct"/>
          </w:tcPr>
          <w:p w14:paraId="3E256C8B" w14:textId="00C49328" w:rsidR="002E7ED2" w:rsidRPr="0021740A" w:rsidRDefault="002E7ED2" w:rsidP="00156EC4">
            <w:pPr>
              <w:pStyle w:val="Tabletext"/>
              <w:tabs>
                <w:tab w:val="left" w:pos="870"/>
              </w:tabs>
              <w:spacing w:before="0" w:after="0"/>
              <w:rPr>
                <w:rFonts w:ascii="Arial" w:hAnsi="Arial" w:cs="Arial"/>
                <w:sz w:val="24"/>
                <w:szCs w:val="24"/>
              </w:rPr>
            </w:pPr>
            <w:r w:rsidRPr="0021740A">
              <w:rPr>
                <w:rFonts w:ascii="Arial" w:hAnsi="Arial" w:cs="Arial"/>
                <w:sz w:val="24"/>
                <w:szCs w:val="24"/>
              </w:rPr>
              <w:t>£26,217</w:t>
            </w:r>
          </w:p>
        </w:tc>
        <w:tc>
          <w:tcPr>
            <w:tcW w:w="580" w:type="pct"/>
          </w:tcPr>
          <w:p w14:paraId="3CC1E1A5" w14:textId="1F7E2F43" w:rsidR="002E7ED2" w:rsidRPr="0021740A" w:rsidRDefault="002E7ED2" w:rsidP="00156EC4">
            <w:pPr>
              <w:pStyle w:val="Tabletext"/>
              <w:tabs>
                <w:tab w:val="left" w:pos="870"/>
              </w:tabs>
              <w:spacing w:before="0" w:after="0"/>
              <w:rPr>
                <w:rFonts w:ascii="Arial" w:hAnsi="Arial" w:cs="Arial"/>
                <w:sz w:val="24"/>
                <w:szCs w:val="24"/>
              </w:rPr>
            </w:pPr>
            <w:r w:rsidRPr="0021740A">
              <w:rPr>
                <w:rFonts w:ascii="Arial" w:hAnsi="Arial" w:cs="Arial"/>
                <w:sz w:val="24"/>
                <w:szCs w:val="24"/>
              </w:rPr>
              <w:t>£27,474</w:t>
            </w:r>
          </w:p>
        </w:tc>
        <w:tc>
          <w:tcPr>
            <w:tcW w:w="763" w:type="pct"/>
          </w:tcPr>
          <w:p w14:paraId="74FA45EA" w14:textId="4B268B47" w:rsidR="002E7ED2" w:rsidRPr="0021740A" w:rsidRDefault="002E7ED2" w:rsidP="00156EC4">
            <w:pPr>
              <w:pStyle w:val="Tabletext"/>
              <w:tabs>
                <w:tab w:val="left" w:pos="870"/>
              </w:tabs>
              <w:spacing w:before="0" w:after="0"/>
              <w:rPr>
                <w:rFonts w:ascii="Arial" w:hAnsi="Arial" w:cs="Arial"/>
                <w:sz w:val="24"/>
                <w:szCs w:val="24"/>
              </w:rPr>
            </w:pPr>
            <w:r w:rsidRPr="0021740A">
              <w:rPr>
                <w:rFonts w:ascii="Arial" w:hAnsi="Arial" w:cs="Arial"/>
                <w:sz w:val="24"/>
                <w:szCs w:val="24"/>
              </w:rPr>
              <w:t>£26,156</w:t>
            </w:r>
          </w:p>
        </w:tc>
        <w:tc>
          <w:tcPr>
            <w:tcW w:w="621" w:type="pct"/>
          </w:tcPr>
          <w:p w14:paraId="40590D15" w14:textId="186B980E" w:rsidR="002E7ED2" w:rsidRPr="0021740A" w:rsidRDefault="002E7ED2" w:rsidP="00156EC4">
            <w:pPr>
              <w:pStyle w:val="Tabletext"/>
              <w:tabs>
                <w:tab w:val="left" w:pos="870"/>
              </w:tabs>
              <w:spacing w:before="0" w:after="0"/>
              <w:rPr>
                <w:rFonts w:ascii="Arial" w:hAnsi="Arial" w:cs="Arial"/>
                <w:sz w:val="24"/>
                <w:szCs w:val="24"/>
              </w:rPr>
            </w:pPr>
            <w:r w:rsidRPr="0021740A">
              <w:rPr>
                <w:rFonts w:ascii="Arial" w:hAnsi="Arial" w:cs="Arial"/>
                <w:sz w:val="24"/>
                <w:szCs w:val="24"/>
              </w:rPr>
              <w:t>£28,534</w:t>
            </w:r>
          </w:p>
        </w:tc>
        <w:tc>
          <w:tcPr>
            <w:tcW w:w="532" w:type="pct"/>
          </w:tcPr>
          <w:p w14:paraId="3357A7D6" w14:textId="26B06C26" w:rsidR="002E7ED2" w:rsidRPr="0021740A" w:rsidRDefault="002E7ED2" w:rsidP="00156EC4">
            <w:pPr>
              <w:pStyle w:val="Tabletext"/>
              <w:tabs>
                <w:tab w:val="left" w:pos="870"/>
              </w:tabs>
              <w:spacing w:before="0" w:after="0"/>
              <w:rPr>
                <w:rFonts w:ascii="Arial" w:hAnsi="Arial" w:cs="Arial"/>
                <w:sz w:val="24"/>
                <w:szCs w:val="24"/>
              </w:rPr>
            </w:pPr>
            <w:r w:rsidRPr="0021740A">
              <w:rPr>
                <w:rFonts w:ascii="Arial" w:hAnsi="Arial" w:cs="Arial"/>
                <w:sz w:val="24"/>
                <w:szCs w:val="24"/>
              </w:rPr>
              <w:t>£25,764</w:t>
            </w:r>
          </w:p>
        </w:tc>
        <w:tc>
          <w:tcPr>
            <w:tcW w:w="758" w:type="pct"/>
          </w:tcPr>
          <w:p w14:paraId="44CE81FA" w14:textId="62DF37FA" w:rsidR="002E7ED2" w:rsidRPr="0021740A" w:rsidRDefault="002E7ED2" w:rsidP="00156EC4">
            <w:pPr>
              <w:pStyle w:val="Tabletext"/>
              <w:tabs>
                <w:tab w:val="left" w:pos="870"/>
              </w:tabs>
              <w:spacing w:before="0" w:after="0"/>
              <w:rPr>
                <w:rFonts w:ascii="Arial" w:hAnsi="Arial" w:cs="Arial"/>
                <w:sz w:val="24"/>
                <w:szCs w:val="24"/>
              </w:rPr>
            </w:pPr>
            <w:r w:rsidRPr="0021740A">
              <w:rPr>
                <w:rFonts w:ascii="Arial" w:hAnsi="Arial" w:cs="Arial"/>
                <w:sz w:val="24"/>
                <w:szCs w:val="24"/>
              </w:rPr>
              <w:t>£27,871</w:t>
            </w:r>
          </w:p>
        </w:tc>
        <w:tc>
          <w:tcPr>
            <w:tcW w:w="560" w:type="pct"/>
          </w:tcPr>
          <w:p w14:paraId="415D275E" w14:textId="77777777" w:rsidR="002E7ED2" w:rsidRPr="0021740A" w:rsidRDefault="002E7ED2" w:rsidP="00156EC4">
            <w:pPr>
              <w:pStyle w:val="Tabletext"/>
              <w:tabs>
                <w:tab w:val="left" w:pos="870"/>
              </w:tabs>
              <w:spacing w:before="0" w:after="0"/>
              <w:rPr>
                <w:rFonts w:ascii="Arial" w:hAnsi="Arial" w:cs="Arial"/>
                <w:sz w:val="24"/>
                <w:szCs w:val="24"/>
              </w:rPr>
            </w:pPr>
            <w:r w:rsidRPr="0021740A">
              <w:rPr>
                <w:rFonts w:ascii="Arial" w:hAnsi="Arial" w:cs="Arial"/>
                <w:sz w:val="24"/>
                <w:szCs w:val="24"/>
              </w:rPr>
              <w:t>£30,097</w:t>
            </w:r>
          </w:p>
        </w:tc>
      </w:tr>
    </w:tbl>
    <w:p w14:paraId="584B1A17" w14:textId="77777777" w:rsidR="00BB3BA4" w:rsidRDefault="00BB3BA4" w:rsidP="008828FD">
      <w:pPr>
        <w:pStyle w:val="Tabletext"/>
        <w:sectPr w:rsidR="00BB3BA4" w:rsidSect="00BB3BA4">
          <w:headerReference w:type="default" r:id="rId25"/>
          <w:footerReference w:type="default" r:id="rId26"/>
          <w:pgSz w:w="16838" w:h="11906" w:orient="landscape" w:code="9"/>
          <w:pgMar w:top="1138" w:right="1699" w:bottom="1138" w:left="1138" w:header="454" w:footer="567" w:gutter="0"/>
          <w:cols w:space="720"/>
          <w:noEndnote/>
          <w:docGrid w:linePitch="299"/>
        </w:sectPr>
      </w:pPr>
    </w:p>
    <w:p w14:paraId="66C9087B" w14:textId="495C2EA4" w:rsidR="00BB3BA4" w:rsidRDefault="00467E79" w:rsidP="00467E79">
      <w:pPr>
        <w:pStyle w:val="STPR2TableBody"/>
        <w:rPr>
          <w:i/>
          <w:iCs/>
          <w:color w:val="auto"/>
        </w:rPr>
        <w:sectPr w:rsidR="00BB3BA4" w:rsidSect="00BB3BA4">
          <w:headerReference w:type="default" r:id="rId27"/>
          <w:footerReference w:type="default" r:id="rId28"/>
          <w:pgSz w:w="11906" w:h="16838" w:code="9"/>
          <w:pgMar w:top="1699" w:right="1138" w:bottom="1138" w:left="1138" w:header="454" w:footer="567" w:gutter="0"/>
          <w:cols w:space="720"/>
          <w:noEndnote/>
          <w:docGrid w:linePitch="299"/>
        </w:sectPr>
      </w:pPr>
      <w:r w:rsidRPr="00467E79">
        <w:rPr>
          <w:rStyle w:val="STPR2BodyTextChar"/>
          <w:rFonts w:eastAsiaTheme="minorEastAsia"/>
        </w:rPr>
        <w:lastRenderedPageBreak/>
        <w:fldChar w:fldCharType="begin"/>
      </w:r>
      <w:r w:rsidRPr="00467E79">
        <w:rPr>
          <w:rStyle w:val="STPR2BodyTextChar"/>
          <w:rFonts w:eastAsiaTheme="minorEastAsia"/>
        </w:rPr>
        <w:instrText xml:space="preserve"> REF _Ref121217903 \h  \* MERGEFORMAT </w:instrText>
      </w:r>
      <w:r w:rsidRPr="00467E79">
        <w:rPr>
          <w:rStyle w:val="STPR2BodyTextChar"/>
          <w:rFonts w:eastAsiaTheme="minorEastAsia"/>
        </w:rPr>
      </w:r>
      <w:r w:rsidRPr="00467E79">
        <w:rPr>
          <w:rStyle w:val="STPR2BodyTextChar"/>
          <w:rFonts w:eastAsiaTheme="minorEastAsia"/>
        </w:rPr>
        <w:fldChar w:fldCharType="separate"/>
      </w:r>
      <w:r w:rsidR="00B71F51" w:rsidRPr="00B71F51">
        <w:rPr>
          <w:rStyle w:val="STPR2BodyTextChar"/>
          <w:rFonts w:eastAsiaTheme="minorEastAsia"/>
        </w:rPr>
        <w:t>Table 2</w:t>
      </w:r>
      <w:r w:rsidRPr="00467E79">
        <w:rPr>
          <w:rStyle w:val="STPR2BodyTextChar"/>
          <w:rFonts w:eastAsiaTheme="minorEastAsia"/>
        </w:rPr>
        <w:fldChar w:fldCharType="end"/>
      </w:r>
      <w:r w:rsidR="006355B7" w:rsidRPr="00467E79">
        <w:rPr>
          <w:rStyle w:val="STPR2BodyTextChar"/>
          <w:rFonts w:eastAsiaTheme="minorEastAsia"/>
        </w:rPr>
        <w:t xml:space="preserve"> </w:t>
      </w:r>
      <w:r w:rsidR="004D4998" w:rsidRPr="00467E79">
        <w:rPr>
          <w:rStyle w:val="STPR2BodyTextChar"/>
          <w:rFonts w:eastAsiaTheme="minorEastAsia"/>
        </w:rPr>
        <w:t xml:space="preserve">below therefore sets out a profile, with relevant </w:t>
      </w:r>
      <w:r w:rsidR="006355B7" w:rsidRPr="00467E79">
        <w:rPr>
          <w:rStyle w:val="STPR2BodyTextChar"/>
          <w:rFonts w:eastAsiaTheme="minorEastAsia"/>
        </w:rPr>
        <w:t xml:space="preserve">transport </w:t>
      </w:r>
      <w:r w:rsidR="004D4998" w:rsidRPr="00467E79">
        <w:rPr>
          <w:rStyle w:val="STPR2BodyTextChar"/>
          <w:rFonts w:eastAsiaTheme="minorEastAsia"/>
        </w:rPr>
        <w:t>indicators, for each of the local authority areas that ha</w:t>
      </w:r>
      <w:r w:rsidR="000B309E" w:rsidRPr="00467E79">
        <w:rPr>
          <w:rStyle w:val="STPR2BodyTextChar"/>
          <w:rFonts w:eastAsiaTheme="minorEastAsia"/>
        </w:rPr>
        <w:t>ve</w:t>
      </w:r>
      <w:r w:rsidR="004D4998" w:rsidRPr="00467E79">
        <w:rPr>
          <w:rStyle w:val="STPR2BodyTextChar"/>
          <w:rFonts w:eastAsiaTheme="minorEastAsia"/>
        </w:rPr>
        <w:t xml:space="preserve"> island communities in order to provide a high-level comparison with the national Scottish figures</w:t>
      </w:r>
      <w:r w:rsidR="004D4998" w:rsidRPr="0021740A">
        <w:rPr>
          <w:color w:val="auto"/>
        </w:rPr>
        <w:t>.</w:t>
      </w:r>
    </w:p>
    <w:p w14:paraId="490B0F83" w14:textId="295F450D" w:rsidR="000C00D0" w:rsidRPr="0021740A" w:rsidRDefault="00CC289D" w:rsidP="00BB3BA4">
      <w:pPr>
        <w:pStyle w:val="STPR2Caption"/>
      </w:pPr>
      <w:bookmarkStart w:id="1361" w:name="_Ref120095676"/>
      <w:bookmarkStart w:id="1362" w:name="_Ref121217903"/>
      <w:bookmarkStart w:id="1363" w:name="_Toc121213962"/>
      <w:r w:rsidRPr="0021740A">
        <w:lastRenderedPageBreak/>
        <w:t>Table</w:t>
      </w:r>
      <w:bookmarkEnd w:id="1361"/>
      <w:r w:rsidRPr="0021740A">
        <w:t xml:space="preserve"> </w:t>
      </w:r>
      <w:r w:rsidR="00293A74">
        <w:fldChar w:fldCharType="begin"/>
      </w:r>
      <w:r w:rsidR="00293A74">
        <w:instrText xml:space="preserve"> SEQ Table \* ARABIC </w:instrText>
      </w:r>
      <w:r w:rsidR="00293A74">
        <w:fldChar w:fldCharType="separate"/>
      </w:r>
      <w:r w:rsidR="00B71F51">
        <w:rPr>
          <w:noProof/>
        </w:rPr>
        <w:t>2</w:t>
      </w:r>
      <w:r w:rsidR="00293A74">
        <w:rPr>
          <w:noProof/>
        </w:rPr>
        <w:fldChar w:fldCharType="end"/>
      </w:r>
      <w:bookmarkEnd w:id="1362"/>
      <w:r w:rsidRPr="0021740A">
        <w:t xml:space="preserve"> </w:t>
      </w:r>
      <w:r w:rsidR="00BB3BA4">
        <w:t>–</w:t>
      </w:r>
      <w:r w:rsidR="000C00D0" w:rsidRPr="0021740A">
        <w:t xml:space="preserve"> Transport Indicators by Local Authority</w:t>
      </w:r>
      <w:bookmarkEnd w:id="1363"/>
    </w:p>
    <w:tbl>
      <w:tblPr>
        <w:tblStyle w:val="Style1"/>
        <w:tblW w:w="5000" w:type="pct"/>
        <w:tblLook w:val="04A0" w:firstRow="1" w:lastRow="0" w:firstColumn="1" w:lastColumn="0" w:noHBand="0" w:noVBand="1"/>
      </w:tblPr>
      <w:tblGrid>
        <w:gridCol w:w="2310"/>
        <w:gridCol w:w="1352"/>
        <w:gridCol w:w="1483"/>
        <w:gridCol w:w="2123"/>
        <w:gridCol w:w="1676"/>
        <w:gridCol w:w="1492"/>
        <w:gridCol w:w="1676"/>
        <w:gridCol w:w="1859"/>
      </w:tblGrid>
      <w:tr w:rsidR="00BB3BA4" w:rsidRPr="00814137" w14:paraId="484F5C06" w14:textId="77777777" w:rsidTr="00BB3BA4">
        <w:trPr>
          <w:cnfStyle w:val="100000000000" w:firstRow="1" w:lastRow="0" w:firstColumn="0" w:lastColumn="0" w:oddVBand="0" w:evenVBand="0" w:oddHBand="0" w:evenHBand="0" w:firstRowFirstColumn="0" w:firstRowLastColumn="0" w:lastRowFirstColumn="0" w:lastRowLastColumn="0"/>
          <w:tblHeader/>
        </w:trPr>
        <w:tc>
          <w:tcPr>
            <w:tcW w:w="829" w:type="pct"/>
            <w:shd w:val="clear" w:color="auto" w:fill="007D55"/>
          </w:tcPr>
          <w:p w14:paraId="59FA345D" w14:textId="77777777" w:rsidR="009D7212" w:rsidRPr="0021740A" w:rsidRDefault="009D7212" w:rsidP="00BB3BA4">
            <w:pPr>
              <w:pStyle w:val="TABLEHEADINGWHITE"/>
            </w:pPr>
            <w:r w:rsidRPr="0021740A">
              <w:rPr>
                <w:rFonts w:hint="eastAsia"/>
              </w:rPr>
              <w:t>Transport Indicator</w:t>
            </w:r>
          </w:p>
        </w:tc>
        <w:tc>
          <w:tcPr>
            <w:tcW w:w="486" w:type="pct"/>
            <w:shd w:val="clear" w:color="auto" w:fill="007D55"/>
          </w:tcPr>
          <w:p w14:paraId="6EB7B2B7" w14:textId="77777777" w:rsidR="009D7212" w:rsidRPr="0021740A" w:rsidRDefault="009D7212" w:rsidP="00BB3BA4">
            <w:pPr>
              <w:pStyle w:val="TABLEHEADINGWHITE"/>
            </w:pPr>
            <w:r w:rsidRPr="0021740A">
              <w:rPr>
                <w:rFonts w:hint="eastAsia"/>
              </w:rPr>
              <w:t>Argyll &amp; Bute</w:t>
            </w:r>
          </w:p>
        </w:tc>
        <w:tc>
          <w:tcPr>
            <w:tcW w:w="516" w:type="pct"/>
            <w:shd w:val="clear" w:color="auto" w:fill="007D55"/>
          </w:tcPr>
          <w:p w14:paraId="18501C01" w14:textId="77777777" w:rsidR="009D7212" w:rsidRPr="0021740A" w:rsidRDefault="009D7212" w:rsidP="00BB3BA4">
            <w:pPr>
              <w:pStyle w:val="TABLEHEADINGWHITE"/>
            </w:pPr>
            <w:r w:rsidRPr="0021740A">
              <w:rPr>
                <w:rFonts w:hint="eastAsia"/>
              </w:rPr>
              <w:t>Highland</w:t>
            </w:r>
          </w:p>
        </w:tc>
        <w:tc>
          <w:tcPr>
            <w:tcW w:w="762" w:type="pct"/>
            <w:shd w:val="clear" w:color="auto" w:fill="007D55"/>
          </w:tcPr>
          <w:p w14:paraId="544F2036" w14:textId="77777777" w:rsidR="009D7212" w:rsidRPr="0021740A" w:rsidRDefault="009D7212" w:rsidP="00BB3BA4">
            <w:pPr>
              <w:pStyle w:val="TABLEHEADINGWHITE"/>
            </w:pPr>
            <w:r w:rsidRPr="0021740A">
              <w:rPr>
                <w:rFonts w:hint="eastAsia"/>
              </w:rPr>
              <w:t>Na h-Eileanan Siar</w:t>
            </w:r>
          </w:p>
        </w:tc>
        <w:tc>
          <w:tcPr>
            <w:tcW w:w="602" w:type="pct"/>
            <w:shd w:val="clear" w:color="auto" w:fill="007D55"/>
          </w:tcPr>
          <w:p w14:paraId="7A93AD40" w14:textId="77777777" w:rsidR="009D7212" w:rsidRPr="0021740A" w:rsidRDefault="009D7212" w:rsidP="00BB3BA4">
            <w:pPr>
              <w:pStyle w:val="TABLEHEADINGWHITE"/>
            </w:pPr>
            <w:r w:rsidRPr="0021740A">
              <w:rPr>
                <w:rFonts w:hint="eastAsia"/>
              </w:rPr>
              <w:t>North Ayrshire</w:t>
            </w:r>
          </w:p>
        </w:tc>
        <w:tc>
          <w:tcPr>
            <w:tcW w:w="536" w:type="pct"/>
            <w:shd w:val="clear" w:color="auto" w:fill="007D55"/>
          </w:tcPr>
          <w:p w14:paraId="0E6A7733" w14:textId="77777777" w:rsidR="009D7212" w:rsidRPr="0021740A" w:rsidRDefault="009D7212" w:rsidP="00BB3BA4">
            <w:pPr>
              <w:pStyle w:val="TABLEHEADINGWHITE"/>
            </w:pPr>
            <w:r w:rsidRPr="0021740A">
              <w:rPr>
                <w:rFonts w:hint="eastAsia"/>
              </w:rPr>
              <w:t>Orkney Islands</w:t>
            </w:r>
          </w:p>
        </w:tc>
        <w:tc>
          <w:tcPr>
            <w:tcW w:w="602" w:type="pct"/>
            <w:shd w:val="clear" w:color="auto" w:fill="007D55"/>
          </w:tcPr>
          <w:p w14:paraId="256B9840" w14:textId="77777777" w:rsidR="009D7212" w:rsidRPr="0021740A" w:rsidRDefault="009D7212" w:rsidP="00BB3BA4">
            <w:pPr>
              <w:pStyle w:val="TABLEHEADINGWHITE"/>
            </w:pPr>
            <w:r w:rsidRPr="0021740A">
              <w:rPr>
                <w:rFonts w:hint="eastAsia"/>
              </w:rPr>
              <w:t>Shetland Islands</w:t>
            </w:r>
          </w:p>
        </w:tc>
        <w:tc>
          <w:tcPr>
            <w:tcW w:w="667" w:type="pct"/>
            <w:shd w:val="clear" w:color="auto" w:fill="007D55"/>
          </w:tcPr>
          <w:p w14:paraId="2BBC95FC" w14:textId="77777777" w:rsidR="009D7212" w:rsidRPr="0021740A" w:rsidRDefault="009D7212" w:rsidP="00BB3BA4">
            <w:pPr>
              <w:pStyle w:val="TABLEHEADINGWHITE"/>
            </w:pPr>
            <w:r w:rsidRPr="0021740A">
              <w:rPr>
                <w:rFonts w:hint="eastAsia"/>
              </w:rPr>
              <w:t>Scotland</w:t>
            </w:r>
          </w:p>
        </w:tc>
      </w:tr>
      <w:tr w:rsidR="00BB3BA4" w:rsidRPr="00814137" w14:paraId="4FA83001" w14:textId="77777777" w:rsidTr="00BB3BA4">
        <w:tc>
          <w:tcPr>
            <w:tcW w:w="829" w:type="pct"/>
          </w:tcPr>
          <w:p w14:paraId="38D0D0D0" w14:textId="77777777" w:rsidR="009D7212" w:rsidRPr="0021740A" w:rsidRDefault="009D7212" w:rsidP="00BB3BA4">
            <w:pPr>
              <w:pStyle w:val="STPR2TableBody"/>
            </w:pPr>
            <w:r w:rsidRPr="0021740A">
              <w:t>Active Travel to School (Percentage of primary and secondary school children) (2018/2019)</w:t>
            </w:r>
          </w:p>
        </w:tc>
        <w:tc>
          <w:tcPr>
            <w:tcW w:w="486" w:type="pct"/>
          </w:tcPr>
          <w:p w14:paraId="3DE79D7F" w14:textId="7DB7CF60" w:rsidR="009D7212" w:rsidRPr="0021740A" w:rsidRDefault="009D7212" w:rsidP="00BB3BA4">
            <w:pPr>
              <w:pStyle w:val="STPR2TableBody"/>
            </w:pPr>
            <w:r w:rsidRPr="0021740A">
              <w:t>37.38%</w:t>
            </w:r>
          </w:p>
        </w:tc>
        <w:tc>
          <w:tcPr>
            <w:tcW w:w="516" w:type="pct"/>
          </w:tcPr>
          <w:p w14:paraId="7991D41F" w14:textId="5FD643A1" w:rsidR="009D7212" w:rsidRPr="0021740A" w:rsidRDefault="009D7212" w:rsidP="00BB3BA4">
            <w:pPr>
              <w:pStyle w:val="STPR2TableBody"/>
            </w:pPr>
            <w:r w:rsidRPr="0021740A">
              <w:t>46.58%</w:t>
            </w:r>
          </w:p>
        </w:tc>
        <w:tc>
          <w:tcPr>
            <w:tcW w:w="762" w:type="pct"/>
          </w:tcPr>
          <w:p w14:paraId="6A8391EF" w14:textId="6474C5B9" w:rsidR="009D7212" w:rsidRPr="0021740A" w:rsidRDefault="009D7212" w:rsidP="00BB3BA4">
            <w:pPr>
              <w:pStyle w:val="STPR2TableBody"/>
            </w:pPr>
            <w:r w:rsidRPr="0021740A">
              <w:t>20.51%</w:t>
            </w:r>
          </w:p>
        </w:tc>
        <w:tc>
          <w:tcPr>
            <w:tcW w:w="602" w:type="pct"/>
          </w:tcPr>
          <w:p w14:paraId="54827496" w14:textId="11FC6CA9" w:rsidR="009D7212" w:rsidRPr="0021740A" w:rsidRDefault="009D7212" w:rsidP="00BB3BA4">
            <w:pPr>
              <w:pStyle w:val="STPR2TableBody"/>
            </w:pPr>
            <w:r w:rsidRPr="0021740A">
              <w:t>52.41%</w:t>
            </w:r>
          </w:p>
        </w:tc>
        <w:tc>
          <w:tcPr>
            <w:tcW w:w="536" w:type="pct"/>
          </w:tcPr>
          <w:p w14:paraId="2BBF7483" w14:textId="18D0C90B" w:rsidR="009D7212" w:rsidRPr="0021740A" w:rsidRDefault="009D7212" w:rsidP="00BB3BA4">
            <w:pPr>
              <w:pStyle w:val="STPR2TableBody"/>
            </w:pPr>
            <w:r w:rsidRPr="0021740A">
              <w:t>31.82</w:t>
            </w:r>
          </w:p>
        </w:tc>
        <w:tc>
          <w:tcPr>
            <w:tcW w:w="602" w:type="pct"/>
          </w:tcPr>
          <w:p w14:paraId="6AE58D25" w14:textId="28009814" w:rsidR="009D7212" w:rsidRPr="0021740A" w:rsidRDefault="009D7212" w:rsidP="00BB3BA4">
            <w:pPr>
              <w:pStyle w:val="STPR2TableBody"/>
            </w:pPr>
            <w:r w:rsidRPr="0021740A">
              <w:t>49.23%</w:t>
            </w:r>
          </w:p>
        </w:tc>
        <w:tc>
          <w:tcPr>
            <w:tcW w:w="667" w:type="pct"/>
          </w:tcPr>
          <w:p w14:paraId="0364B031" w14:textId="77777777" w:rsidR="009D7212" w:rsidRPr="0021740A" w:rsidRDefault="009D7212" w:rsidP="00BB3BA4">
            <w:pPr>
              <w:pStyle w:val="STPR2TableBody"/>
            </w:pPr>
            <w:r w:rsidRPr="0021740A">
              <w:t>49.23%</w:t>
            </w:r>
          </w:p>
        </w:tc>
      </w:tr>
      <w:tr w:rsidR="00BB3BA4" w:rsidRPr="00814137" w14:paraId="26EC83CC" w14:textId="77777777" w:rsidTr="00BB3BA4">
        <w:tc>
          <w:tcPr>
            <w:tcW w:w="829" w:type="pct"/>
          </w:tcPr>
          <w:p w14:paraId="3C2A9704" w14:textId="77777777" w:rsidR="009D7212" w:rsidRPr="0021740A" w:rsidRDefault="009D7212" w:rsidP="00BB3BA4">
            <w:pPr>
              <w:pStyle w:val="STPR2TableBody"/>
            </w:pPr>
            <w:r w:rsidRPr="0021740A">
              <w:t>Active Travel to Work (Percentage of adults) (2018/2019)</w:t>
            </w:r>
          </w:p>
        </w:tc>
        <w:tc>
          <w:tcPr>
            <w:tcW w:w="486" w:type="pct"/>
          </w:tcPr>
          <w:p w14:paraId="48F04740" w14:textId="08FD5E66" w:rsidR="009D7212" w:rsidRPr="0021740A" w:rsidRDefault="009D7212" w:rsidP="00BB3BA4">
            <w:pPr>
              <w:pStyle w:val="STPR2TableBody"/>
            </w:pPr>
            <w:r w:rsidRPr="0021740A">
              <w:t>24.9%</w:t>
            </w:r>
          </w:p>
        </w:tc>
        <w:tc>
          <w:tcPr>
            <w:tcW w:w="516" w:type="pct"/>
          </w:tcPr>
          <w:p w14:paraId="44EA3113" w14:textId="5E1669E6" w:rsidR="009D7212" w:rsidRPr="0021740A" w:rsidRDefault="009D7212" w:rsidP="00BB3BA4">
            <w:pPr>
              <w:pStyle w:val="STPR2TableBody"/>
            </w:pPr>
            <w:r w:rsidRPr="0021740A">
              <w:t>18.4%</w:t>
            </w:r>
          </w:p>
        </w:tc>
        <w:tc>
          <w:tcPr>
            <w:tcW w:w="762" w:type="pct"/>
          </w:tcPr>
          <w:p w14:paraId="67698309" w14:textId="47E21F26" w:rsidR="009D7212" w:rsidRPr="0021740A" w:rsidRDefault="009D7212" w:rsidP="00BB3BA4">
            <w:pPr>
              <w:pStyle w:val="STPR2TableBody"/>
            </w:pPr>
            <w:r w:rsidRPr="0021740A">
              <w:t>14%</w:t>
            </w:r>
          </w:p>
        </w:tc>
        <w:tc>
          <w:tcPr>
            <w:tcW w:w="602" w:type="pct"/>
          </w:tcPr>
          <w:p w14:paraId="55D4E801" w14:textId="368683DF" w:rsidR="009D7212" w:rsidRPr="0021740A" w:rsidRDefault="009D7212" w:rsidP="00BB3BA4">
            <w:pPr>
              <w:pStyle w:val="STPR2TableBody"/>
            </w:pPr>
            <w:r w:rsidRPr="0021740A">
              <w:t>9.7%</w:t>
            </w:r>
          </w:p>
        </w:tc>
        <w:tc>
          <w:tcPr>
            <w:tcW w:w="536" w:type="pct"/>
          </w:tcPr>
          <w:p w14:paraId="63D5523E" w14:textId="30463B76" w:rsidR="009D7212" w:rsidRPr="0021740A" w:rsidRDefault="009D7212" w:rsidP="00BB3BA4">
            <w:pPr>
              <w:pStyle w:val="STPR2TableBody"/>
            </w:pPr>
            <w:r w:rsidRPr="0021740A">
              <w:t>25%</w:t>
            </w:r>
          </w:p>
        </w:tc>
        <w:tc>
          <w:tcPr>
            <w:tcW w:w="602" w:type="pct"/>
          </w:tcPr>
          <w:p w14:paraId="09C0F33D" w14:textId="405F8C3D" w:rsidR="009D7212" w:rsidRPr="0021740A" w:rsidRDefault="009D7212" w:rsidP="00BB3BA4">
            <w:pPr>
              <w:pStyle w:val="STPR2TableBody"/>
            </w:pPr>
            <w:r w:rsidRPr="0021740A">
              <w:t>12.6%</w:t>
            </w:r>
          </w:p>
        </w:tc>
        <w:tc>
          <w:tcPr>
            <w:tcW w:w="667" w:type="pct"/>
          </w:tcPr>
          <w:p w14:paraId="4A400F0D" w14:textId="77777777" w:rsidR="009D7212" w:rsidRPr="0021740A" w:rsidRDefault="009D7212" w:rsidP="00BB3BA4">
            <w:pPr>
              <w:pStyle w:val="STPR2TableBody"/>
            </w:pPr>
            <w:r w:rsidRPr="0021740A">
              <w:t>14.6%</w:t>
            </w:r>
          </w:p>
        </w:tc>
      </w:tr>
      <w:tr w:rsidR="00BB3BA4" w:rsidRPr="00814137" w14:paraId="2FBA030B" w14:textId="77777777" w:rsidTr="00BB3BA4">
        <w:tc>
          <w:tcPr>
            <w:tcW w:w="829" w:type="pct"/>
          </w:tcPr>
          <w:p w14:paraId="6A31E898" w14:textId="77777777" w:rsidR="009D7212" w:rsidRPr="0021740A" w:rsidRDefault="009D7212" w:rsidP="00BB3BA4">
            <w:pPr>
              <w:pStyle w:val="STPR2TableBody"/>
            </w:pPr>
            <w:r w:rsidRPr="0021740A">
              <w:t>Road Traffic Accident Casualties (per 100,000) (2017-2019)</w:t>
            </w:r>
          </w:p>
        </w:tc>
        <w:tc>
          <w:tcPr>
            <w:tcW w:w="486" w:type="pct"/>
          </w:tcPr>
          <w:p w14:paraId="17B5029C" w14:textId="41806841" w:rsidR="009D7212" w:rsidRPr="0021740A" w:rsidRDefault="009D7212" w:rsidP="00BB3BA4">
            <w:pPr>
              <w:pStyle w:val="STPR2TableBody"/>
            </w:pPr>
            <w:r w:rsidRPr="0021740A">
              <w:t>72.93</w:t>
            </w:r>
          </w:p>
        </w:tc>
        <w:tc>
          <w:tcPr>
            <w:tcW w:w="516" w:type="pct"/>
          </w:tcPr>
          <w:p w14:paraId="1631EA06" w14:textId="2092E897" w:rsidR="009D7212" w:rsidRPr="0021740A" w:rsidRDefault="009D7212" w:rsidP="00BB3BA4">
            <w:pPr>
              <w:pStyle w:val="STPR2TableBody"/>
            </w:pPr>
            <w:r w:rsidRPr="0021740A">
              <w:t>77.84</w:t>
            </w:r>
          </w:p>
        </w:tc>
        <w:tc>
          <w:tcPr>
            <w:tcW w:w="762" w:type="pct"/>
          </w:tcPr>
          <w:p w14:paraId="13EBA95F" w14:textId="57042F2B" w:rsidR="009D7212" w:rsidRPr="0021740A" w:rsidRDefault="009D7212" w:rsidP="00BB3BA4">
            <w:pPr>
              <w:pStyle w:val="STPR2TableBody"/>
            </w:pPr>
            <w:r w:rsidRPr="0021740A">
              <w:t>104.6</w:t>
            </w:r>
          </w:p>
        </w:tc>
        <w:tc>
          <w:tcPr>
            <w:tcW w:w="602" w:type="pct"/>
          </w:tcPr>
          <w:p w14:paraId="52CD5609" w14:textId="4B52431A" w:rsidR="009D7212" w:rsidRPr="0021740A" w:rsidRDefault="009D7212" w:rsidP="00BB3BA4">
            <w:pPr>
              <w:pStyle w:val="STPR2TableBody"/>
            </w:pPr>
            <w:r w:rsidRPr="0021740A">
              <w:t>65.79</w:t>
            </w:r>
          </w:p>
        </w:tc>
        <w:tc>
          <w:tcPr>
            <w:tcW w:w="536" w:type="pct"/>
          </w:tcPr>
          <w:p w14:paraId="2A6A7DC6" w14:textId="4BC51B76" w:rsidR="009D7212" w:rsidRPr="0021740A" w:rsidRDefault="009D7212" w:rsidP="00BB3BA4">
            <w:pPr>
              <w:pStyle w:val="STPR2TableBody"/>
            </w:pPr>
            <w:r w:rsidRPr="0021740A">
              <w:t>70.96</w:t>
            </w:r>
          </w:p>
        </w:tc>
        <w:tc>
          <w:tcPr>
            <w:tcW w:w="602" w:type="pct"/>
          </w:tcPr>
          <w:p w14:paraId="5267DAFD" w14:textId="27E3AC9D" w:rsidR="009D7212" w:rsidRPr="0021740A" w:rsidRDefault="009D7212" w:rsidP="00BB3BA4">
            <w:pPr>
              <w:pStyle w:val="STPR2TableBody"/>
            </w:pPr>
            <w:r w:rsidRPr="0021740A">
              <w:t>80.67</w:t>
            </w:r>
          </w:p>
        </w:tc>
        <w:tc>
          <w:tcPr>
            <w:tcW w:w="667" w:type="pct"/>
          </w:tcPr>
          <w:p w14:paraId="7548EF61" w14:textId="77777777" w:rsidR="009D7212" w:rsidRPr="0021740A" w:rsidRDefault="009D7212" w:rsidP="00BB3BA4">
            <w:pPr>
              <w:pStyle w:val="STPR2TableBody"/>
            </w:pPr>
            <w:r w:rsidRPr="0021740A">
              <w:t>59.34</w:t>
            </w:r>
          </w:p>
        </w:tc>
      </w:tr>
      <w:tr w:rsidR="00BB3BA4" w:rsidRPr="00814137" w14:paraId="2E94FBF5" w14:textId="77777777" w:rsidTr="00BB3BA4">
        <w:tc>
          <w:tcPr>
            <w:tcW w:w="829" w:type="pct"/>
          </w:tcPr>
          <w:p w14:paraId="466B17FE" w14:textId="77777777" w:rsidR="009D7212" w:rsidRPr="0021740A" w:rsidRDefault="009D7212" w:rsidP="00BB3BA4">
            <w:pPr>
              <w:pStyle w:val="STPR2TableBody"/>
            </w:pPr>
            <w:r w:rsidRPr="0021740A">
              <w:t>Cars registered (per 1,000 aged +17) (2020)</w:t>
            </w:r>
          </w:p>
        </w:tc>
        <w:tc>
          <w:tcPr>
            <w:tcW w:w="486" w:type="pct"/>
          </w:tcPr>
          <w:p w14:paraId="158446FD" w14:textId="16DF6C05" w:rsidR="009D7212" w:rsidRPr="0021740A" w:rsidRDefault="009D7212" w:rsidP="00BB3BA4">
            <w:pPr>
              <w:pStyle w:val="STPR2TableBody"/>
            </w:pPr>
            <w:r w:rsidRPr="0021740A">
              <w:t>593</w:t>
            </w:r>
          </w:p>
        </w:tc>
        <w:tc>
          <w:tcPr>
            <w:tcW w:w="516" w:type="pct"/>
          </w:tcPr>
          <w:p w14:paraId="0EA417FA" w14:textId="6A7F5E8E" w:rsidR="009D7212" w:rsidRPr="0021740A" w:rsidRDefault="009D7212" w:rsidP="00BB3BA4">
            <w:pPr>
              <w:pStyle w:val="STPR2TableBody"/>
            </w:pPr>
            <w:r w:rsidRPr="0021740A">
              <w:t>609</w:t>
            </w:r>
          </w:p>
        </w:tc>
        <w:tc>
          <w:tcPr>
            <w:tcW w:w="762" w:type="pct"/>
          </w:tcPr>
          <w:p w14:paraId="483890E9" w14:textId="50EF6556" w:rsidR="009D7212" w:rsidRPr="0021740A" w:rsidRDefault="009D7212" w:rsidP="00BB3BA4">
            <w:pPr>
              <w:pStyle w:val="STPR2TableBody"/>
            </w:pPr>
            <w:r w:rsidRPr="0021740A">
              <w:t>597</w:t>
            </w:r>
          </w:p>
        </w:tc>
        <w:tc>
          <w:tcPr>
            <w:tcW w:w="602" w:type="pct"/>
          </w:tcPr>
          <w:p w14:paraId="3D1C123C" w14:textId="6B691D01" w:rsidR="009D7212" w:rsidRPr="0021740A" w:rsidRDefault="009D7212" w:rsidP="00BB3BA4">
            <w:pPr>
              <w:pStyle w:val="STPR2TableBody"/>
            </w:pPr>
            <w:r w:rsidRPr="0021740A">
              <w:t>610</w:t>
            </w:r>
          </w:p>
        </w:tc>
        <w:tc>
          <w:tcPr>
            <w:tcW w:w="536" w:type="pct"/>
          </w:tcPr>
          <w:p w14:paraId="78F46E98" w14:textId="725943A2" w:rsidR="009D7212" w:rsidRPr="0021740A" w:rsidRDefault="009D7212" w:rsidP="00BB3BA4">
            <w:pPr>
              <w:pStyle w:val="STPR2TableBody"/>
            </w:pPr>
            <w:r w:rsidRPr="0021740A">
              <w:t>613</w:t>
            </w:r>
          </w:p>
        </w:tc>
        <w:tc>
          <w:tcPr>
            <w:tcW w:w="602" w:type="pct"/>
          </w:tcPr>
          <w:p w14:paraId="5443C583" w14:textId="275DA2B3" w:rsidR="009D7212" w:rsidRPr="0021740A" w:rsidRDefault="009D7212" w:rsidP="00BB3BA4">
            <w:pPr>
              <w:pStyle w:val="STPR2TableBody"/>
            </w:pPr>
            <w:r w:rsidRPr="0021740A">
              <w:t>634</w:t>
            </w:r>
          </w:p>
        </w:tc>
        <w:tc>
          <w:tcPr>
            <w:tcW w:w="667" w:type="pct"/>
          </w:tcPr>
          <w:p w14:paraId="46FD1C04" w14:textId="77777777" w:rsidR="009D7212" w:rsidRPr="0021740A" w:rsidRDefault="009D7212" w:rsidP="00BB3BA4">
            <w:pPr>
              <w:pStyle w:val="STPR2TableBody"/>
            </w:pPr>
            <w:r w:rsidRPr="0021740A">
              <w:t>563</w:t>
            </w:r>
          </w:p>
        </w:tc>
      </w:tr>
      <w:tr w:rsidR="00BB3BA4" w:rsidRPr="00814137" w14:paraId="19FAB323" w14:textId="77777777" w:rsidTr="00BB3BA4">
        <w:tc>
          <w:tcPr>
            <w:tcW w:w="829" w:type="pct"/>
          </w:tcPr>
          <w:p w14:paraId="69F88E7F" w14:textId="77777777" w:rsidR="009D7212" w:rsidRPr="0021740A" w:rsidRDefault="009D7212" w:rsidP="00BB3BA4">
            <w:pPr>
              <w:pStyle w:val="STPR2TableBody"/>
            </w:pPr>
            <w:r w:rsidRPr="0021740A">
              <w:t>Local authority ferry services - passengers carried by ferry (2019)</w:t>
            </w:r>
          </w:p>
        </w:tc>
        <w:tc>
          <w:tcPr>
            <w:tcW w:w="486" w:type="pct"/>
          </w:tcPr>
          <w:p w14:paraId="7F7F93FF" w14:textId="77777777" w:rsidR="009D7212" w:rsidRPr="0021740A" w:rsidRDefault="009D7212" w:rsidP="00BB3BA4">
            <w:pPr>
              <w:pStyle w:val="STPR2TableBody"/>
            </w:pPr>
            <w:r w:rsidRPr="0021740A">
              <w:t>141,000</w:t>
            </w:r>
          </w:p>
        </w:tc>
        <w:tc>
          <w:tcPr>
            <w:tcW w:w="516" w:type="pct"/>
          </w:tcPr>
          <w:p w14:paraId="5C5D931F" w14:textId="77777777" w:rsidR="009D7212" w:rsidRPr="0021740A" w:rsidRDefault="009D7212" w:rsidP="00BB3BA4">
            <w:pPr>
              <w:pStyle w:val="STPR2TableBody"/>
            </w:pPr>
            <w:r w:rsidRPr="0021740A">
              <w:t>598,000</w:t>
            </w:r>
          </w:p>
        </w:tc>
        <w:tc>
          <w:tcPr>
            <w:tcW w:w="762" w:type="pct"/>
          </w:tcPr>
          <w:p w14:paraId="0CE20546" w14:textId="77777777" w:rsidR="009D7212" w:rsidRPr="0021740A" w:rsidRDefault="009D7212" w:rsidP="00BB3BA4">
            <w:pPr>
              <w:pStyle w:val="STPR2TableBody"/>
            </w:pPr>
            <w:r w:rsidRPr="0021740A">
              <w:t>N/A</w:t>
            </w:r>
          </w:p>
        </w:tc>
        <w:tc>
          <w:tcPr>
            <w:tcW w:w="602" w:type="pct"/>
          </w:tcPr>
          <w:p w14:paraId="55F10F51" w14:textId="77777777" w:rsidR="009D7212" w:rsidRPr="0021740A" w:rsidRDefault="009D7212" w:rsidP="00BB3BA4">
            <w:pPr>
              <w:pStyle w:val="STPR2TableBody"/>
            </w:pPr>
            <w:r w:rsidRPr="0021740A">
              <w:t>N/A</w:t>
            </w:r>
          </w:p>
        </w:tc>
        <w:tc>
          <w:tcPr>
            <w:tcW w:w="536" w:type="pct"/>
          </w:tcPr>
          <w:p w14:paraId="1BE57BCE" w14:textId="77777777" w:rsidR="009D7212" w:rsidRPr="0021740A" w:rsidRDefault="009D7212" w:rsidP="00BB3BA4">
            <w:pPr>
              <w:pStyle w:val="STPR2TableBody"/>
            </w:pPr>
            <w:r w:rsidRPr="0021740A">
              <w:t>336,000</w:t>
            </w:r>
          </w:p>
        </w:tc>
        <w:tc>
          <w:tcPr>
            <w:tcW w:w="602" w:type="pct"/>
          </w:tcPr>
          <w:p w14:paraId="4DCB5E75" w14:textId="77777777" w:rsidR="009D7212" w:rsidRPr="0021740A" w:rsidRDefault="009D7212" w:rsidP="00BB3BA4">
            <w:pPr>
              <w:pStyle w:val="STPR2TableBody"/>
            </w:pPr>
            <w:r w:rsidRPr="0021740A">
              <w:t>777,000</w:t>
            </w:r>
          </w:p>
        </w:tc>
        <w:tc>
          <w:tcPr>
            <w:tcW w:w="667" w:type="pct"/>
          </w:tcPr>
          <w:p w14:paraId="0DF3996E" w14:textId="77777777" w:rsidR="009D7212" w:rsidRPr="0021740A" w:rsidRDefault="009D7212" w:rsidP="00BB3BA4">
            <w:pPr>
              <w:pStyle w:val="STPR2TableBody"/>
            </w:pPr>
            <w:r w:rsidRPr="0021740A">
              <w:t>1,852,000</w:t>
            </w:r>
          </w:p>
        </w:tc>
        <w:bookmarkStart w:id="1364" w:name="_Toc81993594"/>
      </w:tr>
    </w:tbl>
    <w:p w14:paraId="79F80386" w14:textId="77777777" w:rsidR="002E7ED2" w:rsidRDefault="002E7ED2" w:rsidP="002E7ED2">
      <w:pPr>
        <w:rPr>
          <w:rFonts w:eastAsiaTheme="minorHAnsi"/>
          <w:kern w:val="18"/>
          <w:sz w:val="16"/>
          <w:szCs w:val="18"/>
          <w:lang w:eastAsia="en-US"/>
        </w:rPr>
      </w:pPr>
    </w:p>
    <w:p w14:paraId="1963D5BE" w14:textId="03B2B5E0" w:rsidR="0043232C" w:rsidRPr="00D8043C" w:rsidRDefault="0043232C" w:rsidP="0021740A">
      <w:pPr>
        <w:sectPr w:rsidR="0043232C" w:rsidRPr="00D8043C" w:rsidSect="00BB3BA4">
          <w:headerReference w:type="default" r:id="rId29"/>
          <w:footerReference w:type="default" r:id="rId30"/>
          <w:pgSz w:w="16838" w:h="11906" w:orient="landscape" w:code="9"/>
          <w:pgMar w:top="1138" w:right="1699" w:bottom="1138" w:left="1138" w:header="454" w:footer="567" w:gutter="0"/>
          <w:cols w:space="720"/>
          <w:noEndnote/>
          <w:docGrid w:linePitch="299"/>
        </w:sectPr>
      </w:pPr>
    </w:p>
    <w:p w14:paraId="342B6392" w14:textId="350BCB6F" w:rsidR="000C6958" w:rsidRDefault="00294C5F" w:rsidP="000C6958">
      <w:pPr>
        <w:pStyle w:val="Heading1"/>
      </w:pPr>
      <w:bookmarkStart w:id="1365" w:name="_Toc88564129"/>
      <w:bookmarkStart w:id="1366" w:name="_Toc88564130"/>
      <w:bookmarkStart w:id="1367" w:name="_Toc88564131"/>
      <w:bookmarkStart w:id="1368" w:name="_Toc88564149"/>
      <w:bookmarkStart w:id="1369" w:name="_Toc88564150"/>
      <w:bookmarkStart w:id="1370" w:name="_Toc88564151"/>
      <w:bookmarkStart w:id="1371" w:name="_Toc88564152"/>
      <w:bookmarkStart w:id="1372" w:name="_Toc88564153"/>
      <w:bookmarkStart w:id="1373" w:name="_Toc88564154"/>
      <w:bookmarkStart w:id="1374" w:name="_Toc88564155"/>
      <w:bookmarkStart w:id="1375" w:name="_Toc88564156"/>
      <w:bookmarkStart w:id="1376" w:name="_Toc88564157"/>
      <w:bookmarkStart w:id="1377" w:name="_Toc88564158"/>
      <w:bookmarkStart w:id="1378" w:name="_Toc88564159"/>
      <w:bookmarkStart w:id="1379" w:name="_Toc88564160"/>
      <w:bookmarkStart w:id="1380" w:name="_Toc88564161"/>
      <w:bookmarkStart w:id="1381" w:name="_Toc88564162"/>
      <w:bookmarkStart w:id="1382" w:name="_Toc88564163"/>
      <w:bookmarkStart w:id="1383" w:name="_Toc88564164"/>
      <w:bookmarkStart w:id="1384" w:name="_Toc88564165"/>
      <w:bookmarkStart w:id="1385" w:name="_Toc88564166"/>
      <w:bookmarkStart w:id="1386" w:name="_Toc88564167"/>
      <w:bookmarkStart w:id="1387" w:name="_Toc88564168"/>
      <w:bookmarkStart w:id="1388" w:name="_Toc88564169"/>
      <w:bookmarkStart w:id="1389" w:name="_Toc88564170"/>
      <w:bookmarkStart w:id="1390" w:name="_Toc88564171"/>
      <w:bookmarkStart w:id="1391" w:name="_Toc88564172"/>
      <w:bookmarkStart w:id="1392" w:name="_Toc88564173"/>
      <w:bookmarkStart w:id="1393" w:name="_Toc88564174"/>
      <w:bookmarkStart w:id="1394" w:name="_Toc88564175"/>
      <w:bookmarkStart w:id="1395" w:name="_Toc88564176"/>
      <w:bookmarkStart w:id="1396" w:name="_Toc88564177"/>
      <w:bookmarkStart w:id="1397" w:name="_Toc88564178"/>
      <w:bookmarkStart w:id="1398" w:name="_Toc88564179"/>
      <w:bookmarkStart w:id="1399" w:name="_Toc88564180"/>
      <w:bookmarkStart w:id="1400" w:name="_Toc88564181"/>
      <w:bookmarkStart w:id="1401" w:name="_Toc88564182"/>
      <w:bookmarkStart w:id="1402" w:name="_Toc88564183"/>
      <w:bookmarkStart w:id="1403" w:name="_Toc88564184"/>
      <w:bookmarkStart w:id="1404" w:name="_Toc88564185"/>
      <w:bookmarkStart w:id="1405" w:name="_Toc88564186"/>
      <w:bookmarkStart w:id="1406" w:name="_Toc88564187"/>
      <w:bookmarkStart w:id="1407" w:name="_Toc88564188"/>
      <w:bookmarkStart w:id="1408" w:name="_Toc88564189"/>
      <w:bookmarkStart w:id="1409" w:name="_Toc88564190"/>
      <w:bookmarkStart w:id="1410" w:name="_Toc88564191"/>
      <w:bookmarkStart w:id="1411" w:name="_Toc121213942"/>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r>
        <w:lastRenderedPageBreak/>
        <w:t>Engagement</w:t>
      </w:r>
      <w:bookmarkEnd w:id="1411"/>
    </w:p>
    <w:p w14:paraId="7F97B433" w14:textId="64AA835F" w:rsidR="000C6958" w:rsidRPr="00A84917" w:rsidRDefault="000C6958" w:rsidP="00AD6C0F">
      <w:pPr>
        <w:pStyle w:val="Heading2"/>
      </w:pPr>
      <w:bookmarkStart w:id="1412" w:name="_Toc81993598"/>
      <w:bookmarkStart w:id="1413" w:name="_Toc121213943"/>
      <w:r w:rsidRPr="00A84917">
        <w:t>Overview</w:t>
      </w:r>
      <w:bookmarkEnd w:id="1412"/>
      <w:bookmarkEnd w:id="1413"/>
    </w:p>
    <w:p w14:paraId="63DBB929" w14:textId="0602A635" w:rsidR="005E72AF" w:rsidRPr="005E72AF" w:rsidRDefault="005E72AF" w:rsidP="00B83F4B">
      <w:pPr>
        <w:widowControl w:val="0"/>
        <w:suppressAutoHyphens/>
        <w:autoSpaceDE w:val="0"/>
        <w:autoSpaceDN w:val="0"/>
        <w:adjustRightInd w:val="0"/>
        <w:spacing w:line="240" w:lineRule="auto"/>
        <w:textAlignment w:val="center"/>
        <w:rPr>
          <w:rFonts w:ascii="Arial" w:eastAsia="Times New Roman" w:hAnsi="Arial" w:cs="Arial"/>
          <w:color w:val="000000"/>
          <w:sz w:val="24"/>
          <w:szCs w:val="24"/>
          <w:shd w:val="clear" w:color="auto" w:fill="FFFFFF"/>
        </w:rPr>
      </w:pPr>
      <w:r w:rsidRPr="005E72AF">
        <w:rPr>
          <w:rFonts w:ascii="Arial" w:eastAsia="Times New Roman" w:hAnsi="Arial" w:cs="Arial"/>
          <w:color w:val="000000"/>
          <w:sz w:val="24"/>
          <w:szCs w:val="24"/>
          <w:shd w:val="clear" w:color="auto" w:fill="FFFFFF"/>
        </w:rPr>
        <w:t>The STAG process is firmly founded on participation and consultation. Accordingly, stakeholder participation and engagement has been pivotal to informing STPR2 at all key stages. A comprehensive stakeholder engagement plan was developed at an early stage in the STPR2 process and has been carefully devised to ensure general inclusivity and representation of key sectors and stakeholders.</w:t>
      </w:r>
    </w:p>
    <w:p w14:paraId="0A97E7EE" w14:textId="35FB5EFF" w:rsidR="00156AD2" w:rsidRPr="00156AD2" w:rsidRDefault="00156AD2" w:rsidP="00D56DE8">
      <w:pPr>
        <w:pStyle w:val="STPR2BodyText"/>
        <w:rPr>
          <w:rStyle w:val="STPR2Proofboxheading"/>
          <w:rFonts w:asciiTheme="minorHAnsi" w:eastAsiaTheme="minorEastAsia" w:hAnsiTheme="minorHAnsi" w:cstheme="minorBidi"/>
          <w:b w:val="0"/>
          <w:color w:val="000000"/>
          <w:sz w:val="22"/>
          <w:szCs w:val="22"/>
          <w:shd w:val="clear" w:color="auto" w:fill="auto"/>
        </w:rPr>
      </w:pPr>
      <w:r w:rsidRPr="00156AD2">
        <w:rPr>
          <w:rStyle w:val="STPR2Proofboxheading"/>
          <w:b w:val="0"/>
          <w:color w:val="000000"/>
        </w:rPr>
        <w:t xml:space="preserve">Part 2 s16 of the Islands Act 2018 states that Scottish Ministers must consult island communities before making a material change to any policy, strategy or service which, in Scottish Ministers’ opinion, is likely to have an </w:t>
      </w:r>
      <w:r w:rsidR="000605C1">
        <w:rPr>
          <w:rStyle w:val="STPR2Proofboxheading"/>
          <w:b w:val="0"/>
          <w:color w:val="000000"/>
        </w:rPr>
        <w:t>impact</w:t>
      </w:r>
      <w:r w:rsidRPr="00156AD2">
        <w:rPr>
          <w:rStyle w:val="STPR2Proofboxheading"/>
          <w:b w:val="0"/>
          <w:color w:val="000000"/>
        </w:rPr>
        <w:t xml:space="preserve"> on an island community which is significantly different from its </w:t>
      </w:r>
      <w:r w:rsidR="000605C1">
        <w:rPr>
          <w:rStyle w:val="STPR2Proofboxheading"/>
          <w:b w:val="0"/>
          <w:color w:val="000000"/>
        </w:rPr>
        <w:t>impact</w:t>
      </w:r>
      <w:r w:rsidRPr="00156AD2">
        <w:rPr>
          <w:rStyle w:val="STPR2Proofboxheading"/>
          <w:b w:val="0"/>
          <w:color w:val="000000"/>
        </w:rPr>
        <w:t xml:space="preserve"> on other communities (including other island communities) in Scotland.</w:t>
      </w:r>
    </w:p>
    <w:p w14:paraId="7F5B3DEC" w14:textId="56198FB6" w:rsidR="005E72AF" w:rsidRPr="005E72AF" w:rsidRDefault="00AA6FF8" w:rsidP="00B83F4B">
      <w:pPr>
        <w:widowControl w:val="0"/>
        <w:suppressAutoHyphens/>
        <w:autoSpaceDE w:val="0"/>
        <w:autoSpaceDN w:val="0"/>
        <w:adjustRightInd w:val="0"/>
        <w:spacing w:line="240" w:lineRule="auto"/>
        <w:textAlignment w:val="center"/>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The STPR2 consulta</w:t>
      </w:r>
      <w:r w:rsidR="00BB07F0">
        <w:rPr>
          <w:rFonts w:ascii="Arial" w:eastAsia="Times New Roman" w:hAnsi="Arial" w:cs="Arial"/>
          <w:color w:val="000000"/>
          <w:sz w:val="24"/>
          <w:szCs w:val="24"/>
          <w:shd w:val="clear" w:color="auto" w:fill="FFFFFF"/>
        </w:rPr>
        <w:t xml:space="preserve">tion process has sought the views of </w:t>
      </w:r>
      <w:r w:rsidR="00701102">
        <w:rPr>
          <w:rFonts w:ascii="Arial" w:eastAsia="Times New Roman" w:hAnsi="Arial" w:cs="Arial"/>
          <w:color w:val="000000"/>
          <w:sz w:val="24"/>
          <w:szCs w:val="24"/>
          <w:shd w:val="clear" w:color="auto" w:fill="FFFFFF"/>
        </w:rPr>
        <w:t>island local authorities</w:t>
      </w:r>
      <w:r w:rsidR="005E72AF" w:rsidRPr="005E72AF">
        <w:rPr>
          <w:rFonts w:ascii="Arial" w:eastAsia="Times New Roman" w:hAnsi="Arial" w:cs="Arial"/>
          <w:color w:val="000000"/>
          <w:sz w:val="24"/>
          <w:szCs w:val="24"/>
          <w:shd w:val="clear" w:color="auto" w:fill="FFFFFF"/>
        </w:rPr>
        <w:t xml:space="preserve"> and </w:t>
      </w:r>
      <w:r w:rsidR="00701102">
        <w:rPr>
          <w:rFonts w:ascii="Arial" w:eastAsia="Times New Roman" w:hAnsi="Arial" w:cs="Arial"/>
          <w:color w:val="000000"/>
          <w:sz w:val="24"/>
          <w:szCs w:val="24"/>
          <w:shd w:val="clear" w:color="auto" w:fill="FFFFFF"/>
        </w:rPr>
        <w:t xml:space="preserve">relevant </w:t>
      </w:r>
      <w:r w:rsidR="005E72AF" w:rsidRPr="005E72AF">
        <w:rPr>
          <w:rFonts w:ascii="Arial" w:eastAsia="Times New Roman" w:hAnsi="Arial" w:cs="Arial"/>
          <w:color w:val="000000"/>
          <w:sz w:val="24"/>
          <w:szCs w:val="24"/>
          <w:shd w:val="clear" w:color="auto" w:fill="FFFFFF"/>
        </w:rPr>
        <w:t>organisations throughout the STPR2 commission in order to provide early opportunities within appropriate timeframes for opinions to be expressed on the proposals for STPR2 and the </w:t>
      </w:r>
      <w:r w:rsidR="00701102">
        <w:rPr>
          <w:rFonts w:ascii="Arial" w:eastAsia="Times New Roman" w:hAnsi="Arial" w:cs="Arial"/>
          <w:color w:val="000000"/>
          <w:sz w:val="24"/>
          <w:szCs w:val="24"/>
          <w:shd w:val="clear" w:color="auto" w:fill="FFFFFF"/>
        </w:rPr>
        <w:t>ICIA</w:t>
      </w:r>
      <w:r w:rsidR="005E72AF" w:rsidRPr="005E72AF">
        <w:rPr>
          <w:rFonts w:ascii="Arial" w:eastAsia="Times New Roman" w:hAnsi="Arial" w:cs="Arial"/>
          <w:color w:val="000000"/>
          <w:sz w:val="24"/>
          <w:szCs w:val="24"/>
          <w:shd w:val="clear" w:color="auto" w:fill="FFFFFF"/>
        </w:rPr>
        <w:t> as they have developed. </w:t>
      </w:r>
    </w:p>
    <w:p w14:paraId="6A637361" w14:textId="23082650" w:rsidR="005E72AF" w:rsidRPr="005E72AF" w:rsidRDefault="00C20823" w:rsidP="005E72AF">
      <w:pPr>
        <w:pStyle w:val="Heading2"/>
        <w:rPr>
          <w:shd w:val="clear" w:color="auto" w:fill="FFFFFF"/>
        </w:rPr>
      </w:pPr>
      <w:bookmarkStart w:id="1414" w:name="_Toc90038030"/>
      <w:bookmarkStart w:id="1415" w:name="_Toc121213944"/>
      <w:r>
        <w:rPr>
          <w:shd w:val="clear" w:color="auto" w:fill="FFFFFF"/>
        </w:rPr>
        <w:t>Stakeholder</w:t>
      </w:r>
      <w:r w:rsidR="005E72AF" w:rsidRPr="005E72AF">
        <w:rPr>
          <w:shd w:val="clear" w:color="auto" w:fill="FFFFFF"/>
        </w:rPr>
        <w:t xml:space="preserve"> Engagement </w:t>
      </w:r>
      <w:r>
        <w:rPr>
          <w:shd w:val="clear" w:color="auto" w:fill="FFFFFF"/>
        </w:rPr>
        <w:t>A</w:t>
      </w:r>
      <w:r w:rsidR="005E72AF" w:rsidRPr="005E72AF">
        <w:rPr>
          <w:shd w:val="clear" w:color="auto" w:fill="FFFFFF"/>
        </w:rPr>
        <w:t>ctivities</w:t>
      </w:r>
      <w:bookmarkEnd w:id="1414"/>
      <w:bookmarkEnd w:id="1415"/>
    </w:p>
    <w:p w14:paraId="7E6F47F1" w14:textId="5A5DDC58" w:rsidR="00636EF9" w:rsidRDefault="005E72AF" w:rsidP="00B83F4B">
      <w:pPr>
        <w:widowControl w:val="0"/>
        <w:suppressAutoHyphens/>
        <w:autoSpaceDE w:val="0"/>
        <w:autoSpaceDN w:val="0"/>
        <w:adjustRightInd w:val="0"/>
        <w:spacing w:line="240" w:lineRule="auto"/>
        <w:textAlignment w:val="center"/>
        <w:rPr>
          <w:rFonts w:ascii="Arial" w:eastAsia="Times New Roman" w:hAnsi="Arial" w:cs="Arial"/>
          <w:color w:val="000000"/>
          <w:sz w:val="24"/>
          <w:szCs w:val="24"/>
          <w:shd w:val="clear" w:color="auto" w:fill="FFFFFF"/>
        </w:rPr>
      </w:pPr>
      <w:r w:rsidRPr="005E72AF">
        <w:rPr>
          <w:rFonts w:ascii="Arial" w:eastAsia="Times New Roman" w:hAnsi="Arial" w:cs="Arial"/>
          <w:color w:val="000000"/>
          <w:sz w:val="24"/>
          <w:szCs w:val="24"/>
          <w:shd w:val="clear" w:color="auto" w:fill="FFFFFF"/>
        </w:rPr>
        <w:t xml:space="preserve">During the course of STPR2, there has been extensive stakeholder and public engagement. A round of 22 regional workshops was held in Spring/Summer 2019 with a wide range of stakeholders including, for example, members from local authorities, access panels and public transport providers. </w:t>
      </w:r>
      <w:r w:rsidR="00B83F4B">
        <w:rPr>
          <w:rFonts w:ascii="Arial" w:eastAsia="Times New Roman" w:hAnsi="Arial" w:cs="Arial"/>
          <w:color w:val="000000"/>
          <w:sz w:val="24"/>
          <w:szCs w:val="24"/>
          <w:shd w:val="clear" w:color="auto" w:fill="FFFFFF"/>
        </w:rPr>
        <w:t>Ten</w:t>
      </w:r>
      <w:r w:rsidR="00B83F4B" w:rsidRPr="005E72AF">
        <w:rPr>
          <w:rFonts w:ascii="Arial" w:eastAsia="Times New Roman" w:hAnsi="Arial" w:cs="Arial"/>
          <w:color w:val="000000"/>
          <w:sz w:val="24"/>
          <w:szCs w:val="24"/>
          <w:shd w:val="clear" w:color="auto" w:fill="FFFFFF"/>
        </w:rPr>
        <w:t xml:space="preserve"> </w:t>
      </w:r>
      <w:r w:rsidRPr="005E72AF">
        <w:rPr>
          <w:rFonts w:ascii="Arial" w:eastAsia="Times New Roman" w:hAnsi="Arial" w:cs="Arial"/>
          <w:color w:val="000000"/>
          <w:sz w:val="24"/>
          <w:szCs w:val="24"/>
          <w:shd w:val="clear" w:color="auto" w:fill="FFFFFF"/>
        </w:rPr>
        <w:t>national workshops were also held throughout August and September 2019. A range of issues relevant to </w:t>
      </w:r>
      <w:r w:rsidR="00701102">
        <w:rPr>
          <w:rFonts w:ascii="Arial" w:eastAsia="Times New Roman" w:hAnsi="Arial" w:cs="Arial"/>
          <w:color w:val="000000"/>
          <w:sz w:val="24"/>
          <w:szCs w:val="24"/>
          <w:shd w:val="clear" w:color="auto" w:fill="FFFFFF"/>
        </w:rPr>
        <w:t>ICIA</w:t>
      </w:r>
      <w:r w:rsidRPr="005E72AF">
        <w:rPr>
          <w:rFonts w:ascii="Arial" w:eastAsia="Times New Roman" w:hAnsi="Arial" w:cs="Arial"/>
          <w:color w:val="000000"/>
          <w:sz w:val="24"/>
          <w:szCs w:val="24"/>
          <w:shd w:val="clear" w:color="auto" w:fill="FFFFFF"/>
        </w:rPr>
        <w:t> were raised at these workshops. In addition to this, a National Equality Workshop was held in September 2019 with equalities groups and organisations</w:t>
      </w:r>
      <w:r w:rsidR="00014925">
        <w:rPr>
          <w:rFonts w:ascii="Arial" w:eastAsia="Times New Roman" w:hAnsi="Arial" w:cs="Arial"/>
          <w:color w:val="000000"/>
          <w:sz w:val="24"/>
          <w:szCs w:val="24"/>
          <w:shd w:val="clear" w:color="auto" w:fill="FFFFFF"/>
        </w:rPr>
        <w:t>,</w:t>
      </w:r>
      <w:r w:rsidR="00A152F7">
        <w:rPr>
          <w:rFonts w:ascii="Arial" w:eastAsia="Times New Roman" w:hAnsi="Arial" w:cs="Arial"/>
          <w:color w:val="000000"/>
          <w:sz w:val="24"/>
          <w:szCs w:val="24"/>
          <w:shd w:val="clear" w:color="auto" w:fill="FFFFFF"/>
        </w:rPr>
        <w:t xml:space="preserve"> including island communities</w:t>
      </w:r>
      <w:r w:rsidRPr="005E72AF">
        <w:rPr>
          <w:rFonts w:ascii="Arial" w:eastAsia="Times New Roman" w:hAnsi="Arial" w:cs="Arial"/>
          <w:color w:val="000000"/>
          <w:sz w:val="24"/>
          <w:szCs w:val="24"/>
          <w:shd w:val="clear" w:color="auto" w:fill="FFFFFF"/>
        </w:rPr>
        <w:t xml:space="preserve">. </w:t>
      </w:r>
    </w:p>
    <w:p w14:paraId="47E47997" w14:textId="22B661BF" w:rsidR="005E72AF" w:rsidRPr="005E72AF" w:rsidRDefault="005E72AF" w:rsidP="00B83F4B">
      <w:pPr>
        <w:widowControl w:val="0"/>
        <w:suppressAutoHyphens/>
        <w:autoSpaceDE w:val="0"/>
        <w:autoSpaceDN w:val="0"/>
        <w:adjustRightInd w:val="0"/>
        <w:spacing w:line="240" w:lineRule="auto"/>
        <w:textAlignment w:val="center"/>
        <w:rPr>
          <w:rFonts w:ascii="Arial" w:eastAsia="Times New Roman" w:hAnsi="Arial" w:cs="Arial"/>
          <w:color w:val="000000"/>
          <w:sz w:val="24"/>
          <w:szCs w:val="24"/>
          <w:shd w:val="clear" w:color="auto" w:fill="FFFFFF"/>
        </w:rPr>
      </w:pPr>
      <w:r w:rsidRPr="005E72AF">
        <w:rPr>
          <w:rFonts w:ascii="Arial" w:eastAsia="Times New Roman" w:hAnsi="Arial" w:cs="Arial"/>
          <w:color w:val="000000"/>
          <w:sz w:val="24"/>
          <w:szCs w:val="24"/>
          <w:shd w:val="clear" w:color="auto" w:fill="FFFFFF"/>
        </w:rPr>
        <w:t>The outputs from all workshops were used to identify problems and opportunities for STPR2 and inform the EqIA Scoping Report.</w:t>
      </w:r>
      <w:r w:rsidR="00266630" w:rsidRPr="005D74D2">
        <w:rPr>
          <w:rFonts w:ascii="Arial" w:eastAsia="Times New Roman" w:hAnsi="Arial" w:cs="Arial"/>
          <w:color w:val="000000"/>
          <w:sz w:val="24"/>
          <w:szCs w:val="24"/>
          <w:shd w:val="clear" w:color="auto" w:fill="FFFFFF"/>
          <w:lang w:val="en-US"/>
        </w:rPr>
        <w:t xml:space="preserve"> </w:t>
      </w:r>
      <w:r w:rsidRPr="005E72AF">
        <w:rPr>
          <w:rFonts w:ascii="Arial" w:eastAsia="Times New Roman" w:hAnsi="Arial" w:cs="Arial"/>
          <w:color w:val="000000"/>
          <w:sz w:val="24"/>
          <w:szCs w:val="24"/>
          <w:shd w:val="clear" w:color="auto" w:fill="FFFFFF"/>
        </w:rPr>
        <w:t>A five-week consultation period was held for the EqIA and SEA Scoping Reports from December 2019 to February 2020. This included issuing the EqIA Scoping Report to the statutory environmental consultees and 42 equalities groups and organisations.</w:t>
      </w:r>
      <w:r w:rsidR="00266630" w:rsidRPr="005D74D2">
        <w:rPr>
          <w:rFonts w:ascii="Arial" w:eastAsia="Times New Roman" w:hAnsi="Arial" w:cs="Arial"/>
          <w:color w:val="000000"/>
          <w:sz w:val="24"/>
          <w:szCs w:val="24"/>
          <w:shd w:val="clear" w:color="auto" w:fill="FFFFFF"/>
        </w:rPr>
        <w:t xml:space="preserve"> </w:t>
      </w:r>
      <w:r w:rsidRPr="005E72AF">
        <w:rPr>
          <w:rFonts w:ascii="Arial" w:eastAsia="Times New Roman" w:hAnsi="Arial" w:cs="Arial"/>
          <w:color w:val="000000"/>
          <w:sz w:val="24"/>
          <w:szCs w:val="24"/>
          <w:shd w:val="clear" w:color="auto" w:fill="FFFFFF"/>
        </w:rPr>
        <w:t>An online survey was available throughout the consultation period. Nine EqIA-specific consultees responded to the online survey</w:t>
      </w:r>
      <w:r w:rsidR="007E6C8D">
        <w:rPr>
          <w:rFonts w:ascii="Arial" w:eastAsia="Times New Roman" w:hAnsi="Arial" w:cs="Arial"/>
          <w:color w:val="000000"/>
          <w:sz w:val="24"/>
          <w:szCs w:val="24"/>
          <w:shd w:val="clear" w:color="auto" w:fill="FFFFFF"/>
        </w:rPr>
        <w:t>,</w:t>
      </w:r>
      <w:r w:rsidRPr="005E72AF">
        <w:rPr>
          <w:rFonts w:ascii="Arial" w:eastAsia="Times New Roman" w:hAnsi="Arial" w:cs="Arial"/>
          <w:color w:val="000000"/>
          <w:sz w:val="24"/>
          <w:szCs w:val="24"/>
          <w:shd w:val="clear" w:color="auto" w:fill="FFFFFF"/>
        </w:rPr>
        <w:t> </w:t>
      </w:r>
      <w:r w:rsidR="00287381">
        <w:rPr>
          <w:rFonts w:ascii="Arial" w:eastAsia="Times New Roman" w:hAnsi="Arial" w:cs="Arial"/>
          <w:color w:val="000000"/>
          <w:sz w:val="24"/>
          <w:szCs w:val="24"/>
          <w:shd w:val="clear" w:color="auto" w:fill="FFFFFF"/>
        </w:rPr>
        <w:t>which included the S</w:t>
      </w:r>
      <w:r w:rsidR="000E1008">
        <w:rPr>
          <w:rFonts w:ascii="Arial" w:eastAsia="Times New Roman" w:hAnsi="Arial" w:cs="Arial"/>
          <w:color w:val="000000"/>
          <w:sz w:val="24"/>
          <w:szCs w:val="24"/>
          <w:shd w:val="clear" w:color="auto" w:fill="FFFFFF"/>
        </w:rPr>
        <w:t>cottish Islands Federation.</w:t>
      </w:r>
    </w:p>
    <w:p w14:paraId="14A0A10B" w14:textId="481C6111" w:rsidR="00233AAC" w:rsidRDefault="172196C4" w:rsidP="00B83F4B">
      <w:pPr>
        <w:spacing w:line="240" w:lineRule="auto"/>
        <w:textAlignment w:val="baseline"/>
        <w:rPr>
          <w:rFonts w:ascii="Arial" w:eastAsia="Times New Roman" w:hAnsi="Arial" w:cs="Arial"/>
          <w:color w:val="000000" w:themeColor="text1"/>
          <w:sz w:val="24"/>
          <w:szCs w:val="24"/>
        </w:rPr>
      </w:pPr>
      <w:r w:rsidRPr="078A5CA9">
        <w:rPr>
          <w:rFonts w:ascii="Arial" w:eastAsia="Times New Roman" w:hAnsi="Arial" w:cs="Arial"/>
          <w:color w:val="000000" w:themeColor="text1"/>
          <w:sz w:val="24"/>
          <w:szCs w:val="24"/>
        </w:rPr>
        <w:t>A</w:t>
      </w:r>
      <w:r w:rsidR="275BFD03" w:rsidRPr="078A5CA9">
        <w:rPr>
          <w:rFonts w:ascii="Arial" w:eastAsia="Times New Roman" w:hAnsi="Arial" w:cs="Arial"/>
          <w:color w:val="000000" w:themeColor="text1"/>
          <w:sz w:val="24"/>
          <w:szCs w:val="24"/>
        </w:rPr>
        <w:t>n ICIA specific</w:t>
      </w:r>
      <w:r w:rsidRPr="078A5CA9">
        <w:rPr>
          <w:rFonts w:ascii="Arial" w:eastAsia="Times New Roman" w:hAnsi="Arial" w:cs="Arial"/>
          <w:color w:val="000000" w:themeColor="text1"/>
          <w:sz w:val="24"/>
          <w:szCs w:val="24"/>
        </w:rPr>
        <w:t xml:space="preserve"> workshop was also held with representatives of </w:t>
      </w:r>
      <w:r w:rsidR="275BFD03" w:rsidRPr="078A5CA9">
        <w:rPr>
          <w:rFonts w:ascii="Arial" w:eastAsia="Times New Roman" w:hAnsi="Arial" w:cs="Arial"/>
          <w:color w:val="000000" w:themeColor="text1"/>
          <w:sz w:val="24"/>
          <w:szCs w:val="24"/>
        </w:rPr>
        <w:t>island communities,</w:t>
      </w:r>
      <w:r w:rsidRPr="078A5CA9">
        <w:rPr>
          <w:rFonts w:ascii="Arial" w:eastAsia="Times New Roman" w:hAnsi="Arial" w:cs="Arial"/>
          <w:color w:val="000000" w:themeColor="text1"/>
          <w:sz w:val="24"/>
          <w:szCs w:val="24"/>
        </w:rPr>
        <w:t xml:space="preserve"> organisations</w:t>
      </w:r>
      <w:r w:rsidR="275BFD03" w:rsidRPr="078A5CA9">
        <w:rPr>
          <w:rFonts w:ascii="Arial" w:eastAsia="Times New Roman" w:hAnsi="Arial" w:cs="Arial"/>
          <w:color w:val="000000" w:themeColor="text1"/>
          <w:sz w:val="24"/>
          <w:szCs w:val="24"/>
        </w:rPr>
        <w:t xml:space="preserve"> and</w:t>
      </w:r>
      <w:r w:rsidRPr="078A5CA9">
        <w:rPr>
          <w:rFonts w:ascii="Arial" w:eastAsia="Times New Roman" w:hAnsi="Arial" w:cs="Arial"/>
          <w:color w:val="000000" w:themeColor="text1"/>
          <w:sz w:val="24"/>
          <w:szCs w:val="24"/>
        </w:rPr>
        <w:t xml:space="preserve"> local authorities</w:t>
      </w:r>
      <w:r w:rsidR="114469A0" w:rsidRPr="078A5CA9">
        <w:rPr>
          <w:rFonts w:ascii="Arial" w:eastAsia="Times New Roman" w:hAnsi="Arial" w:cs="Arial"/>
          <w:color w:val="000000" w:themeColor="text1"/>
          <w:sz w:val="24"/>
          <w:szCs w:val="24"/>
        </w:rPr>
        <w:t xml:space="preserve"> as well as the Scottish Government Islands Team</w:t>
      </w:r>
      <w:r w:rsidRPr="078A5CA9">
        <w:rPr>
          <w:rFonts w:ascii="Arial" w:eastAsia="Times New Roman" w:hAnsi="Arial" w:cs="Arial"/>
          <w:color w:val="000000" w:themeColor="text1"/>
          <w:sz w:val="24"/>
          <w:szCs w:val="24"/>
        </w:rPr>
        <w:t xml:space="preserve"> </w:t>
      </w:r>
      <w:r w:rsidR="459DD62D" w:rsidRPr="078A5CA9">
        <w:rPr>
          <w:rFonts w:ascii="Arial" w:eastAsia="Times New Roman" w:hAnsi="Arial" w:cs="Arial"/>
          <w:color w:val="000000" w:themeColor="text1"/>
          <w:sz w:val="24"/>
          <w:szCs w:val="24"/>
        </w:rPr>
        <w:t>on the 26th</w:t>
      </w:r>
      <w:r w:rsidRPr="078A5CA9">
        <w:rPr>
          <w:rFonts w:ascii="Arial" w:eastAsia="Times New Roman" w:hAnsi="Arial" w:cs="Arial"/>
          <w:color w:val="000000" w:themeColor="text1"/>
          <w:sz w:val="24"/>
          <w:szCs w:val="24"/>
        </w:rPr>
        <w:t xml:space="preserve"> March 2021 prior to the preliminary appraisal process to consult on the detailed approach to the </w:t>
      </w:r>
      <w:r w:rsidR="0C512539" w:rsidRPr="078A5CA9">
        <w:rPr>
          <w:rFonts w:ascii="Arial" w:eastAsia="Times New Roman" w:hAnsi="Arial" w:cs="Arial"/>
          <w:color w:val="000000" w:themeColor="text1"/>
          <w:sz w:val="24"/>
          <w:szCs w:val="24"/>
        </w:rPr>
        <w:t>ICIA</w:t>
      </w:r>
      <w:r w:rsidRPr="078A5CA9">
        <w:rPr>
          <w:rFonts w:ascii="Arial" w:eastAsia="Times New Roman" w:hAnsi="Arial" w:cs="Arial"/>
          <w:color w:val="000000" w:themeColor="text1"/>
          <w:sz w:val="24"/>
          <w:szCs w:val="24"/>
        </w:rPr>
        <w:t>.</w:t>
      </w:r>
      <w:r w:rsidR="088E77BF" w:rsidRPr="078A5CA9">
        <w:rPr>
          <w:rFonts w:ascii="Arial" w:eastAsia="Times New Roman" w:hAnsi="Arial" w:cs="Arial"/>
          <w:color w:val="000000" w:themeColor="text1"/>
          <w:sz w:val="24"/>
          <w:szCs w:val="24"/>
        </w:rPr>
        <w:t xml:space="preserve"> </w:t>
      </w:r>
      <w:r w:rsidR="084CAB96" w:rsidRPr="078A5CA9">
        <w:rPr>
          <w:rFonts w:ascii="Arial" w:eastAsia="Times New Roman" w:hAnsi="Arial" w:cs="Arial"/>
          <w:color w:val="000000" w:themeColor="text1"/>
          <w:sz w:val="24"/>
          <w:szCs w:val="24"/>
        </w:rPr>
        <w:t>An</w:t>
      </w:r>
      <w:r w:rsidR="7F36439C" w:rsidRPr="078A5CA9">
        <w:rPr>
          <w:rFonts w:ascii="Arial" w:eastAsia="Times New Roman" w:hAnsi="Arial" w:cs="Arial"/>
          <w:color w:val="000000" w:themeColor="text1"/>
          <w:sz w:val="24"/>
          <w:szCs w:val="24"/>
        </w:rPr>
        <w:t xml:space="preserve"> ICIA</w:t>
      </w:r>
      <w:r w:rsidR="3F92C0B0" w:rsidRPr="078A5CA9">
        <w:rPr>
          <w:rFonts w:ascii="Arial" w:eastAsia="Times New Roman" w:hAnsi="Arial" w:cs="Arial"/>
          <w:color w:val="000000" w:themeColor="text1"/>
          <w:sz w:val="24"/>
          <w:szCs w:val="24"/>
        </w:rPr>
        <w:t xml:space="preserve"> specific</w:t>
      </w:r>
      <w:r w:rsidR="7F36439C" w:rsidRPr="078A5CA9">
        <w:rPr>
          <w:rFonts w:ascii="Arial" w:eastAsia="Times New Roman" w:hAnsi="Arial" w:cs="Arial"/>
          <w:color w:val="000000" w:themeColor="text1"/>
          <w:sz w:val="24"/>
          <w:szCs w:val="24"/>
        </w:rPr>
        <w:t xml:space="preserve"> workshop was also held with representatives from Orkney</w:t>
      </w:r>
      <w:r w:rsidR="01295267" w:rsidRPr="078A5CA9">
        <w:rPr>
          <w:rFonts w:ascii="Arial" w:eastAsia="Times New Roman" w:hAnsi="Arial" w:cs="Arial"/>
          <w:color w:val="000000" w:themeColor="text1"/>
          <w:sz w:val="24"/>
          <w:szCs w:val="24"/>
        </w:rPr>
        <w:t xml:space="preserve"> Islands</w:t>
      </w:r>
      <w:r w:rsidR="7F36439C" w:rsidRPr="078A5CA9">
        <w:rPr>
          <w:rFonts w:ascii="Arial" w:eastAsia="Times New Roman" w:hAnsi="Arial" w:cs="Arial"/>
          <w:color w:val="000000" w:themeColor="text1"/>
          <w:sz w:val="24"/>
          <w:szCs w:val="24"/>
        </w:rPr>
        <w:t xml:space="preserve"> </w:t>
      </w:r>
      <w:r w:rsidR="01295267" w:rsidRPr="078A5CA9">
        <w:rPr>
          <w:rFonts w:ascii="Arial" w:eastAsia="Times New Roman" w:hAnsi="Arial" w:cs="Arial"/>
          <w:color w:val="000000" w:themeColor="text1"/>
          <w:sz w:val="24"/>
          <w:szCs w:val="24"/>
        </w:rPr>
        <w:t>C</w:t>
      </w:r>
      <w:r w:rsidR="7F36439C" w:rsidRPr="078A5CA9">
        <w:rPr>
          <w:rFonts w:ascii="Arial" w:eastAsia="Times New Roman" w:hAnsi="Arial" w:cs="Arial"/>
          <w:color w:val="000000" w:themeColor="text1"/>
          <w:sz w:val="24"/>
          <w:szCs w:val="24"/>
        </w:rPr>
        <w:t xml:space="preserve">ouncil on the </w:t>
      </w:r>
      <w:r w:rsidR="01295267" w:rsidRPr="078A5CA9">
        <w:rPr>
          <w:rFonts w:ascii="Arial" w:eastAsia="Times New Roman" w:hAnsi="Arial" w:cs="Arial"/>
          <w:color w:val="000000" w:themeColor="text1"/>
          <w:sz w:val="24"/>
          <w:szCs w:val="24"/>
        </w:rPr>
        <w:t>27</w:t>
      </w:r>
      <w:r w:rsidR="01295267" w:rsidRPr="078A5CA9">
        <w:rPr>
          <w:rFonts w:ascii="Arial" w:eastAsia="Times New Roman" w:hAnsi="Arial" w:cs="Arial"/>
          <w:color w:val="000000" w:themeColor="text1"/>
          <w:sz w:val="24"/>
          <w:szCs w:val="24"/>
          <w:vertAlign w:val="superscript"/>
        </w:rPr>
        <w:t>th</w:t>
      </w:r>
      <w:r w:rsidR="01295267" w:rsidRPr="078A5CA9">
        <w:rPr>
          <w:rFonts w:ascii="Arial" w:eastAsia="Times New Roman" w:hAnsi="Arial" w:cs="Arial"/>
          <w:color w:val="000000" w:themeColor="text1"/>
          <w:sz w:val="24"/>
          <w:szCs w:val="24"/>
        </w:rPr>
        <w:t xml:space="preserve"> April 2021</w:t>
      </w:r>
      <w:r w:rsidR="785428B2" w:rsidRPr="078A5CA9">
        <w:rPr>
          <w:rFonts w:ascii="Arial" w:eastAsia="Times New Roman" w:hAnsi="Arial" w:cs="Arial"/>
          <w:color w:val="000000" w:themeColor="text1"/>
          <w:sz w:val="24"/>
          <w:szCs w:val="24"/>
        </w:rPr>
        <w:t xml:space="preserve"> at request from the Council</w:t>
      </w:r>
      <w:r w:rsidR="5F8C0C07" w:rsidRPr="078A5CA9">
        <w:rPr>
          <w:rFonts w:ascii="Arial" w:eastAsia="Times New Roman" w:hAnsi="Arial" w:cs="Arial"/>
          <w:color w:val="000000" w:themeColor="text1"/>
          <w:sz w:val="24"/>
          <w:szCs w:val="24"/>
        </w:rPr>
        <w:t>.</w:t>
      </w:r>
    </w:p>
    <w:p w14:paraId="58317251" w14:textId="77777777" w:rsidR="00233AAC" w:rsidRDefault="00233AAC" w:rsidP="00856CA4">
      <w:pPr>
        <w:pStyle w:val="Heading2"/>
        <w:keepNext/>
        <w:keepLines/>
        <w:widowControl/>
      </w:pPr>
      <w:bookmarkStart w:id="1416" w:name="_Toc117439119"/>
      <w:bookmarkStart w:id="1417" w:name="_Toc121213945"/>
      <w:r>
        <w:lastRenderedPageBreak/>
        <w:t>Statutory Consultation</w:t>
      </w:r>
      <w:bookmarkEnd w:id="1416"/>
      <w:bookmarkEnd w:id="1417"/>
    </w:p>
    <w:p w14:paraId="7750A663" w14:textId="297BE6D8" w:rsidR="00233AAC" w:rsidRDefault="00233AAC" w:rsidP="00856CA4">
      <w:pPr>
        <w:pStyle w:val="STPR2BodyText"/>
        <w:keepNext/>
        <w:keepLines/>
      </w:pPr>
      <w:r w:rsidRPr="00D94367">
        <w:t>The publication of the draft STPR2 report</w:t>
      </w:r>
      <w:r>
        <w:t xml:space="preserve"> (Jacobs </w:t>
      </w:r>
      <w:r w:rsidR="000B0A8A">
        <w:t>AECOM</w:t>
      </w:r>
      <w:r>
        <w:t xml:space="preserve"> 2022a)</w:t>
      </w:r>
      <w:r w:rsidRPr="00D94367">
        <w:t xml:space="preserve">, associated documents and draft impact assessments </w:t>
      </w:r>
      <w:r w:rsidRPr="00063CAC">
        <w:t>in January 2022 launched a 12-week public consultation period, hosted on the Scottish Government’s consultation platform Citizen Space. The public consultation was publicised through</w:t>
      </w:r>
      <w:r>
        <w:t xml:space="preserve"> various means including </w:t>
      </w:r>
      <w:r w:rsidRPr="00063CAC">
        <w:t>email</w:t>
      </w:r>
      <w:r>
        <w:t xml:space="preserve"> correspondence </w:t>
      </w:r>
      <w:r w:rsidRPr="00063CAC">
        <w:t xml:space="preserve">to a </w:t>
      </w:r>
      <w:r>
        <w:t>wide range</w:t>
      </w:r>
      <w:r w:rsidRPr="00063CAC">
        <w:t xml:space="preserve"> of organisations and authorities </w:t>
      </w:r>
      <w:r>
        <w:t xml:space="preserve">from </w:t>
      </w:r>
      <w:r w:rsidRPr="00063CAC">
        <w:t>across Scotland, via the Transport Scotland website and through both press and social media coverage. Organisations and authorities were also requested to publicise the consultation through their own channels.</w:t>
      </w:r>
    </w:p>
    <w:p w14:paraId="6C0C2B5C" w14:textId="03C4B082" w:rsidR="00233AAC" w:rsidRDefault="00233AAC" w:rsidP="00D56DE8">
      <w:pPr>
        <w:pStyle w:val="STPR2BodyText"/>
      </w:pPr>
      <w:r>
        <w:t>An inclusive approach was undertak</w:t>
      </w:r>
      <w:r w:rsidR="003F7FAB">
        <w:t>en</w:t>
      </w:r>
      <w:r>
        <w:t xml:space="preserve"> to consultation activities including:</w:t>
      </w:r>
    </w:p>
    <w:p w14:paraId="29E84AF4" w14:textId="77777777" w:rsidR="00233AAC" w:rsidRDefault="00233AAC" w:rsidP="00D56DE8">
      <w:pPr>
        <w:pStyle w:val="STPR2BulletsLevel1"/>
      </w:pPr>
      <w:r w:rsidRPr="00411F63">
        <w:t>Easy Read and Gaelic language versions of the draft STPR2 summary report and a Gaelic language questionnaire were also made available.</w:t>
      </w:r>
    </w:p>
    <w:p w14:paraId="4F904716" w14:textId="77777777" w:rsidR="00233AAC" w:rsidRDefault="00233AAC" w:rsidP="00D56DE8">
      <w:pPr>
        <w:pStyle w:val="STPR2BulletsLevel1"/>
      </w:pPr>
      <w:r w:rsidRPr="00411F63">
        <w:t xml:space="preserve">A dedicated telephone number was published to allow those without good internet access to call and request a printed copy, large print or editable version to return by post or email. </w:t>
      </w:r>
    </w:p>
    <w:p w14:paraId="6D03E5AA" w14:textId="77777777" w:rsidR="00233AAC" w:rsidRDefault="00233AAC" w:rsidP="00D56DE8">
      <w:pPr>
        <w:pStyle w:val="STPR2BulletsLevel1"/>
      </w:pPr>
      <w:r w:rsidRPr="00411F63">
        <w:t xml:space="preserve">A webpage version of the draft STPR2 summary report was also made available to further increase accessibility. </w:t>
      </w:r>
    </w:p>
    <w:p w14:paraId="498EA052" w14:textId="5D45959D" w:rsidR="00233AAC" w:rsidRDefault="00233AAC" w:rsidP="00D56DE8">
      <w:pPr>
        <w:pStyle w:val="STPR2BodyText"/>
      </w:pPr>
      <w:r w:rsidRPr="00063CAC">
        <w:t>During the 12-week consultation period</w:t>
      </w:r>
      <w:r w:rsidR="008F1CD9">
        <w:t>,</w:t>
      </w:r>
      <w:r w:rsidRPr="00063CAC">
        <w:t xml:space="preserve"> </w:t>
      </w:r>
      <w:r>
        <w:t>30</w:t>
      </w:r>
      <w:r w:rsidRPr="00063CAC">
        <w:t xml:space="preserve"> i</w:t>
      </w:r>
      <w:r w:rsidRPr="00E70675">
        <w:t xml:space="preserve">nformation sessions were undertaken. These sessions were designed to promote the consultation exercise, </w:t>
      </w:r>
      <w:r w:rsidRPr="00743736">
        <w:t>by providing an overvie</w:t>
      </w:r>
      <w:r w:rsidRPr="003B08D1">
        <w:t xml:space="preserve">w of STPR2 and the 45 draft recommendations and </w:t>
      </w:r>
      <w:r>
        <w:t xml:space="preserve">setting out </w:t>
      </w:r>
      <w:r w:rsidRPr="003B08D1">
        <w:t>further details on how stakeholders could feed into the consultation process.</w:t>
      </w:r>
      <w:r>
        <w:t xml:space="preserve"> This included the following specific sessions </w:t>
      </w:r>
      <w:r w:rsidR="007A5E16">
        <w:t>in which the impacts on island</w:t>
      </w:r>
      <w:r w:rsidR="00E220D9">
        <w:t>s</w:t>
      </w:r>
      <w:r w:rsidR="007A5E16">
        <w:t xml:space="preserve"> were specifically </w:t>
      </w:r>
      <w:r w:rsidR="0083411C">
        <w:t>presented</w:t>
      </w:r>
      <w:r>
        <w:t>:</w:t>
      </w:r>
    </w:p>
    <w:p w14:paraId="167022AC" w14:textId="753B709C" w:rsidR="00F376AF" w:rsidRDefault="00233AAC" w:rsidP="00D56DE8">
      <w:pPr>
        <w:pStyle w:val="STPR2BulletsLevel1"/>
      </w:pPr>
      <w:r>
        <w:t>STPR2 EqIA and Fairer Scotland Duty Information Session - 23</w:t>
      </w:r>
      <w:r w:rsidRPr="00857F7E">
        <w:rPr>
          <w:vertAlign w:val="superscript"/>
        </w:rPr>
        <w:t>rd</w:t>
      </w:r>
      <w:r>
        <w:t xml:space="preserve"> March 2022</w:t>
      </w:r>
      <w:r w:rsidR="00504862">
        <w:t>;</w:t>
      </w:r>
    </w:p>
    <w:p w14:paraId="7FA9437A" w14:textId="2BB40AD9" w:rsidR="00233AAC" w:rsidRDefault="00F376AF" w:rsidP="00D56DE8">
      <w:pPr>
        <w:pStyle w:val="STPR2BulletsLevel1"/>
      </w:pPr>
      <w:r w:rsidRPr="00F376AF">
        <w:t xml:space="preserve">STPR2 Island Impact Assessments Information Session </w:t>
      </w:r>
      <w:r>
        <w:t>– 24</w:t>
      </w:r>
      <w:r w:rsidRPr="004A7A38">
        <w:rPr>
          <w:vertAlign w:val="superscript"/>
        </w:rPr>
        <w:t>th</w:t>
      </w:r>
      <w:r>
        <w:t xml:space="preserve"> March 2022</w:t>
      </w:r>
      <w:r w:rsidR="00504862">
        <w:t>;</w:t>
      </w:r>
    </w:p>
    <w:p w14:paraId="1B8E896C" w14:textId="5C6508F2" w:rsidR="00233AAC" w:rsidRDefault="00233AAC" w:rsidP="00D56DE8">
      <w:pPr>
        <w:pStyle w:val="STPR2BulletsLevel1"/>
      </w:pPr>
      <w:r>
        <w:t>STPR2 SEA and EqIA Wider Information Session - 28</w:t>
      </w:r>
      <w:r w:rsidRPr="00857F7E">
        <w:rPr>
          <w:vertAlign w:val="superscript"/>
        </w:rPr>
        <w:t>th</w:t>
      </w:r>
      <w:r>
        <w:t xml:space="preserve"> March 2022</w:t>
      </w:r>
      <w:r w:rsidR="00F376AF">
        <w:t>; and</w:t>
      </w:r>
    </w:p>
    <w:p w14:paraId="463AAF81" w14:textId="045BF65B" w:rsidR="00233AAC" w:rsidRDefault="00233AAC" w:rsidP="00D56DE8">
      <w:pPr>
        <w:pStyle w:val="STPR2BulletsLevel1"/>
      </w:pPr>
      <w:r>
        <w:t>STPR2 Impact Assessments Information Session - 31</w:t>
      </w:r>
      <w:r w:rsidRPr="00BA61E9">
        <w:rPr>
          <w:vertAlign w:val="superscript"/>
        </w:rPr>
        <w:t>st</w:t>
      </w:r>
      <w:r>
        <w:t xml:space="preserve"> March 2022</w:t>
      </w:r>
      <w:r w:rsidR="00504862">
        <w:t>.</w:t>
      </w:r>
    </w:p>
    <w:p w14:paraId="546BB557" w14:textId="223F76CE" w:rsidR="00233AAC" w:rsidRDefault="00233AAC" w:rsidP="00D56DE8">
      <w:pPr>
        <w:pStyle w:val="STPR2BodyText"/>
      </w:pPr>
      <w:r w:rsidRPr="00411F63">
        <w:t xml:space="preserve">In line with the proactive approach to engagement that has been taken across the course of the review to ensure that all stakeholders have an equal opportunity to access information on STPR2, British Sign Language (BSL) interpreters </w:t>
      </w:r>
      <w:r>
        <w:t>were in attendance at th</w:t>
      </w:r>
      <w:r w:rsidR="00D30364">
        <w:t>ree of the</w:t>
      </w:r>
      <w:r>
        <w:t xml:space="preserve"> above</w:t>
      </w:r>
      <w:r w:rsidRPr="00411F63">
        <w:t xml:space="preserve"> information sessions</w:t>
      </w:r>
      <w:r>
        <w:t>.</w:t>
      </w:r>
    </w:p>
    <w:p w14:paraId="43189D67" w14:textId="51F09088" w:rsidR="00233AAC" w:rsidRPr="00063CAC" w:rsidRDefault="00233AAC" w:rsidP="00D56DE8">
      <w:pPr>
        <w:pStyle w:val="STPR2BodyText"/>
      </w:pPr>
      <w:r w:rsidRPr="00063CAC">
        <w:t>A total of 454 responses were received during the statutory consultation period, including from Regional Transport Partnerships (RTPs) and local authorities. Responses were also received from professional / trade bodies, charity groups / organisations, single-issue campaign groups, Community Councils and other local groups with an interest in</w:t>
      </w:r>
      <w:r w:rsidR="00BB3BA4">
        <w:t> </w:t>
      </w:r>
      <w:r w:rsidRPr="00063CAC">
        <w:t>transport.</w:t>
      </w:r>
    </w:p>
    <w:p w14:paraId="619EB0A3" w14:textId="43FEBC68" w:rsidR="0066540A" w:rsidRPr="00180381" w:rsidRDefault="0066540A" w:rsidP="00D56DE8">
      <w:pPr>
        <w:pStyle w:val="STPR2BodyText"/>
      </w:pPr>
      <w:r w:rsidRPr="00180381">
        <w:t>Respondents were given the opportunity to provide comments, if they had any, on the</w:t>
      </w:r>
      <w:r>
        <w:t xml:space="preserve"> draft</w:t>
      </w:r>
      <w:r w:rsidRPr="00180381">
        <w:t xml:space="preserve"> Island Communities Impact Assessment. </w:t>
      </w:r>
      <w:r>
        <w:t>Thirty-seven</w:t>
      </w:r>
      <w:r w:rsidRPr="00180381">
        <w:t xml:space="preserve"> comments were provided</w:t>
      </w:r>
      <w:r w:rsidR="00CE6054">
        <w:t>,</w:t>
      </w:r>
      <w:r w:rsidRPr="00180381">
        <w:t xml:space="preserve"> including the following:</w:t>
      </w:r>
    </w:p>
    <w:p w14:paraId="1FEB3628" w14:textId="77777777" w:rsidR="0066540A" w:rsidRPr="00180381" w:rsidRDefault="0066540A" w:rsidP="00D56DE8">
      <w:pPr>
        <w:pStyle w:val="STPR2BulletsLevel1"/>
      </w:pPr>
      <w:r w:rsidRPr="00180381">
        <w:t xml:space="preserve">Ferries for Island Communities </w:t>
      </w:r>
    </w:p>
    <w:p w14:paraId="1D896750" w14:textId="77777777" w:rsidR="0066540A" w:rsidRPr="00180381" w:rsidRDefault="0066540A" w:rsidP="00D56DE8">
      <w:pPr>
        <w:pStyle w:val="STPR2BulletsLevel2"/>
        <w:rPr>
          <w:i/>
        </w:rPr>
      </w:pPr>
      <w:r w:rsidRPr="00180381">
        <w:t>“Adequate replacement ferries are still required both in terms of capacity and numbers.” (Individual)</w:t>
      </w:r>
    </w:p>
    <w:p w14:paraId="3B4D262E" w14:textId="77777777" w:rsidR="0066540A" w:rsidRPr="00180381" w:rsidRDefault="0066540A" w:rsidP="00D56DE8">
      <w:pPr>
        <w:pStyle w:val="STPR2BulletsLevel2"/>
      </w:pPr>
      <w:r w:rsidRPr="00180381">
        <w:t>“Have you used CalMac recently?” (Individual)</w:t>
      </w:r>
    </w:p>
    <w:p w14:paraId="19BE7C71" w14:textId="77777777" w:rsidR="0066540A" w:rsidRPr="00180381" w:rsidRDefault="0066540A" w:rsidP="00D56DE8">
      <w:pPr>
        <w:pStyle w:val="STPR2BulletsLevel2"/>
      </w:pPr>
      <w:r w:rsidRPr="00180381">
        <w:t>“You must involve ferry users and communities in all your decisions.” (Individual)</w:t>
      </w:r>
    </w:p>
    <w:p w14:paraId="3BB8CAB3" w14:textId="77777777" w:rsidR="0066540A" w:rsidRPr="00180381" w:rsidRDefault="0066540A" w:rsidP="00D56DE8">
      <w:pPr>
        <w:pStyle w:val="STPR2BulletsLevel1"/>
      </w:pPr>
      <w:r w:rsidRPr="00180381">
        <w:lastRenderedPageBreak/>
        <w:t>Air and Ferry services should be integrated</w:t>
      </w:r>
    </w:p>
    <w:p w14:paraId="3B451217" w14:textId="77777777" w:rsidR="0066540A" w:rsidRPr="00180381" w:rsidRDefault="0066540A" w:rsidP="00D56DE8">
      <w:pPr>
        <w:pStyle w:val="STPR2BulletsLevel2"/>
      </w:pPr>
      <w:r w:rsidRPr="00180381">
        <w:t xml:space="preserve">“… looking at northern isles ferry links but not complementary air links to the northern isles is a real weakness, as the two modes work together to provide the transport service to the isles.” (Organisation) </w:t>
      </w:r>
    </w:p>
    <w:p w14:paraId="63D3C6C2" w14:textId="77777777" w:rsidR="0066540A" w:rsidRPr="00180381" w:rsidRDefault="0066540A" w:rsidP="00BB3BA4">
      <w:pPr>
        <w:pStyle w:val="STPR2BulletsLevel1"/>
        <w:keepNext/>
        <w:keepLines/>
      </w:pPr>
      <w:r w:rsidRPr="00180381">
        <w:t>Shetland</w:t>
      </w:r>
    </w:p>
    <w:p w14:paraId="4E7CE87A" w14:textId="77777777" w:rsidR="0066540A" w:rsidRPr="00180381" w:rsidRDefault="0066540A" w:rsidP="00D56DE8">
      <w:pPr>
        <w:pStyle w:val="STPR2BulletsLevel2"/>
      </w:pPr>
      <w:r w:rsidRPr="00180381">
        <w:t>“Shetland ignored in proposals, so findings in Island Communities etc was very partial.” (Individual)</w:t>
      </w:r>
    </w:p>
    <w:p w14:paraId="28EF6EA8" w14:textId="77777777" w:rsidR="0066540A" w:rsidRPr="00180381" w:rsidRDefault="0066540A" w:rsidP="00D56DE8">
      <w:pPr>
        <w:pStyle w:val="STPR2BulletsLevel2"/>
      </w:pPr>
      <w:r w:rsidRPr="00180381">
        <w:t>“In the case of the Shetland Islands, whilst of course the decarbonisation of the NIFS vessels is welcome, the true lifeline services for the vast majority of our population are the inter-island ferries here, rather than those which take us to and from mainland Scotland. These services have been entirely ignored by STPR2</w:t>
      </w:r>
      <w:r>
        <w:t xml:space="preserve">. </w:t>
      </w:r>
      <w:r w:rsidRPr="00180381">
        <w:t>We would reiterate our response to Q37, in which we make the point that Shetland is a group of islands and not an individual island. If the ICIA does not explore the impacts at the level of individual islands, then it is likely that the assessment of STPR2 impacts may not be fully informed.” (Organisation)</w:t>
      </w:r>
    </w:p>
    <w:p w14:paraId="0474F0D0" w14:textId="77777777" w:rsidR="0066540A" w:rsidRPr="00180381" w:rsidRDefault="0066540A" w:rsidP="00D56DE8">
      <w:pPr>
        <w:pStyle w:val="STPR2BulletsLevel1"/>
      </w:pPr>
      <w:r w:rsidRPr="00180381">
        <w:t>Tunnel to Mull is a bad idea</w:t>
      </w:r>
    </w:p>
    <w:p w14:paraId="1546FD82" w14:textId="77777777" w:rsidR="0066540A" w:rsidRPr="00180381" w:rsidRDefault="0066540A" w:rsidP="00D56DE8">
      <w:pPr>
        <w:pStyle w:val="STPR2BulletsLevel2"/>
      </w:pPr>
      <w:r w:rsidRPr="00180381">
        <w:t>“Poor ferry service, and job done by CalMac, the Mull tunnel is totally impractical, proper understanding of</w:t>
      </w:r>
      <w:r w:rsidRPr="00B83F4B">
        <w:t xml:space="preserve"> island needs and connectivity not understood.”</w:t>
      </w:r>
      <w:r w:rsidRPr="00180381">
        <w:rPr>
          <w:i/>
        </w:rPr>
        <w:t xml:space="preserve"> </w:t>
      </w:r>
      <w:r w:rsidRPr="00180381">
        <w:t>(Individual)</w:t>
      </w:r>
    </w:p>
    <w:p w14:paraId="5F782291" w14:textId="77777777" w:rsidR="0066540A" w:rsidRPr="00180381" w:rsidRDefault="0066540A" w:rsidP="00D56DE8">
      <w:pPr>
        <w:pStyle w:val="STPR2BulletsLevel2"/>
      </w:pPr>
      <w:r w:rsidRPr="00180381">
        <w:t>“Our ferry network is in urgent need of major investment, from which talk of tunnels is</w:t>
      </w:r>
      <w:r w:rsidRPr="00180381">
        <w:rPr>
          <w:i/>
        </w:rPr>
        <w:t xml:space="preserve"> a distraction.” </w:t>
      </w:r>
      <w:r w:rsidRPr="00180381">
        <w:t>(Organisation)</w:t>
      </w:r>
    </w:p>
    <w:p w14:paraId="1ED2F350" w14:textId="77777777" w:rsidR="0066540A" w:rsidRPr="00180381" w:rsidRDefault="0066540A" w:rsidP="00D56DE8">
      <w:pPr>
        <w:pStyle w:val="STPR2BulletsLevel1"/>
      </w:pPr>
      <w:r w:rsidRPr="00180381">
        <w:t xml:space="preserve">Rural areas of the Scottish mainland </w:t>
      </w:r>
    </w:p>
    <w:p w14:paraId="594CA3BE" w14:textId="77777777" w:rsidR="002B3DDC" w:rsidRPr="000E7E9D" w:rsidRDefault="0066540A" w:rsidP="00D56DE8">
      <w:pPr>
        <w:pStyle w:val="STPR2BulletsLevel2"/>
      </w:pPr>
      <w:r w:rsidRPr="00180381">
        <w:t>“The southwest corner of Scotland feel</w:t>
      </w:r>
      <w:r w:rsidRPr="00B83F4B">
        <w:t>s like an island community.”</w:t>
      </w:r>
      <w:r w:rsidRPr="00180381">
        <w:t xml:space="preserve"> (Organisation)</w:t>
      </w:r>
    </w:p>
    <w:p w14:paraId="6D6BB5FC" w14:textId="0141EDCE" w:rsidR="00233AAC" w:rsidRPr="000E7E9D" w:rsidRDefault="0066540A" w:rsidP="00D56DE8">
      <w:pPr>
        <w:pStyle w:val="STPR2BulletsLevel2"/>
      </w:pPr>
      <w:r w:rsidRPr="00180381">
        <w:t>“The impact on rural as well as island communities needs to be taken in to account.” (Organisation)</w:t>
      </w:r>
    </w:p>
    <w:p w14:paraId="5DE988A8" w14:textId="30A917C6" w:rsidR="000C6958" w:rsidRDefault="000C6958" w:rsidP="00FD77A7">
      <w:pPr>
        <w:pStyle w:val="Heading1"/>
      </w:pPr>
      <w:bookmarkStart w:id="1418" w:name="_Toc21446944"/>
      <w:bookmarkStart w:id="1419" w:name="_Toc21447200"/>
      <w:bookmarkStart w:id="1420" w:name="_Toc21447314"/>
      <w:bookmarkStart w:id="1421" w:name="_Toc21447559"/>
      <w:bookmarkStart w:id="1422" w:name="_Toc21447693"/>
      <w:bookmarkStart w:id="1423" w:name="_Toc21510452"/>
      <w:bookmarkStart w:id="1424" w:name="_Toc21511054"/>
      <w:bookmarkStart w:id="1425" w:name="_Toc21523123"/>
      <w:bookmarkStart w:id="1426" w:name="_Toc88564195"/>
      <w:bookmarkStart w:id="1427" w:name="_Toc88564197"/>
      <w:bookmarkStart w:id="1428" w:name="_Toc20487791"/>
      <w:bookmarkStart w:id="1429" w:name="_Toc20487985"/>
      <w:bookmarkStart w:id="1430" w:name="_Toc20744600"/>
      <w:bookmarkStart w:id="1431" w:name="_Toc20754083"/>
      <w:bookmarkStart w:id="1432" w:name="_Toc20487792"/>
      <w:bookmarkStart w:id="1433" w:name="_Toc20487986"/>
      <w:bookmarkStart w:id="1434" w:name="_Toc20744601"/>
      <w:bookmarkStart w:id="1435" w:name="_Toc20754084"/>
      <w:bookmarkStart w:id="1436" w:name="_Toc20487793"/>
      <w:bookmarkStart w:id="1437" w:name="_Toc20487987"/>
      <w:bookmarkStart w:id="1438" w:name="_Toc20744602"/>
      <w:bookmarkStart w:id="1439" w:name="_Toc20754085"/>
      <w:bookmarkStart w:id="1440" w:name="_Toc20487794"/>
      <w:bookmarkStart w:id="1441" w:name="_Toc20487988"/>
      <w:bookmarkStart w:id="1442" w:name="_Toc20744603"/>
      <w:bookmarkStart w:id="1443" w:name="_Toc20754086"/>
      <w:bookmarkStart w:id="1444" w:name="_Toc20487795"/>
      <w:bookmarkStart w:id="1445" w:name="_Toc20487989"/>
      <w:bookmarkStart w:id="1446" w:name="_Toc20744604"/>
      <w:bookmarkStart w:id="1447" w:name="_Toc20754087"/>
      <w:bookmarkStart w:id="1448" w:name="_Toc20487796"/>
      <w:bookmarkStart w:id="1449" w:name="_Toc20487990"/>
      <w:bookmarkStart w:id="1450" w:name="_Toc20744605"/>
      <w:bookmarkStart w:id="1451" w:name="_Toc20754088"/>
      <w:bookmarkStart w:id="1452" w:name="_Toc20487797"/>
      <w:bookmarkStart w:id="1453" w:name="_Toc20487991"/>
      <w:bookmarkStart w:id="1454" w:name="_Toc20744606"/>
      <w:bookmarkStart w:id="1455" w:name="_Toc20754089"/>
      <w:bookmarkStart w:id="1456" w:name="_Toc20487799"/>
      <w:bookmarkStart w:id="1457" w:name="_Toc20487993"/>
      <w:bookmarkStart w:id="1458" w:name="_Toc20744608"/>
      <w:bookmarkStart w:id="1459" w:name="_Toc20754091"/>
      <w:bookmarkStart w:id="1460" w:name="_Toc20487800"/>
      <w:bookmarkStart w:id="1461" w:name="_Toc20487994"/>
      <w:bookmarkStart w:id="1462" w:name="_Toc20744609"/>
      <w:bookmarkStart w:id="1463" w:name="_Toc20754092"/>
      <w:bookmarkStart w:id="1464" w:name="_Toc20487801"/>
      <w:bookmarkStart w:id="1465" w:name="_Toc20487995"/>
      <w:bookmarkStart w:id="1466" w:name="_Toc20744610"/>
      <w:bookmarkStart w:id="1467" w:name="_Toc20754093"/>
      <w:bookmarkStart w:id="1468" w:name="_Toc20487802"/>
      <w:bookmarkStart w:id="1469" w:name="_Toc20487996"/>
      <w:bookmarkStart w:id="1470" w:name="_Toc20744611"/>
      <w:bookmarkStart w:id="1471" w:name="_Toc20754094"/>
      <w:bookmarkStart w:id="1472" w:name="_Toc20487803"/>
      <w:bookmarkStart w:id="1473" w:name="_Toc20487997"/>
      <w:bookmarkStart w:id="1474" w:name="_Toc20744612"/>
      <w:bookmarkStart w:id="1475" w:name="_Toc20754095"/>
      <w:bookmarkStart w:id="1476" w:name="_Toc20487804"/>
      <w:bookmarkStart w:id="1477" w:name="_Toc20487998"/>
      <w:bookmarkStart w:id="1478" w:name="_Toc20744613"/>
      <w:bookmarkStart w:id="1479" w:name="_Toc20754096"/>
      <w:bookmarkStart w:id="1480" w:name="_Toc20487805"/>
      <w:bookmarkStart w:id="1481" w:name="_Toc20487999"/>
      <w:bookmarkStart w:id="1482" w:name="_Toc20744614"/>
      <w:bookmarkStart w:id="1483" w:name="_Toc20754097"/>
      <w:bookmarkStart w:id="1484" w:name="_Toc20487806"/>
      <w:bookmarkStart w:id="1485" w:name="_Toc20488000"/>
      <w:bookmarkStart w:id="1486" w:name="_Toc20744615"/>
      <w:bookmarkStart w:id="1487" w:name="_Toc20754098"/>
      <w:bookmarkStart w:id="1488" w:name="_Toc20487807"/>
      <w:bookmarkStart w:id="1489" w:name="_Toc20488001"/>
      <w:bookmarkStart w:id="1490" w:name="_Toc20744616"/>
      <w:bookmarkStart w:id="1491" w:name="_Toc20754099"/>
      <w:bookmarkStart w:id="1492" w:name="_Toc20487808"/>
      <w:bookmarkStart w:id="1493" w:name="_Toc20488002"/>
      <w:bookmarkStart w:id="1494" w:name="_Toc20744617"/>
      <w:bookmarkStart w:id="1495" w:name="_Toc20754100"/>
      <w:bookmarkStart w:id="1496" w:name="_Toc20487809"/>
      <w:bookmarkStart w:id="1497" w:name="_Toc20488003"/>
      <w:bookmarkStart w:id="1498" w:name="_Toc20744618"/>
      <w:bookmarkStart w:id="1499" w:name="_Toc20754101"/>
      <w:bookmarkStart w:id="1500" w:name="_Toc20487810"/>
      <w:bookmarkStart w:id="1501" w:name="_Toc20488004"/>
      <w:bookmarkStart w:id="1502" w:name="_Toc20744619"/>
      <w:bookmarkStart w:id="1503" w:name="_Toc20754102"/>
      <w:bookmarkStart w:id="1504" w:name="_Toc20487811"/>
      <w:bookmarkStart w:id="1505" w:name="_Toc20488005"/>
      <w:bookmarkStart w:id="1506" w:name="_Toc20744620"/>
      <w:bookmarkStart w:id="1507" w:name="_Toc20754103"/>
      <w:bookmarkStart w:id="1508" w:name="_Toc20487812"/>
      <w:bookmarkStart w:id="1509" w:name="_Toc20488006"/>
      <w:bookmarkStart w:id="1510" w:name="_Toc20744621"/>
      <w:bookmarkStart w:id="1511" w:name="_Toc20754104"/>
      <w:bookmarkStart w:id="1512" w:name="_Toc20487813"/>
      <w:bookmarkStart w:id="1513" w:name="_Toc20488007"/>
      <w:bookmarkStart w:id="1514" w:name="_Toc20744622"/>
      <w:bookmarkStart w:id="1515" w:name="_Toc20754105"/>
      <w:bookmarkStart w:id="1516" w:name="_Toc20487814"/>
      <w:bookmarkStart w:id="1517" w:name="_Toc20488008"/>
      <w:bookmarkStart w:id="1518" w:name="_Toc20744623"/>
      <w:bookmarkStart w:id="1519" w:name="_Toc20754106"/>
      <w:bookmarkStart w:id="1520" w:name="_Toc20487815"/>
      <w:bookmarkStart w:id="1521" w:name="_Toc20488009"/>
      <w:bookmarkStart w:id="1522" w:name="_Toc20744624"/>
      <w:bookmarkStart w:id="1523" w:name="_Toc20754107"/>
      <w:bookmarkStart w:id="1524" w:name="_Toc20487816"/>
      <w:bookmarkStart w:id="1525" w:name="_Toc20488010"/>
      <w:bookmarkStart w:id="1526" w:name="_Toc20744625"/>
      <w:bookmarkStart w:id="1527" w:name="_Toc20754108"/>
      <w:bookmarkStart w:id="1528" w:name="_Toc20487817"/>
      <w:bookmarkStart w:id="1529" w:name="_Toc20488011"/>
      <w:bookmarkStart w:id="1530" w:name="_Toc20744626"/>
      <w:bookmarkStart w:id="1531" w:name="_Toc20754109"/>
      <w:bookmarkStart w:id="1532" w:name="_Toc20487818"/>
      <w:bookmarkStart w:id="1533" w:name="_Toc20488012"/>
      <w:bookmarkStart w:id="1534" w:name="_Toc20744627"/>
      <w:bookmarkStart w:id="1535" w:name="_Toc20754110"/>
      <w:bookmarkStart w:id="1536" w:name="_Toc20487819"/>
      <w:bookmarkStart w:id="1537" w:name="_Toc20488013"/>
      <w:bookmarkStart w:id="1538" w:name="_Toc20744628"/>
      <w:bookmarkStart w:id="1539" w:name="_Toc20754111"/>
      <w:bookmarkStart w:id="1540" w:name="_Toc20487820"/>
      <w:bookmarkStart w:id="1541" w:name="_Toc20488014"/>
      <w:bookmarkStart w:id="1542" w:name="_Toc20744629"/>
      <w:bookmarkStart w:id="1543" w:name="_Toc20754112"/>
      <w:bookmarkStart w:id="1544" w:name="_Toc20487821"/>
      <w:bookmarkStart w:id="1545" w:name="_Toc20488015"/>
      <w:bookmarkStart w:id="1546" w:name="_Toc20744630"/>
      <w:bookmarkStart w:id="1547" w:name="_Toc20754113"/>
      <w:bookmarkStart w:id="1548" w:name="_Toc20487822"/>
      <w:bookmarkStart w:id="1549" w:name="_Toc20488016"/>
      <w:bookmarkStart w:id="1550" w:name="_Toc20744631"/>
      <w:bookmarkStart w:id="1551" w:name="_Toc20754114"/>
      <w:bookmarkStart w:id="1552" w:name="_Toc20487823"/>
      <w:bookmarkStart w:id="1553" w:name="_Toc20488017"/>
      <w:bookmarkStart w:id="1554" w:name="_Toc20744632"/>
      <w:bookmarkStart w:id="1555" w:name="_Toc20754115"/>
      <w:bookmarkStart w:id="1556" w:name="_Toc20487824"/>
      <w:bookmarkStart w:id="1557" w:name="_Toc20488018"/>
      <w:bookmarkStart w:id="1558" w:name="_Toc20744633"/>
      <w:bookmarkStart w:id="1559" w:name="_Toc20754116"/>
      <w:bookmarkStart w:id="1560" w:name="_Toc20487825"/>
      <w:bookmarkStart w:id="1561" w:name="_Toc20488019"/>
      <w:bookmarkStart w:id="1562" w:name="_Toc20744634"/>
      <w:bookmarkStart w:id="1563" w:name="_Toc20754117"/>
      <w:bookmarkStart w:id="1564" w:name="_Toc20487826"/>
      <w:bookmarkStart w:id="1565" w:name="_Toc20488020"/>
      <w:bookmarkStart w:id="1566" w:name="_Toc20744635"/>
      <w:bookmarkStart w:id="1567" w:name="_Toc20754118"/>
      <w:bookmarkStart w:id="1568" w:name="_Toc20487827"/>
      <w:bookmarkStart w:id="1569" w:name="_Toc20488021"/>
      <w:bookmarkStart w:id="1570" w:name="_Toc20744636"/>
      <w:bookmarkStart w:id="1571" w:name="_Toc20754119"/>
      <w:bookmarkStart w:id="1572" w:name="_Toc20487828"/>
      <w:bookmarkStart w:id="1573" w:name="_Toc20488022"/>
      <w:bookmarkStart w:id="1574" w:name="_Toc20744637"/>
      <w:bookmarkStart w:id="1575" w:name="_Toc20754120"/>
      <w:bookmarkStart w:id="1576" w:name="_Toc20487829"/>
      <w:bookmarkStart w:id="1577" w:name="_Toc20488023"/>
      <w:bookmarkStart w:id="1578" w:name="_Toc20744638"/>
      <w:bookmarkStart w:id="1579" w:name="_Toc20754121"/>
      <w:bookmarkStart w:id="1580" w:name="_Toc20487830"/>
      <w:bookmarkStart w:id="1581" w:name="_Toc20488024"/>
      <w:bookmarkStart w:id="1582" w:name="_Toc20744639"/>
      <w:bookmarkStart w:id="1583" w:name="_Toc20754122"/>
      <w:bookmarkStart w:id="1584" w:name="_Toc20487831"/>
      <w:bookmarkStart w:id="1585" w:name="_Toc20488025"/>
      <w:bookmarkStart w:id="1586" w:name="_Toc20744640"/>
      <w:bookmarkStart w:id="1587" w:name="_Toc20754123"/>
      <w:bookmarkStart w:id="1588" w:name="_Toc20487842"/>
      <w:bookmarkStart w:id="1589" w:name="_Toc20488036"/>
      <w:bookmarkStart w:id="1590" w:name="_Toc20744651"/>
      <w:bookmarkStart w:id="1591" w:name="_Toc20754134"/>
      <w:bookmarkStart w:id="1592" w:name="_Toc20487843"/>
      <w:bookmarkStart w:id="1593" w:name="_Toc20488037"/>
      <w:bookmarkStart w:id="1594" w:name="_Toc20744652"/>
      <w:bookmarkStart w:id="1595" w:name="_Toc20754135"/>
      <w:bookmarkStart w:id="1596" w:name="_Toc20487844"/>
      <w:bookmarkStart w:id="1597" w:name="_Toc20488038"/>
      <w:bookmarkStart w:id="1598" w:name="_Toc20744653"/>
      <w:bookmarkStart w:id="1599" w:name="_Toc20754136"/>
      <w:bookmarkStart w:id="1600" w:name="_Toc20487845"/>
      <w:bookmarkStart w:id="1601" w:name="_Toc20488039"/>
      <w:bookmarkStart w:id="1602" w:name="_Toc20744654"/>
      <w:bookmarkStart w:id="1603" w:name="_Toc20754137"/>
      <w:bookmarkStart w:id="1604" w:name="_Toc20487846"/>
      <w:bookmarkStart w:id="1605" w:name="_Toc20488040"/>
      <w:bookmarkStart w:id="1606" w:name="_Toc20744655"/>
      <w:bookmarkStart w:id="1607" w:name="_Toc20754138"/>
      <w:bookmarkStart w:id="1608" w:name="_Toc20487847"/>
      <w:bookmarkStart w:id="1609" w:name="_Toc20488041"/>
      <w:bookmarkStart w:id="1610" w:name="_Toc20744656"/>
      <w:bookmarkStart w:id="1611" w:name="_Toc20754139"/>
      <w:bookmarkStart w:id="1612" w:name="_Toc20487848"/>
      <w:bookmarkStart w:id="1613" w:name="_Toc20488042"/>
      <w:bookmarkStart w:id="1614" w:name="_Toc20744657"/>
      <w:bookmarkStart w:id="1615" w:name="_Toc20754140"/>
      <w:bookmarkStart w:id="1616" w:name="_Toc20487849"/>
      <w:bookmarkStart w:id="1617" w:name="_Toc20488043"/>
      <w:bookmarkStart w:id="1618" w:name="_Toc20744658"/>
      <w:bookmarkStart w:id="1619" w:name="_Toc20754141"/>
      <w:bookmarkStart w:id="1620" w:name="_Toc20487850"/>
      <w:bookmarkStart w:id="1621" w:name="_Toc20488044"/>
      <w:bookmarkStart w:id="1622" w:name="_Toc20744659"/>
      <w:bookmarkStart w:id="1623" w:name="_Toc20754142"/>
      <w:bookmarkStart w:id="1624" w:name="_Toc20487851"/>
      <w:bookmarkStart w:id="1625" w:name="_Toc20488045"/>
      <w:bookmarkStart w:id="1626" w:name="_Toc20744660"/>
      <w:bookmarkStart w:id="1627" w:name="_Toc20754143"/>
      <w:bookmarkStart w:id="1628" w:name="_Toc20487852"/>
      <w:bookmarkStart w:id="1629" w:name="_Toc20488046"/>
      <w:bookmarkStart w:id="1630" w:name="_Toc20744661"/>
      <w:bookmarkStart w:id="1631" w:name="_Toc20754144"/>
      <w:bookmarkStart w:id="1632" w:name="_Toc20487853"/>
      <w:bookmarkStart w:id="1633" w:name="_Toc20488047"/>
      <w:bookmarkStart w:id="1634" w:name="_Toc20744662"/>
      <w:bookmarkStart w:id="1635" w:name="_Toc20754145"/>
      <w:bookmarkStart w:id="1636" w:name="_Toc20487854"/>
      <w:bookmarkStart w:id="1637" w:name="_Toc20488048"/>
      <w:bookmarkStart w:id="1638" w:name="_Toc20744663"/>
      <w:bookmarkStart w:id="1639" w:name="_Toc20754146"/>
      <w:bookmarkStart w:id="1640" w:name="_Toc20487855"/>
      <w:bookmarkStart w:id="1641" w:name="_Toc20488049"/>
      <w:bookmarkStart w:id="1642" w:name="_Toc20744664"/>
      <w:bookmarkStart w:id="1643" w:name="_Toc20754147"/>
      <w:bookmarkStart w:id="1644" w:name="_Toc20487856"/>
      <w:bookmarkStart w:id="1645" w:name="_Toc20488050"/>
      <w:bookmarkStart w:id="1646" w:name="_Toc20744665"/>
      <w:bookmarkStart w:id="1647" w:name="_Toc20754148"/>
      <w:bookmarkStart w:id="1648" w:name="_Toc20487857"/>
      <w:bookmarkStart w:id="1649" w:name="_Toc20488051"/>
      <w:bookmarkStart w:id="1650" w:name="_Toc20744666"/>
      <w:bookmarkStart w:id="1651" w:name="_Toc20754149"/>
      <w:bookmarkStart w:id="1652" w:name="_Toc20487858"/>
      <w:bookmarkStart w:id="1653" w:name="_Toc20488052"/>
      <w:bookmarkStart w:id="1654" w:name="_Toc20744667"/>
      <w:bookmarkStart w:id="1655" w:name="_Toc20754150"/>
      <w:bookmarkStart w:id="1656" w:name="_Toc20487859"/>
      <w:bookmarkStart w:id="1657" w:name="_Toc20488053"/>
      <w:bookmarkStart w:id="1658" w:name="_Toc20744668"/>
      <w:bookmarkStart w:id="1659" w:name="_Toc20754151"/>
      <w:bookmarkStart w:id="1660" w:name="_Toc20487860"/>
      <w:bookmarkStart w:id="1661" w:name="_Toc20488054"/>
      <w:bookmarkStart w:id="1662" w:name="_Toc20744669"/>
      <w:bookmarkStart w:id="1663" w:name="_Toc20754152"/>
      <w:bookmarkStart w:id="1664" w:name="_Toc20380994"/>
      <w:bookmarkStart w:id="1665" w:name="_Toc20484740"/>
      <w:bookmarkStart w:id="1666" w:name="_Toc20484985"/>
      <w:bookmarkStart w:id="1667" w:name="_Toc20487861"/>
      <w:bookmarkStart w:id="1668" w:name="_Toc20488055"/>
      <w:bookmarkStart w:id="1669" w:name="_Toc20744670"/>
      <w:bookmarkStart w:id="1670" w:name="_Toc20754153"/>
      <w:bookmarkStart w:id="1671" w:name="_Toc20380995"/>
      <w:bookmarkStart w:id="1672" w:name="_Toc20484741"/>
      <w:bookmarkStart w:id="1673" w:name="_Toc20484986"/>
      <w:bookmarkStart w:id="1674" w:name="_Toc20487862"/>
      <w:bookmarkStart w:id="1675" w:name="_Toc20488056"/>
      <w:bookmarkStart w:id="1676" w:name="_Toc20744671"/>
      <w:bookmarkStart w:id="1677" w:name="_Toc20754154"/>
      <w:bookmarkStart w:id="1678" w:name="_Toc20380996"/>
      <w:bookmarkStart w:id="1679" w:name="_Toc20484742"/>
      <w:bookmarkStart w:id="1680" w:name="_Toc20484987"/>
      <w:bookmarkStart w:id="1681" w:name="_Toc20487863"/>
      <w:bookmarkStart w:id="1682" w:name="_Toc20488057"/>
      <w:bookmarkStart w:id="1683" w:name="_Toc20744672"/>
      <w:bookmarkStart w:id="1684" w:name="_Toc20754155"/>
      <w:bookmarkStart w:id="1685" w:name="_Toc20487864"/>
      <w:bookmarkStart w:id="1686" w:name="_Toc20488058"/>
      <w:bookmarkStart w:id="1687" w:name="_Toc20744673"/>
      <w:bookmarkStart w:id="1688" w:name="_Toc20754156"/>
      <w:bookmarkStart w:id="1689" w:name="_Toc20487865"/>
      <w:bookmarkStart w:id="1690" w:name="_Toc20488059"/>
      <w:bookmarkStart w:id="1691" w:name="_Toc20744674"/>
      <w:bookmarkStart w:id="1692" w:name="_Toc20754157"/>
      <w:bookmarkStart w:id="1693" w:name="_Toc20487866"/>
      <w:bookmarkStart w:id="1694" w:name="_Toc20488060"/>
      <w:bookmarkStart w:id="1695" w:name="_Toc20744675"/>
      <w:bookmarkStart w:id="1696" w:name="_Toc20754158"/>
      <w:bookmarkStart w:id="1697" w:name="_Toc20487867"/>
      <w:bookmarkStart w:id="1698" w:name="_Toc20488061"/>
      <w:bookmarkStart w:id="1699" w:name="_Toc20744676"/>
      <w:bookmarkStart w:id="1700" w:name="_Toc20754159"/>
      <w:bookmarkStart w:id="1701" w:name="_Toc20487868"/>
      <w:bookmarkStart w:id="1702" w:name="_Toc20488062"/>
      <w:bookmarkStart w:id="1703" w:name="_Toc20744677"/>
      <w:bookmarkStart w:id="1704" w:name="_Toc20754160"/>
      <w:bookmarkStart w:id="1705" w:name="_Toc20487869"/>
      <w:bookmarkStart w:id="1706" w:name="_Toc20488063"/>
      <w:bookmarkStart w:id="1707" w:name="_Toc20744678"/>
      <w:bookmarkStart w:id="1708" w:name="_Toc20754161"/>
      <w:bookmarkStart w:id="1709" w:name="_Toc20487870"/>
      <w:bookmarkStart w:id="1710" w:name="_Toc20488064"/>
      <w:bookmarkStart w:id="1711" w:name="_Toc20744679"/>
      <w:bookmarkStart w:id="1712" w:name="_Toc20754162"/>
      <w:bookmarkStart w:id="1713" w:name="_Toc20487871"/>
      <w:bookmarkStart w:id="1714" w:name="_Toc20488065"/>
      <w:bookmarkStart w:id="1715" w:name="_Toc20744680"/>
      <w:bookmarkStart w:id="1716" w:name="_Toc20754163"/>
      <w:bookmarkStart w:id="1717" w:name="_Toc20487872"/>
      <w:bookmarkStart w:id="1718" w:name="_Toc20488066"/>
      <w:bookmarkStart w:id="1719" w:name="_Toc20744681"/>
      <w:bookmarkStart w:id="1720" w:name="_Toc20754164"/>
      <w:bookmarkStart w:id="1721" w:name="_Toc20487873"/>
      <w:bookmarkStart w:id="1722" w:name="_Toc20488067"/>
      <w:bookmarkStart w:id="1723" w:name="_Toc20744682"/>
      <w:bookmarkStart w:id="1724" w:name="_Toc20754165"/>
      <w:bookmarkStart w:id="1725" w:name="_Toc20487874"/>
      <w:bookmarkStart w:id="1726" w:name="_Toc20488068"/>
      <w:bookmarkStart w:id="1727" w:name="_Toc20744683"/>
      <w:bookmarkStart w:id="1728" w:name="_Toc20754166"/>
      <w:bookmarkStart w:id="1729" w:name="_Toc20487875"/>
      <w:bookmarkStart w:id="1730" w:name="_Toc20488069"/>
      <w:bookmarkStart w:id="1731" w:name="_Toc20744684"/>
      <w:bookmarkStart w:id="1732" w:name="_Toc20754167"/>
      <w:bookmarkStart w:id="1733" w:name="_Toc20487876"/>
      <w:bookmarkStart w:id="1734" w:name="_Toc20488070"/>
      <w:bookmarkStart w:id="1735" w:name="_Toc20744685"/>
      <w:bookmarkStart w:id="1736" w:name="_Toc20754168"/>
      <w:bookmarkStart w:id="1737" w:name="_Toc20484744"/>
      <w:bookmarkStart w:id="1738" w:name="_Toc20484989"/>
      <w:bookmarkStart w:id="1739" w:name="_Toc20487877"/>
      <w:bookmarkStart w:id="1740" w:name="_Toc20488071"/>
      <w:bookmarkStart w:id="1741" w:name="_Toc20744686"/>
      <w:bookmarkStart w:id="1742" w:name="_Toc20754169"/>
      <w:bookmarkStart w:id="1743" w:name="_Toc20487878"/>
      <w:bookmarkStart w:id="1744" w:name="_Toc20488072"/>
      <w:bookmarkStart w:id="1745" w:name="_Toc20744687"/>
      <w:bookmarkStart w:id="1746" w:name="_Toc20754170"/>
      <w:bookmarkStart w:id="1747" w:name="_Toc20487879"/>
      <w:bookmarkStart w:id="1748" w:name="_Toc20488073"/>
      <w:bookmarkStart w:id="1749" w:name="_Toc20744688"/>
      <w:bookmarkStart w:id="1750" w:name="_Toc20754171"/>
      <w:bookmarkStart w:id="1751" w:name="_Toc20487880"/>
      <w:bookmarkStart w:id="1752" w:name="_Toc20488074"/>
      <w:bookmarkStart w:id="1753" w:name="_Toc20744689"/>
      <w:bookmarkStart w:id="1754" w:name="_Toc20754172"/>
      <w:bookmarkStart w:id="1755" w:name="_Toc20487881"/>
      <w:bookmarkStart w:id="1756" w:name="_Toc20488075"/>
      <w:bookmarkStart w:id="1757" w:name="_Toc20744690"/>
      <w:bookmarkStart w:id="1758" w:name="_Toc20754173"/>
      <w:bookmarkStart w:id="1759" w:name="_Toc20487882"/>
      <w:bookmarkStart w:id="1760" w:name="_Toc20488076"/>
      <w:bookmarkStart w:id="1761" w:name="_Toc20744691"/>
      <w:bookmarkStart w:id="1762" w:name="_Toc20754174"/>
      <w:bookmarkStart w:id="1763" w:name="_Toc20487883"/>
      <w:bookmarkStart w:id="1764" w:name="_Toc20488077"/>
      <w:bookmarkStart w:id="1765" w:name="_Toc20744692"/>
      <w:bookmarkStart w:id="1766" w:name="_Toc20754175"/>
      <w:bookmarkStart w:id="1767" w:name="_Toc20487884"/>
      <w:bookmarkStart w:id="1768" w:name="_Toc20488078"/>
      <w:bookmarkStart w:id="1769" w:name="_Toc20744693"/>
      <w:bookmarkStart w:id="1770" w:name="_Toc20754176"/>
      <w:bookmarkStart w:id="1771" w:name="_Toc20487885"/>
      <w:bookmarkStart w:id="1772" w:name="_Toc20488079"/>
      <w:bookmarkStart w:id="1773" w:name="_Toc20744694"/>
      <w:bookmarkStart w:id="1774" w:name="_Toc20754177"/>
      <w:bookmarkStart w:id="1775" w:name="_Toc20487886"/>
      <w:bookmarkStart w:id="1776" w:name="_Toc20488080"/>
      <w:bookmarkStart w:id="1777" w:name="_Toc20744695"/>
      <w:bookmarkStart w:id="1778" w:name="_Toc20754178"/>
      <w:bookmarkStart w:id="1779" w:name="_Toc20487887"/>
      <w:bookmarkStart w:id="1780" w:name="_Toc20488081"/>
      <w:bookmarkStart w:id="1781" w:name="_Toc20744696"/>
      <w:bookmarkStart w:id="1782" w:name="_Toc20754179"/>
      <w:bookmarkStart w:id="1783" w:name="_Toc20487888"/>
      <w:bookmarkStart w:id="1784" w:name="_Toc20488082"/>
      <w:bookmarkStart w:id="1785" w:name="_Toc20744697"/>
      <w:bookmarkStart w:id="1786" w:name="_Toc20754180"/>
      <w:bookmarkStart w:id="1787" w:name="_Toc20487889"/>
      <w:bookmarkStart w:id="1788" w:name="_Toc20488083"/>
      <w:bookmarkStart w:id="1789" w:name="_Toc20744698"/>
      <w:bookmarkStart w:id="1790" w:name="_Toc20754181"/>
      <w:bookmarkStart w:id="1791" w:name="_Toc20487890"/>
      <w:bookmarkStart w:id="1792" w:name="_Toc20488084"/>
      <w:bookmarkStart w:id="1793" w:name="_Toc20744699"/>
      <w:bookmarkStart w:id="1794" w:name="_Toc20754182"/>
      <w:bookmarkStart w:id="1795" w:name="_Toc20487891"/>
      <w:bookmarkStart w:id="1796" w:name="_Toc20488085"/>
      <w:bookmarkStart w:id="1797" w:name="_Toc20744700"/>
      <w:bookmarkStart w:id="1798" w:name="_Toc20754183"/>
      <w:bookmarkStart w:id="1799" w:name="_Toc20487892"/>
      <w:bookmarkStart w:id="1800" w:name="_Toc20488086"/>
      <w:bookmarkStart w:id="1801" w:name="_Toc20744701"/>
      <w:bookmarkStart w:id="1802" w:name="_Toc20754184"/>
      <w:bookmarkStart w:id="1803" w:name="_Toc20487893"/>
      <w:bookmarkStart w:id="1804" w:name="_Toc20488087"/>
      <w:bookmarkStart w:id="1805" w:name="_Toc20744702"/>
      <w:bookmarkStart w:id="1806" w:name="_Toc20754185"/>
      <w:bookmarkStart w:id="1807" w:name="_Toc20487894"/>
      <w:bookmarkStart w:id="1808" w:name="_Toc20488088"/>
      <w:bookmarkStart w:id="1809" w:name="_Toc20744703"/>
      <w:bookmarkStart w:id="1810" w:name="_Toc20754186"/>
      <w:bookmarkStart w:id="1811" w:name="_Toc20487895"/>
      <w:bookmarkStart w:id="1812" w:name="_Toc20488089"/>
      <w:bookmarkStart w:id="1813" w:name="_Toc20744704"/>
      <w:bookmarkStart w:id="1814" w:name="_Toc20754187"/>
      <w:bookmarkStart w:id="1815" w:name="_Toc20487896"/>
      <w:bookmarkStart w:id="1816" w:name="_Toc20488090"/>
      <w:bookmarkStart w:id="1817" w:name="_Toc20744705"/>
      <w:bookmarkStart w:id="1818" w:name="_Toc20754188"/>
      <w:bookmarkStart w:id="1819" w:name="_Toc20487897"/>
      <w:bookmarkStart w:id="1820" w:name="_Toc20488091"/>
      <w:bookmarkStart w:id="1821" w:name="_Toc20744706"/>
      <w:bookmarkStart w:id="1822" w:name="_Toc20754189"/>
      <w:bookmarkStart w:id="1823" w:name="_Toc20487898"/>
      <w:bookmarkStart w:id="1824" w:name="_Toc20488092"/>
      <w:bookmarkStart w:id="1825" w:name="_Toc20744707"/>
      <w:bookmarkStart w:id="1826" w:name="_Toc20754190"/>
      <w:bookmarkStart w:id="1827" w:name="_Toc20380999"/>
      <w:bookmarkStart w:id="1828" w:name="_Toc20484746"/>
      <w:bookmarkStart w:id="1829" w:name="_Toc20484991"/>
      <w:bookmarkStart w:id="1830" w:name="_Toc20487899"/>
      <w:bookmarkStart w:id="1831" w:name="_Toc20488093"/>
      <w:bookmarkStart w:id="1832" w:name="_Toc20744708"/>
      <w:bookmarkStart w:id="1833" w:name="_Toc20754191"/>
      <w:bookmarkStart w:id="1834" w:name="_Toc20381000"/>
      <w:bookmarkStart w:id="1835" w:name="_Toc20484747"/>
      <w:bookmarkStart w:id="1836" w:name="_Toc20484992"/>
      <w:bookmarkStart w:id="1837" w:name="_Toc20487900"/>
      <w:bookmarkStart w:id="1838" w:name="_Toc20488094"/>
      <w:bookmarkStart w:id="1839" w:name="_Toc20744709"/>
      <w:bookmarkStart w:id="1840" w:name="_Toc20754192"/>
      <w:bookmarkStart w:id="1841" w:name="_Toc20487901"/>
      <w:bookmarkStart w:id="1842" w:name="_Toc20488095"/>
      <w:bookmarkStart w:id="1843" w:name="_Toc20744710"/>
      <w:bookmarkStart w:id="1844" w:name="_Toc20754193"/>
      <w:bookmarkStart w:id="1845" w:name="_Toc20487902"/>
      <w:bookmarkStart w:id="1846" w:name="_Toc20488096"/>
      <w:bookmarkStart w:id="1847" w:name="_Toc20744711"/>
      <w:bookmarkStart w:id="1848" w:name="_Toc20754194"/>
      <w:bookmarkStart w:id="1849" w:name="_Toc20487903"/>
      <w:bookmarkStart w:id="1850" w:name="_Toc20488097"/>
      <w:bookmarkStart w:id="1851" w:name="_Toc20744712"/>
      <w:bookmarkStart w:id="1852" w:name="_Toc20754195"/>
      <w:bookmarkStart w:id="1853" w:name="_Toc20487904"/>
      <w:bookmarkStart w:id="1854" w:name="_Toc20488098"/>
      <w:bookmarkStart w:id="1855" w:name="_Toc20744713"/>
      <w:bookmarkStart w:id="1856" w:name="_Toc20754196"/>
      <w:bookmarkStart w:id="1857" w:name="_Toc20487905"/>
      <w:bookmarkStart w:id="1858" w:name="_Toc20488099"/>
      <w:bookmarkStart w:id="1859" w:name="_Toc20744714"/>
      <w:bookmarkStart w:id="1860" w:name="_Toc20754197"/>
      <w:bookmarkStart w:id="1861" w:name="_Toc20487906"/>
      <w:bookmarkStart w:id="1862" w:name="_Toc20488100"/>
      <w:bookmarkStart w:id="1863" w:name="_Toc20744715"/>
      <w:bookmarkStart w:id="1864" w:name="_Toc20754198"/>
      <w:bookmarkStart w:id="1865" w:name="_Toc20487907"/>
      <w:bookmarkStart w:id="1866" w:name="_Toc20488101"/>
      <w:bookmarkStart w:id="1867" w:name="_Toc20744716"/>
      <w:bookmarkStart w:id="1868" w:name="_Toc20754199"/>
      <w:bookmarkStart w:id="1869" w:name="_Toc20487908"/>
      <w:bookmarkStart w:id="1870" w:name="_Toc20488102"/>
      <w:bookmarkStart w:id="1871" w:name="_Toc20744717"/>
      <w:bookmarkStart w:id="1872" w:name="_Toc20754200"/>
      <w:bookmarkStart w:id="1873" w:name="_Toc20487909"/>
      <w:bookmarkStart w:id="1874" w:name="_Toc20488103"/>
      <w:bookmarkStart w:id="1875" w:name="_Toc20744718"/>
      <w:bookmarkStart w:id="1876" w:name="_Toc20754201"/>
      <w:bookmarkStart w:id="1877" w:name="_Toc20487910"/>
      <w:bookmarkStart w:id="1878" w:name="_Toc20488104"/>
      <w:bookmarkStart w:id="1879" w:name="_Toc20744719"/>
      <w:bookmarkStart w:id="1880" w:name="_Toc20754202"/>
      <w:bookmarkStart w:id="1881" w:name="_Toc20487911"/>
      <w:bookmarkStart w:id="1882" w:name="_Toc20488105"/>
      <w:bookmarkStart w:id="1883" w:name="_Toc20744720"/>
      <w:bookmarkStart w:id="1884" w:name="_Toc20754203"/>
      <w:bookmarkStart w:id="1885" w:name="_Toc20487912"/>
      <w:bookmarkStart w:id="1886" w:name="_Toc20488106"/>
      <w:bookmarkStart w:id="1887" w:name="_Toc20744721"/>
      <w:bookmarkStart w:id="1888" w:name="_Toc20754204"/>
      <w:bookmarkStart w:id="1889" w:name="_Toc20487913"/>
      <w:bookmarkStart w:id="1890" w:name="_Toc20488107"/>
      <w:bookmarkStart w:id="1891" w:name="_Toc20744722"/>
      <w:bookmarkStart w:id="1892" w:name="_Toc20754205"/>
      <w:bookmarkStart w:id="1893" w:name="_Toc20487914"/>
      <w:bookmarkStart w:id="1894" w:name="_Toc20488108"/>
      <w:bookmarkStart w:id="1895" w:name="_Toc20744723"/>
      <w:bookmarkStart w:id="1896" w:name="_Toc20754206"/>
      <w:bookmarkStart w:id="1897" w:name="_Toc20487915"/>
      <w:bookmarkStart w:id="1898" w:name="_Toc20488109"/>
      <w:bookmarkStart w:id="1899" w:name="_Toc20744724"/>
      <w:bookmarkStart w:id="1900" w:name="_Toc20754207"/>
      <w:bookmarkStart w:id="1901" w:name="_Toc20487916"/>
      <w:bookmarkStart w:id="1902" w:name="_Toc20488110"/>
      <w:bookmarkStart w:id="1903" w:name="_Toc20744725"/>
      <w:bookmarkStart w:id="1904" w:name="_Toc20754208"/>
      <w:bookmarkStart w:id="1905" w:name="_Toc20487917"/>
      <w:bookmarkStart w:id="1906" w:name="_Toc20488111"/>
      <w:bookmarkStart w:id="1907" w:name="_Toc20744726"/>
      <w:bookmarkStart w:id="1908" w:name="_Toc20754209"/>
      <w:bookmarkStart w:id="1909" w:name="_Toc20487918"/>
      <w:bookmarkStart w:id="1910" w:name="_Toc20488112"/>
      <w:bookmarkStart w:id="1911" w:name="_Toc20744727"/>
      <w:bookmarkStart w:id="1912" w:name="_Toc20754210"/>
      <w:bookmarkStart w:id="1913" w:name="_Toc20487919"/>
      <w:bookmarkStart w:id="1914" w:name="_Toc20488113"/>
      <w:bookmarkStart w:id="1915" w:name="_Toc20744728"/>
      <w:bookmarkStart w:id="1916" w:name="_Toc20754211"/>
      <w:bookmarkStart w:id="1917" w:name="_Toc20487920"/>
      <w:bookmarkStart w:id="1918" w:name="_Toc20488114"/>
      <w:bookmarkStart w:id="1919" w:name="_Toc20744729"/>
      <w:bookmarkStart w:id="1920" w:name="_Toc20754212"/>
      <w:bookmarkStart w:id="1921" w:name="_Toc20487921"/>
      <w:bookmarkStart w:id="1922" w:name="_Toc20488115"/>
      <w:bookmarkStart w:id="1923" w:name="_Toc20744730"/>
      <w:bookmarkStart w:id="1924" w:name="_Toc20754213"/>
      <w:bookmarkStart w:id="1925" w:name="_Toc20487922"/>
      <w:bookmarkStart w:id="1926" w:name="_Toc20488116"/>
      <w:bookmarkStart w:id="1927" w:name="_Toc20744731"/>
      <w:bookmarkStart w:id="1928" w:name="_Toc20754214"/>
      <w:bookmarkStart w:id="1929" w:name="_Toc20487923"/>
      <w:bookmarkStart w:id="1930" w:name="_Toc20488117"/>
      <w:bookmarkStart w:id="1931" w:name="_Toc20744732"/>
      <w:bookmarkStart w:id="1932" w:name="_Toc20754215"/>
      <w:bookmarkStart w:id="1933" w:name="_Toc20487924"/>
      <w:bookmarkStart w:id="1934" w:name="_Toc20488118"/>
      <w:bookmarkStart w:id="1935" w:name="_Toc20744733"/>
      <w:bookmarkStart w:id="1936" w:name="_Toc20754216"/>
      <w:bookmarkStart w:id="1937" w:name="_Toc20487925"/>
      <w:bookmarkStart w:id="1938" w:name="_Toc20488119"/>
      <w:bookmarkStart w:id="1939" w:name="_Toc20744734"/>
      <w:bookmarkStart w:id="1940" w:name="_Toc20754217"/>
      <w:bookmarkStart w:id="1941" w:name="_Toc20381003"/>
      <w:bookmarkStart w:id="1942" w:name="_Toc20484750"/>
      <w:bookmarkStart w:id="1943" w:name="_Toc20484995"/>
      <w:bookmarkStart w:id="1944" w:name="_Toc20487926"/>
      <w:bookmarkStart w:id="1945" w:name="_Toc20488120"/>
      <w:bookmarkStart w:id="1946" w:name="_Toc20744735"/>
      <w:bookmarkStart w:id="1947" w:name="_Toc20754218"/>
      <w:bookmarkStart w:id="1948" w:name="_Toc20124193"/>
      <w:bookmarkStart w:id="1949" w:name="_Toc20124982"/>
      <w:bookmarkStart w:id="1950" w:name="_Toc20127036"/>
      <w:bookmarkStart w:id="1951" w:name="_Toc20381004"/>
      <w:bookmarkStart w:id="1952" w:name="_Toc20484751"/>
      <w:bookmarkStart w:id="1953" w:name="_Toc20484996"/>
      <w:bookmarkStart w:id="1954" w:name="_Toc20487927"/>
      <w:bookmarkStart w:id="1955" w:name="_Toc20488121"/>
      <w:bookmarkStart w:id="1956" w:name="_Toc20744736"/>
      <w:bookmarkStart w:id="1957" w:name="_Toc20754219"/>
      <w:bookmarkStart w:id="1958" w:name="_Toc20487928"/>
      <w:bookmarkStart w:id="1959" w:name="_Toc20488122"/>
      <w:bookmarkStart w:id="1960" w:name="_Toc20744737"/>
      <w:bookmarkStart w:id="1961" w:name="_Toc20754220"/>
      <w:bookmarkStart w:id="1962" w:name="_Toc20487929"/>
      <w:bookmarkStart w:id="1963" w:name="_Toc20488123"/>
      <w:bookmarkStart w:id="1964" w:name="_Toc20744738"/>
      <w:bookmarkStart w:id="1965" w:name="_Toc20754221"/>
      <w:bookmarkStart w:id="1966" w:name="_Toc20487930"/>
      <w:bookmarkStart w:id="1967" w:name="_Toc20488124"/>
      <w:bookmarkStart w:id="1968" w:name="_Toc20744739"/>
      <w:bookmarkStart w:id="1969" w:name="_Toc20754222"/>
      <w:bookmarkStart w:id="1970" w:name="_Toc20487931"/>
      <w:bookmarkStart w:id="1971" w:name="_Toc20488125"/>
      <w:bookmarkStart w:id="1972" w:name="_Toc20744740"/>
      <w:bookmarkStart w:id="1973" w:name="_Toc20754223"/>
      <w:bookmarkStart w:id="1974" w:name="_Toc20487932"/>
      <w:bookmarkStart w:id="1975" w:name="_Toc20488126"/>
      <w:bookmarkStart w:id="1976" w:name="_Toc20744741"/>
      <w:bookmarkStart w:id="1977" w:name="_Toc20754224"/>
      <w:bookmarkStart w:id="1978" w:name="_Toc20487933"/>
      <w:bookmarkStart w:id="1979" w:name="_Toc20488127"/>
      <w:bookmarkStart w:id="1980" w:name="_Toc20744742"/>
      <w:bookmarkStart w:id="1981" w:name="_Toc20754225"/>
      <w:bookmarkStart w:id="1982" w:name="_Toc20487934"/>
      <w:bookmarkStart w:id="1983" w:name="_Toc20488128"/>
      <w:bookmarkStart w:id="1984" w:name="_Toc20744743"/>
      <w:bookmarkStart w:id="1985" w:name="_Toc20754226"/>
      <w:bookmarkStart w:id="1986" w:name="_Toc20487935"/>
      <w:bookmarkStart w:id="1987" w:name="_Toc20488129"/>
      <w:bookmarkStart w:id="1988" w:name="_Toc20744744"/>
      <w:bookmarkStart w:id="1989" w:name="_Toc20754227"/>
      <w:bookmarkStart w:id="1990" w:name="_Toc20487936"/>
      <w:bookmarkStart w:id="1991" w:name="_Toc20488130"/>
      <w:bookmarkStart w:id="1992" w:name="_Toc20744745"/>
      <w:bookmarkStart w:id="1993" w:name="_Toc20754228"/>
      <w:bookmarkStart w:id="1994" w:name="_Toc20487937"/>
      <w:bookmarkStart w:id="1995" w:name="_Toc20488131"/>
      <w:bookmarkStart w:id="1996" w:name="_Toc20744746"/>
      <w:bookmarkStart w:id="1997" w:name="_Toc20754229"/>
      <w:bookmarkStart w:id="1998" w:name="_Toc20487938"/>
      <w:bookmarkStart w:id="1999" w:name="_Toc20488132"/>
      <w:bookmarkStart w:id="2000" w:name="_Toc20744747"/>
      <w:bookmarkStart w:id="2001" w:name="_Toc20754230"/>
      <w:bookmarkStart w:id="2002" w:name="_Toc20487939"/>
      <w:bookmarkStart w:id="2003" w:name="_Toc20488133"/>
      <w:bookmarkStart w:id="2004" w:name="_Toc20744748"/>
      <w:bookmarkStart w:id="2005" w:name="_Toc20754231"/>
      <w:bookmarkStart w:id="2006" w:name="_Toc20487940"/>
      <w:bookmarkStart w:id="2007" w:name="_Toc20488134"/>
      <w:bookmarkStart w:id="2008" w:name="_Toc20744749"/>
      <w:bookmarkStart w:id="2009" w:name="_Toc20754232"/>
      <w:bookmarkStart w:id="2010" w:name="_Toc20487941"/>
      <w:bookmarkStart w:id="2011" w:name="_Toc20488135"/>
      <w:bookmarkStart w:id="2012" w:name="_Toc20744750"/>
      <w:bookmarkStart w:id="2013" w:name="_Toc20754233"/>
      <w:bookmarkStart w:id="2014" w:name="_Toc20487942"/>
      <w:bookmarkStart w:id="2015" w:name="_Toc20488136"/>
      <w:bookmarkStart w:id="2016" w:name="_Toc20744751"/>
      <w:bookmarkStart w:id="2017" w:name="_Toc20754234"/>
      <w:bookmarkStart w:id="2018" w:name="_Toc20487943"/>
      <w:bookmarkStart w:id="2019" w:name="_Toc20488137"/>
      <w:bookmarkStart w:id="2020" w:name="_Toc20744752"/>
      <w:bookmarkStart w:id="2021" w:name="_Toc20754235"/>
      <w:bookmarkStart w:id="2022" w:name="_Toc20487944"/>
      <w:bookmarkStart w:id="2023" w:name="_Toc20488138"/>
      <w:bookmarkStart w:id="2024" w:name="_Toc20744753"/>
      <w:bookmarkStart w:id="2025" w:name="_Toc20754236"/>
      <w:bookmarkStart w:id="2026" w:name="_Toc20487945"/>
      <w:bookmarkStart w:id="2027" w:name="_Toc20488139"/>
      <w:bookmarkStart w:id="2028" w:name="_Toc20744754"/>
      <w:bookmarkStart w:id="2029" w:name="_Toc20754237"/>
      <w:bookmarkStart w:id="2030" w:name="_Toc81993603"/>
      <w:bookmarkStart w:id="2031" w:name="_Toc121213946"/>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r w:rsidRPr="00FD77A7">
        <w:lastRenderedPageBreak/>
        <w:t>Approach</w:t>
      </w:r>
      <w:r>
        <w:t xml:space="preserve"> to the </w:t>
      </w:r>
      <w:r w:rsidRPr="00EF172D">
        <w:t>Assessment</w:t>
      </w:r>
      <w:bookmarkEnd w:id="2030"/>
      <w:bookmarkEnd w:id="2031"/>
      <w:r>
        <w:t xml:space="preserve"> </w:t>
      </w:r>
    </w:p>
    <w:p w14:paraId="632C6FB1" w14:textId="0E6303F2" w:rsidR="000C6958" w:rsidRDefault="000C6958" w:rsidP="00FD77A7">
      <w:pPr>
        <w:pStyle w:val="Heading2"/>
      </w:pPr>
      <w:bookmarkStart w:id="2032" w:name="_Toc81993604"/>
      <w:bookmarkStart w:id="2033" w:name="_Toc121213947"/>
      <w:r w:rsidRPr="00FD77A7">
        <w:t>Assessment Overview</w:t>
      </w:r>
      <w:bookmarkEnd w:id="2032"/>
      <w:bookmarkEnd w:id="2033"/>
    </w:p>
    <w:p w14:paraId="57178BE2" w14:textId="03A0FE92" w:rsidR="00A5590F" w:rsidRDefault="00A5590F" w:rsidP="00D56DE8">
      <w:pPr>
        <w:pStyle w:val="STPR2BodyText"/>
      </w:pPr>
      <w:r>
        <w:t xml:space="preserve">The ICIA and other impact assessments have </w:t>
      </w:r>
      <w:r w:rsidRPr="00C34450">
        <w:t>align</w:t>
      </w:r>
      <w:r>
        <w:t>ed</w:t>
      </w:r>
      <w:r w:rsidRPr="00C34450">
        <w:t xml:space="preserve"> with each STAG stage</w:t>
      </w:r>
      <w:r>
        <w:t xml:space="preserve">, in order to maximise influence of impact assessment work in the </w:t>
      </w:r>
      <w:r w:rsidRPr="00C34450">
        <w:t>overall assessment process</w:t>
      </w:r>
      <w:r>
        <w:t>.</w:t>
      </w:r>
      <w:r w:rsidRPr="00C82FC3">
        <w:rPr>
          <w:b/>
        </w:rPr>
        <w:t xml:space="preserve"> </w:t>
      </w:r>
      <w:r w:rsidR="000E2FA8">
        <w:rPr>
          <w:bCs/>
        </w:rPr>
        <w:fldChar w:fldCharType="begin"/>
      </w:r>
      <w:r w:rsidR="000E2FA8">
        <w:rPr>
          <w:b/>
        </w:rPr>
        <w:instrText xml:space="preserve"> REF _Ref121210792 \h </w:instrText>
      </w:r>
      <w:r w:rsidR="000E2FA8">
        <w:rPr>
          <w:bCs/>
        </w:rPr>
      </w:r>
      <w:r w:rsidR="000E2FA8">
        <w:rPr>
          <w:bCs/>
        </w:rPr>
        <w:fldChar w:fldCharType="separate"/>
      </w:r>
      <w:r w:rsidR="00B71F51" w:rsidRPr="002E45F6">
        <w:t xml:space="preserve">Table </w:t>
      </w:r>
      <w:r w:rsidR="00B71F51">
        <w:rPr>
          <w:noProof/>
        </w:rPr>
        <w:t>3</w:t>
      </w:r>
      <w:r w:rsidR="000E2FA8">
        <w:rPr>
          <w:bCs/>
        </w:rPr>
        <w:fldChar w:fldCharType="end"/>
      </w:r>
      <w:r w:rsidR="000E2FA8">
        <w:rPr>
          <w:bCs/>
        </w:rPr>
        <w:t xml:space="preserve"> </w:t>
      </w:r>
      <w:r w:rsidRPr="00737715">
        <w:t xml:space="preserve">sets out how the </w:t>
      </w:r>
      <w:r>
        <w:t>ICIA</w:t>
      </w:r>
      <w:r w:rsidRPr="00737715">
        <w:t xml:space="preserve"> process </w:t>
      </w:r>
      <w:r w:rsidRPr="00EA00ED">
        <w:t>align</w:t>
      </w:r>
      <w:r>
        <w:t>s</w:t>
      </w:r>
      <w:r w:rsidRPr="00EA00ED">
        <w:t xml:space="preserve"> with</w:t>
      </w:r>
      <w:r>
        <w:t xml:space="preserve"> </w:t>
      </w:r>
      <w:r w:rsidRPr="00EA00ED">
        <w:t>STAG</w:t>
      </w:r>
      <w:r>
        <w:t>’s</w:t>
      </w:r>
      <w:r w:rsidRPr="00EA00ED">
        <w:t xml:space="preserve"> four-stage assessment process</w:t>
      </w:r>
      <w:r>
        <w:t xml:space="preserve">. </w:t>
      </w:r>
    </w:p>
    <w:p w14:paraId="1EDDBF4A" w14:textId="7385A2F5" w:rsidR="00A5590F" w:rsidRDefault="003E5485" w:rsidP="00BB3BA4">
      <w:pPr>
        <w:pStyle w:val="STPR2Caption"/>
      </w:pPr>
      <w:bookmarkStart w:id="2034" w:name="_Ref120098879"/>
      <w:bookmarkStart w:id="2035" w:name="_Ref121210792"/>
      <w:bookmarkStart w:id="2036" w:name="_Toc121213963"/>
      <w:r w:rsidRPr="002E45F6">
        <w:t>Table</w:t>
      </w:r>
      <w:bookmarkEnd w:id="2034"/>
      <w:r w:rsidRPr="002E45F6">
        <w:t xml:space="preserve"> </w:t>
      </w:r>
      <w:r w:rsidR="00293A74">
        <w:fldChar w:fldCharType="begin"/>
      </w:r>
      <w:r w:rsidR="00293A74">
        <w:instrText xml:space="preserve"> SEQ Table \* ARABIC </w:instrText>
      </w:r>
      <w:r w:rsidR="00293A74">
        <w:fldChar w:fldCharType="separate"/>
      </w:r>
      <w:r w:rsidR="00B71F51">
        <w:rPr>
          <w:noProof/>
        </w:rPr>
        <w:t>3</w:t>
      </w:r>
      <w:r w:rsidR="00293A74">
        <w:rPr>
          <w:noProof/>
        </w:rPr>
        <w:fldChar w:fldCharType="end"/>
      </w:r>
      <w:bookmarkEnd w:id="2035"/>
      <w:r w:rsidRPr="002E45F6">
        <w:t xml:space="preserve"> </w:t>
      </w:r>
      <w:r w:rsidR="000E2FA8">
        <w:t>–</w:t>
      </w:r>
      <w:r w:rsidRPr="002E45F6">
        <w:t xml:space="preserve"> </w:t>
      </w:r>
      <w:r w:rsidR="00A5590F" w:rsidRPr="002E45F6">
        <w:t>Stages of Assessment</w:t>
      </w:r>
      <w:bookmarkEnd w:id="2036"/>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0"/>
      </w:tblGrid>
      <w:tr w:rsidR="00BB3BA4" w:rsidRPr="000E2FA8" w14:paraId="26812148" w14:textId="77777777" w:rsidTr="000E2FA8">
        <w:tc>
          <w:tcPr>
            <w:tcW w:w="5000" w:type="pct"/>
            <w:shd w:val="clear" w:color="auto" w:fill="007D55"/>
          </w:tcPr>
          <w:p w14:paraId="4CF46192" w14:textId="77777777" w:rsidR="000E2FA8" w:rsidRPr="000E2FA8" w:rsidRDefault="000E2FA8" w:rsidP="000E2FA8">
            <w:pPr>
              <w:pStyle w:val="TABLEHEADINGWHITE"/>
            </w:pPr>
            <w:r w:rsidRPr="000E2FA8">
              <w:t>Initial Appraisal: Case for Change</w:t>
            </w:r>
          </w:p>
          <w:p w14:paraId="4F20559C" w14:textId="5530010C" w:rsidR="00BB3BA4" w:rsidRPr="000E2FA8" w:rsidRDefault="000E2FA8" w:rsidP="000E2FA8">
            <w:pPr>
              <w:pStyle w:val="TABLEHEADINGWHITE"/>
            </w:pPr>
            <w:r w:rsidRPr="000E2FA8">
              <w:t>Transport Planning Objectives (TPOs)</w:t>
            </w:r>
          </w:p>
        </w:tc>
      </w:tr>
      <w:tr w:rsidR="00BB3BA4" w:rsidRPr="000E2FA8" w14:paraId="236DB750" w14:textId="77777777" w:rsidTr="000E2FA8">
        <w:tc>
          <w:tcPr>
            <w:tcW w:w="5000" w:type="pct"/>
            <w:shd w:val="clear" w:color="auto" w:fill="DCEDC6"/>
          </w:tcPr>
          <w:p w14:paraId="42E6984E" w14:textId="5475669A" w:rsidR="00BB3BA4" w:rsidRPr="000E2FA8" w:rsidRDefault="000E2FA8" w:rsidP="000E2FA8">
            <w:pPr>
              <w:pStyle w:val="STPR2TableBody"/>
            </w:pPr>
            <w:r w:rsidRPr="000E2FA8">
              <w:t>The impact assessment team provided sufficient information on relevant baseline constraints and policy to influence the development of both national and regionally specific TPOs and ensure that the TPOs were compatible with the STPR2 Equality Objectives developed for STPR2 impact assessments.</w:t>
            </w:r>
          </w:p>
        </w:tc>
      </w:tr>
      <w:tr w:rsidR="00BB3BA4" w:rsidRPr="000E2FA8" w14:paraId="7A0E410E" w14:textId="77777777" w:rsidTr="000E2FA8">
        <w:tc>
          <w:tcPr>
            <w:tcW w:w="5000" w:type="pct"/>
            <w:shd w:val="clear" w:color="auto" w:fill="007D55"/>
          </w:tcPr>
          <w:p w14:paraId="431E3CC6" w14:textId="65858C01" w:rsidR="00BB3BA4" w:rsidRPr="000E2FA8" w:rsidRDefault="000E2FA8" w:rsidP="000E2FA8">
            <w:pPr>
              <w:pStyle w:val="TABLEHEADINGWHITE"/>
            </w:pPr>
            <w:r w:rsidRPr="000E2FA8">
              <w:t>Regional and National Case for Change Reports</w:t>
            </w:r>
          </w:p>
        </w:tc>
      </w:tr>
      <w:tr w:rsidR="00BB3BA4" w:rsidRPr="000E2FA8" w14:paraId="0915F403" w14:textId="77777777" w:rsidTr="000E2FA8">
        <w:tc>
          <w:tcPr>
            <w:tcW w:w="5000" w:type="pct"/>
            <w:shd w:val="clear" w:color="auto" w:fill="DCEDC6"/>
          </w:tcPr>
          <w:p w14:paraId="0FE2C115" w14:textId="50302FD0" w:rsidR="00BB3BA4" w:rsidRPr="000E2FA8" w:rsidRDefault="000E2FA8" w:rsidP="000E2FA8">
            <w:pPr>
              <w:pStyle w:val="STPR2TableBody"/>
            </w:pPr>
            <w:r w:rsidRPr="000E2FA8">
              <w:t>Summary of the equalities baseline that is pertinent to each of the STPR2 regions was included in the Regional Case for Change reports.</w:t>
            </w:r>
          </w:p>
        </w:tc>
      </w:tr>
      <w:tr w:rsidR="00BB3BA4" w:rsidRPr="000E2FA8" w14:paraId="44362222" w14:textId="77777777" w:rsidTr="000E2FA8">
        <w:tc>
          <w:tcPr>
            <w:tcW w:w="5000" w:type="pct"/>
            <w:shd w:val="clear" w:color="auto" w:fill="007D55"/>
          </w:tcPr>
          <w:p w14:paraId="2A3EBF1A" w14:textId="6DDFC7B4" w:rsidR="00BB3BA4" w:rsidRPr="000E2FA8" w:rsidRDefault="000E2FA8" w:rsidP="000E2FA8">
            <w:pPr>
              <w:pStyle w:val="TABLEHEADINGWHITE"/>
            </w:pPr>
            <w:r w:rsidRPr="000E2FA8">
              <w:t>Long List Options Assessment</w:t>
            </w:r>
          </w:p>
        </w:tc>
      </w:tr>
      <w:tr w:rsidR="00BB3BA4" w:rsidRPr="000E2FA8" w14:paraId="008F896A" w14:textId="77777777" w:rsidTr="000E2FA8">
        <w:tc>
          <w:tcPr>
            <w:tcW w:w="5000" w:type="pct"/>
            <w:shd w:val="clear" w:color="auto" w:fill="DCEDC6"/>
          </w:tcPr>
          <w:p w14:paraId="6BC85C73" w14:textId="19EAAF73" w:rsidR="00BB3BA4" w:rsidRPr="000E2FA8" w:rsidRDefault="000E2FA8" w:rsidP="000E2FA8">
            <w:pPr>
              <w:pStyle w:val="STPR2TableBody"/>
            </w:pPr>
            <w:r w:rsidRPr="000E2FA8">
              <w:t>A high-level compatibility check of the long list of STPR2 options against the EqIA Objectives. A commentary has been provided for each theme and intervention listed, highlighting any significant equalities constraints / opportunities.</w:t>
            </w:r>
          </w:p>
        </w:tc>
      </w:tr>
      <w:tr w:rsidR="00BB3BA4" w:rsidRPr="000E2FA8" w14:paraId="50B2DC6E" w14:textId="77777777" w:rsidTr="000E2FA8">
        <w:tc>
          <w:tcPr>
            <w:tcW w:w="5000" w:type="pct"/>
            <w:shd w:val="clear" w:color="auto" w:fill="007D55"/>
          </w:tcPr>
          <w:p w14:paraId="1D974EB3" w14:textId="2BF0C0AC" w:rsidR="00BB3BA4" w:rsidRPr="000E2FA8" w:rsidRDefault="000E2FA8" w:rsidP="000E2FA8">
            <w:pPr>
              <w:pStyle w:val="TABLEHEADINGWHITE"/>
            </w:pPr>
            <w:r w:rsidRPr="000E2FA8">
              <w:t>Preliminary Appraisal</w:t>
            </w:r>
          </w:p>
        </w:tc>
      </w:tr>
      <w:tr w:rsidR="000E2FA8" w:rsidRPr="000E2FA8" w14:paraId="24A1D238" w14:textId="77777777" w:rsidTr="000E2FA8">
        <w:tc>
          <w:tcPr>
            <w:tcW w:w="5000" w:type="pct"/>
            <w:shd w:val="clear" w:color="auto" w:fill="DCEDC6"/>
          </w:tcPr>
          <w:p w14:paraId="2DD6CDCC" w14:textId="54D8D6C4" w:rsidR="000E2FA8" w:rsidRPr="000E2FA8" w:rsidRDefault="000E2FA8" w:rsidP="000E2FA8">
            <w:pPr>
              <w:pStyle w:val="STPR2TableBody"/>
            </w:pPr>
            <w:r w:rsidRPr="000E2FA8">
              <w:t>A matrix-based assessment of shortlisted interventions was undertaken using the EqIA Objectives / assessment questions to guide assessment, aligning with STAG criteria and EqIA requirements. Commentary has been provided to justify the scoring and consider relevant likely significant effects, mitigation, assumptions and uncertainties where relevant. This assessment identified recommendations / mitigation at this stage and focused on refinements to wording, intervention options, caveats and monitoring controls, based on the EqIA Objectives and underlying assessment guide questions.</w:t>
            </w:r>
          </w:p>
        </w:tc>
      </w:tr>
      <w:tr w:rsidR="000E2FA8" w:rsidRPr="000E2FA8" w14:paraId="44D1F53C" w14:textId="77777777" w:rsidTr="000E2FA8">
        <w:tc>
          <w:tcPr>
            <w:tcW w:w="5000" w:type="pct"/>
            <w:shd w:val="clear" w:color="auto" w:fill="007D55"/>
          </w:tcPr>
          <w:p w14:paraId="6AEDEE0A" w14:textId="5F57C3F1" w:rsidR="000E2FA8" w:rsidRPr="000E2FA8" w:rsidRDefault="000E2FA8" w:rsidP="000E2FA8">
            <w:pPr>
              <w:pStyle w:val="TABLEHEADINGWHITE"/>
            </w:pPr>
            <w:r w:rsidRPr="000E2FA8">
              <w:t>Detailed Appraisal</w:t>
            </w:r>
          </w:p>
        </w:tc>
      </w:tr>
      <w:tr w:rsidR="000E2FA8" w:rsidRPr="000E2FA8" w14:paraId="2B1ACC38" w14:textId="77777777" w:rsidTr="000E2FA8">
        <w:tc>
          <w:tcPr>
            <w:tcW w:w="5000" w:type="pct"/>
            <w:shd w:val="clear" w:color="auto" w:fill="DCEDC6"/>
          </w:tcPr>
          <w:p w14:paraId="1D0D87AD" w14:textId="6A4778D2" w:rsidR="000E2FA8" w:rsidRPr="000E2FA8" w:rsidRDefault="000E2FA8" w:rsidP="000E2FA8">
            <w:pPr>
              <w:pStyle w:val="STPR2TableBody"/>
            </w:pPr>
            <w:r w:rsidRPr="000E2FA8">
              <w:t>Equalities-related components of the STAG assessment with a more detailed assessment of STPR2 packages against aligned STAG and EqIA topics using EqIA Objectives and assessment questions as a guide. The assessment utilises a 7-point scoring system for EqIA for each of the STPR2 packages as shown in Table 4. The commentary justifies the scoring and considers relevant likely significant effects, mitigation, assumptions and uncertainties where relevant.</w:t>
            </w:r>
          </w:p>
        </w:tc>
      </w:tr>
      <w:tr w:rsidR="000E2FA8" w:rsidRPr="000E2FA8" w14:paraId="4CFA5EF3" w14:textId="77777777" w:rsidTr="000E2FA8">
        <w:tc>
          <w:tcPr>
            <w:tcW w:w="5000" w:type="pct"/>
            <w:shd w:val="clear" w:color="auto" w:fill="007D55"/>
          </w:tcPr>
          <w:p w14:paraId="3E25D8C9" w14:textId="7406E8BC" w:rsidR="000E2FA8" w:rsidRPr="000E2FA8" w:rsidRDefault="000E2FA8" w:rsidP="000E2FA8">
            <w:pPr>
              <w:pStyle w:val="TABLEHEADINGWHITE"/>
              <w:keepNext/>
              <w:keepLines/>
            </w:pPr>
            <w:r w:rsidRPr="000E2FA8">
              <w:lastRenderedPageBreak/>
              <w:t>Post Appraisal: Monitoring and Evaluation</w:t>
            </w:r>
          </w:p>
        </w:tc>
      </w:tr>
      <w:tr w:rsidR="000E2FA8" w:rsidRPr="000E2FA8" w14:paraId="14674256" w14:textId="77777777" w:rsidTr="000E2FA8">
        <w:tc>
          <w:tcPr>
            <w:tcW w:w="5000" w:type="pct"/>
            <w:shd w:val="clear" w:color="auto" w:fill="DCEDC6"/>
          </w:tcPr>
          <w:p w14:paraId="50EC4D88" w14:textId="50CC6576" w:rsidR="000E2FA8" w:rsidRPr="000E2FA8" w:rsidRDefault="000E2FA8" w:rsidP="000E2FA8">
            <w:pPr>
              <w:pStyle w:val="STPR2TableBody"/>
            </w:pPr>
            <w:r w:rsidRPr="000E2FA8">
              <w:t>A Post Adoption Statement that takes consultation comments into account will be published following the adoption of the recommendations within the STPR2 Final</w:t>
            </w:r>
            <w:r>
              <w:t> </w:t>
            </w:r>
            <w:r w:rsidRPr="000E2FA8">
              <w:t>Report.</w:t>
            </w:r>
          </w:p>
        </w:tc>
      </w:tr>
    </w:tbl>
    <w:p w14:paraId="75779A86" w14:textId="3D0B6F62" w:rsidR="00DD5D0C" w:rsidRDefault="00DD5D0C" w:rsidP="000E2FA8">
      <w:pPr>
        <w:pStyle w:val="Heading2"/>
        <w:spacing w:before="240"/>
      </w:pPr>
      <w:bookmarkStart w:id="2037" w:name="_Toc121213948"/>
      <w:r>
        <w:t xml:space="preserve">STPR2 </w:t>
      </w:r>
      <w:r w:rsidR="00B70657">
        <w:t>ICIA</w:t>
      </w:r>
      <w:r>
        <w:t xml:space="preserve"> </w:t>
      </w:r>
      <w:r w:rsidR="004B7E2B">
        <w:t>T</w:t>
      </w:r>
      <w:r w:rsidR="00037478">
        <w:t xml:space="preserve">opic and </w:t>
      </w:r>
      <w:r w:rsidR="004B7E2B">
        <w:t>O</w:t>
      </w:r>
      <w:r>
        <w:t>bjective</w:t>
      </w:r>
      <w:bookmarkEnd w:id="2037"/>
    </w:p>
    <w:p w14:paraId="3377D8DC" w14:textId="4F25B0AB" w:rsidR="00750864" w:rsidRPr="00D8043C" w:rsidRDefault="00750864" w:rsidP="00D56DE8">
      <w:pPr>
        <w:pStyle w:val="STPR2BodyText"/>
      </w:pPr>
      <w:bookmarkStart w:id="2038" w:name="_Ref89162202"/>
      <w:r w:rsidRPr="00D8043C">
        <w:t xml:space="preserve">The social and equality related impact assessment work has been carried out using a set of ‘Equality’ </w:t>
      </w:r>
      <w:r w:rsidR="00037478" w:rsidRPr="00D8043C">
        <w:t>topics and o</w:t>
      </w:r>
      <w:r w:rsidRPr="00D8043C">
        <w:t xml:space="preserve">bjectives </w:t>
      </w:r>
      <w:r w:rsidR="00037478" w:rsidRPr="00D8043C">
        <w:t>with</w:t>
      </w:r>
      <w:r w:rsidRPr="00D8043C">
        <w:t xml:space="preserve"> assessment guidance questions</w:t>
      </w:r>
      <w:r w:rsidR="00E77691" w:rsidRPr="00D8043C">
        <w:t xml:space="preserve"> (see </w:t>
      </w:r>
      <w:r w:rsidR="008E0FF3">
        <w:fldChar w:fldCharType="begin"/>
      </w:r>
      <w:r w:rsidR="008E0FF3">
        <w:instrText xml:space="preserve"> REF _Ref121229116 \n \h </w:instrText>
      </w:r>
      <w:r w:rsidR="008E0FF3">
        <w:fldChar w:fldCharType="separate"/>
      </w:r>
      <w:r w:rsidR="00B71F51">
        <w:t>Appendix B:</w:t>
      </w:r>
      <w:r w:rsidR="008E0FF3">
        <w:fldChar w:fldCharType="end"/>
      </w:r>
      <w:r w:rsidR="00E77691" w:rsidRPr="00D8043C">
        <w:t>)</w:t>
      </w:r>
      <w:r w:rsidRPr="00D8043C">
        <w:t>. These were developed through:</w:t>
      </w:r>
    </w:p>
    <w:p w14:paraId="17C730BD" w14:textId="77777777" w:rsidR="00750864" w:rsidRPr="00547879" w:rsidRDefault="00750864" w:rsidP="00D56DE8">
      <w:pPr>
        <w:pStyle w:val="STPR2BulletsLevel1"/>
      </w:pPr>
      <w:r w:rsidRPr="00547879">
        <w:t>a comprehensive review of the baseline issues and policy requirements with regards to protected characteristic groups, island communities, socially-economic disadvantaged and children and young people;</w:t>
      </w:r>
    </w:p>
    <w:p w14:paraId="4FA57AB5" w14:textId="77777777" w:rsidR="00750864" w:rsidRPr="00547879" w:rsidRDefault="00750864" w:rsidP="00D56DE8">
      <w:pPr>
        <w:pStyle w:val="STPR2BulletsLevel1"/>
      </w:pPr>
      <w:r w:rsidRPr="00547879">
        <w:t>a gap analysis review of the STAG criteria; and</w:t>
      </w:r>
    </w:p>
    <w:p w14:paraId="1A614680" w14:textId="77777777" w:rsidR="00750864" w:rsidRPr="00547879" w:rsidRDefault="00750864" w:rsidP="00D56DE8">
      <w:pPr>
        <w:pStyle w:val="STPR2BulletsLevel1"/>
      </w:pPr>
      <w:r w:rsidRPr="00547879">
        <w:t xml:space="preserve">feedback received from the </w:t>
      </w:r>
      <w:r>
        <w:t>c</w:t>
      </w:r>
      <w:r w:rsidRPr="00547879">
        <w:t xml:space="preserve">onsultation activities. </w:t>
      </w:r>
    </w:p>
    <w:p w14:paraId="20DA60B0" w14:textId="7ABCDADD" w:rsidR="00750864" w:rsidRDefault="00750864" w:rsidP="00D56DE8">
      <w:pPr>
        <w:pStyle w:val="STPR2BodyText"/>
      </w:pPr>
      <w:r>
        <w:t xml:space="preserve">These objectives and guidance questions form the </w:t>
      </w:r>
      <w:r w:rsidRPr="00CF3A22">
        <w:t>assessment</w:t>
      </w:r>
      <w:r>
        <w:t xml:space="preserve"> framework across all of the social and equality related impact assessments and </w:t>
      </w:r>
      <w:r w:rsidR="004D64B6">
        <w:t xml:space="preserve">are </w:t>
      </w:r>
      <w:r>
        <w:t>used to determine the likely significant effects</w:t>
      </w:r>
      <w:r w:rsidRPr="00CF3A22">
        <w:t xml:space="preserve"> </w:t>
      </w:r>
      <w:r>
        <w:t>of STPR2.</w:t>
      </w:r>
      <w:r w:rsidRPr="00CF3A22">
        <w:t xml:space="preserve"> </w:t>
      </w:r>
      <w:r>
        <w:t xml:space="preserve">The </w:t>
      </w:r>
      <w:r w:rsidR="00187E77">
        <w:t xml:space="preserve">key </w:t>
      </w:r>
      <w:r>
        <w:t>Equality</w:t>
      </w:r>
      <w:r w:rsidR="00037478">
        <w:t xml:space="preserve"> </w:t>
      </w:r>
      <w:r w:rsidR="002A668A">
        <w:t>t</w:t>
      </w:r>
      <w:r w:rsidR="00037478">
        <w:t>op</w:t>
      </w:r>
      <w:r w:rsidR="007C0006">
        <w:t>ic</w:t>
      </w:r>
      <w:r w:rsidR="00037478">
        <w:t xml:space="preserve"> and</w:t>
      </w:r>
      <w:r w:rsidR="002A668A">
        <w:t xml:space="preserve"> </w:t>
      </w:r>
      <w:r w:rsidR="00E71C1C">
        <w:t>o</w:t>
      </w:r>
      <w:r>
        <w:t xml:space="preserve">bjective set out below </w:t>
      </w:r>
      <w:r w:rsidR="00842D9D">
        <w:t xml:space="preserve">has been used </w:t>
      </w:r>
      <w:r w:rsidR="0000061A">
        <w:t>for the ICIA</w:t>
      </w:r>
      <w:r>
        <w:t>:</w:t>
      </w:r>
    </w:p>
    <w:p w14:paraId="74BBFEA6" w14:textId="4D099DDC" w:rsidR="00750864" w:rsidRDefault="00C71567" w:rsidP="00D56DE8">
      <w:pPr>
        <w:pStyle w:val="STPR2BulletsLevel1"/>
      </w:pPr>
      <w:r>
        <w:rPr>
          <w:b/>
          <w:bCs/>
        </w:rPr>
        <w:t xml:space="preserve">Island Communities </w:t>
      </w:r>
      <w:r w:rsidR="00750864" w:rsidRPr="006C1286">
        <w:t xml:space="preserve">- </w:t>
      </w:r>
      <w:r w:rsidRPr="00AF6F27">
        <w:t>Increase the economic prosperity of and address the unique challenges faced by island communities.</w:t>
      </w:r>
    </w:p>
    <w:p w14:paraId="2EE32AC9" w14:textId="76AE6844" w:rsidR="00CF1389" w:rsidRPr="006C1286" w:rsidRDefault="00CF1389" w:rsidP="00D56DE8">
      <w:pPr>
        <w:pStyle w:val="STPR2BodyText"/>
      </w:pPr>
      <w:r w:rsidRPr="002A19C6">
        <w:rPr>
          <w:rStyle w:val="STPR2BodyTextChar"/>
        </w:rPr>
        <w:t xml:space="preserve">However, it </w:t>
      </w:r>
      <w:r w:rsidR="002E69FB">
        <w:rPr>
          <w:rStyle w:val="STPR2BodyTextChar"/>
        </w:rPr>
        <w:t>is</w:t>
      </w:r>
      <w:r w:rsidRPr="002A19C6">
        <w:rPr>
          <w:rStyle w:val="STPR2BodyTextChar"/>
        </w:rPr>
        <w:t xml:space="preserve"> recognised that </w:t>
      </w:r>
      <w:r w:rsidR="00187E77">
        <w:rPr>
          <w:rStyle w:val="STPR2BodyTextChar"/>
        </w:rPr>
        <w:t>all of the equality</w:t>
      </w:r>
      <w:r w:rsidR="00E71C1C">
        <w:rPr>
          <w:rStyle w:val="STPR2BodyTextChar"/>
        </w:rPr>
        <w:t xml:space="preserve"> topics and</w:t>
      </w:r>
      <w:r w:rsidR="00187E77">
        <w:rPr>
          <w:rStyle w:val="STPR2BodyTextChar"/>
        </w:rPr>
        <w:t xml:space="preserve"> objectives will have relevance to island communities and as such the guide questions and </w:t>
      </w:r>
      <w:r w:rsidR="00826ADF">
        <w:rPr>
          <w:rStyle w:val="STPR2BodyTextChar"/>
        </w:rPr>
        <w:t>criteria</w:t>
      </w:r>
      <w:r w:rsidR="00187E77">
        <w:rPr>
          <w:rStyle w:val="STPR2BodyTextChar"/>
        </w:rPr>
        <w:t xml:space="preserve"> set out in</w:t>
      </w:r>
      <w:r w:rsidRPr="002A19C6">
        <w:rPr>
          <w:rStyle w:val="STPR2BodyTextChar"/>
        </w:rPr>
        <w:t xml:space="preserve"> </w:t>
      </w:r>
      <w:r w:rsidR="00FF6BD9">
        <w:fldChar w:fldCharType="begin"/>
      </w:r>
      <w:r w:rsidR="00FF6BD9">
        <w:rPr>
          <w:rStyle w:val="STPR2BodyTextChar"/>
        </w:rPr>
        <w:instrText xml:space="preserve"> REF _Ref121235005 \n \h </w:instrText>
      </w:r>
      <w:r w:rsidR="00FF6BD9">
        <w:fldChar w:fldCharType="separate"/>
      </w:r>
      <w:r w:rsidR="00B71F51">
        <w:rPr>
          <w:rStyle w:val="STPR2BodyTextChar"/>
        </w:rPr>
        <w:t>Appendix B:</w:t>
      </w:r>
      <w:r w:rsidR="00FF6BD9">
        <w:fldChar w:fldCharType="end"/>
      </w:r>
      <w:r w:rsidRPr="002A19C6">
        <w:rPr>
          <w:rStyle w:val="STPR2BodyTextChar"/>
        </w:rPr>
        <w:t xml:space="preserve"> </w:t>
      </w:r>
      <w:r w:rsidR="00826ADF">
        <w:rPr>
          <w:rStyle w:val="STPR2BodyTextChar"/>
        </w:rPr>
        <w:t>ha</w:t>
      </w:r>
      <w:r w:rsidR="00E71C1C">
        <w:rPr>
          <w:rStyle w:val="STPR2BodyTextChar"/>
        </w:rPr>
        <w:t>ve</w:t>
      </w:r>
      <w:r w:rsidR="00826ADF">
        <w:rPr>
          <w:rStyle w:val="STPR2BodyTextChar"/>
        </w:rPr>
        <w:t xml:space="preserve"> </w:t>
      </w:r>
      <w:r w:rsidR="00E71C1C">
        <w:rPr>
          <w:rStyle w:val="STPR2BodyTextChar"/>
        </w:rPr>
        <w:t xml:space="preserve">also </w:t>
      </w:r>
      <w:r w:rsidR="00826ADF">
        <w:rPr>
          <w:rStyle w:val="STPR2BodyTextChar"/>
        </w:rPr>
        <w:t>been considered in the assessment of island community impacts.</w:t>
      </w:r>
    </w:p>
    <w:p w14:paraId="5EDE7A39" w14:textId="77777777" w:rsidR="003774DF" w:rsidRPr="008B5CFF" w:rsidRDefault="003774DF" w:rsidP="002E45F6">
      <w:pPr>
        <w:pStyle w:val="Heading2"/>
      </w:pPr>
      <w:bookmarkStart w:id="2039" w:name="_Toc81993609"/>
      <w:bookmarkStart w:id="2040" w:name="_Toc89974034"/>
      <w:bookmarkStart w:id="2041" w:name="_Toc121213949"/>
      <w:r w:rsidRPr="008B5CFF">
        <w:t xml:space="preserve">Matrix </w:t>
      </w:r>
      <w:r w:rsidRPr="001F034F">
        <w:t>Approach</w:t>
      </w:r>
      <w:bookmarkEnd w:id="2039"/>
      <w:bookmarkEnd w:id="2040"/>
      <w:bookmarkEnd w:id="2041"/>
    </w:p>
    <w:p w14:paraId="1803B4AD" w14:textId="60E8A2F4" w:rsidR="003774DF" w:rsidRPr="00421468" w:rsidRDefault="003774DF" w:rsidP="00D56DE8">
      <w:pPr>
        <w:pStyle w:val="STPR2BodyText"/>
      </w:pPr>
      <w:r w:rsidRPr="00FE7BDB">
        <w:t xml:space="preserve">The </w:t>
      </w:r>
      <w:r>
        <w:t>ICIA</w:t>
      </w:r>
      <w:r w:rsidRPr="00FE7BDB">
        <w:t xml:space="preserve"> process </w:t>
      </w:r>
      <w:r>
        <w:t>has</w:t>
      </w:r>
      <w:r w:rsidRPr="00FE7BDB">
        <w:t xml:space="preserve"> </w:t>
      </w:r>
      <w:r>
        <w:t>used</w:t>
      </w:r>
      <w:r w:rsidRPr="00FE7BDB">
        <w:t xml:space="preserve"> a matrix-based approach, </w:t>
      </w:r>
      <w:r>
        <w:t>with</w:t>
      </w:r>
      <w:r w:rsidRPr="00FE7BDB">
        <w:t xml:space="preserve"> a qualitative scoring system to identify likely significant </w:t>
      </w:r>
      <w:r w:rsidR="000605C1">
        <w:t>impact</w:t>
      </w:r>
      <w:r w:rsidRPr="00FE7BDB">
        <w:t xml:space="preserve">s on the </w:t>
      </w:r>
      <w:r w:rsidR="00721438">
        <w:t>Island Communities</w:t>
      </w:r>
      <w:r w:rsidRPr="00FE7BDB">
        <w:t xml:space="preserve"> objective. The </w:t>
      </w:r>
      <w:r>
        <w:t xml:space="preserve">seven-point </w:t>
      </w:r>
      <w:r w:rsidRPr="00FE7BDB">
        <w:t xml:space="preserve">scoring system used for the assessment of </w:t>
      </w:r>
      <w:r w:rsidR="000605C1">
        <w:t>impact</w:t>
      </w:r>
      <w:r w:rsidRPr="00FE7BDB">
        <w:t>s in the detailed appraisal stage is described</w:t>
      </w:r>
      <w:r w:rsidRPr="00F449C8">
        <w:t xml:space="preserve"> in</w:t>
      </w:r>
      <w:r w:rsidR="003E5485">
        <w:t xml:space="preserve"> </w:t>
      </w:r>
      <w:r w:rsidR="003E5485">
        <w:fldChar w:fldCharType="begin"/>
      </w:r>
      <w:r w:rsidR="003E5485">
        <w:instrText xml:space="preserve"> REF _Ref120099000 \h </w:instrText>
      </w:r>
      <w:r w:rsidR="003E5485">
        <w:fldChar w:fldCharType="separate"/>
      </w:r>
      <w:r w:rsidR="00B71F51" w:rsidRPr="005F1774">
        <w:t xml:space="preserve">Table </w:t>
      </w:r>
      <w:r w:rsidR="00B71F51">
        <w:rPr>
          <w:noProof/>
        </w:rPr>
        <w:t>4</w:t>
      </w:r>
      <w:r w:rsidR="003E5485">
        <w:fldChar w:fldCharType="end"/>
      </w:r>
      <w:r w:rsidRPr="00FE7BDB">
        <w:t xml:space="preserve">. This approach has several advantages, including the systematic recording of potential </w:t>
      </w:r>
      <w:r w:rsidR="000605C1">
        <w:t>impact</w:t>
      </w:r>
      <w:r w:rsidRPr="00FE7BDB">
        <w:t>s and their significance</w:t>
      </w:r>
      <w:r>
        <w:t xml:space="preserve">, with a narrative accompanying each score to explain the rationale for scoring and the predicted </w:t>
      </w:r>
      <w:r w:rsidRPr="00421468">
        <w:t>impacts.</w:t>
      </w:r>
    </w:p>
    <w:p w14:paraId="61370DC3" w14:textId="12EA7D19" w:rsidR="003774DF" w:rsidRPr="00D00C04" w:rsidRDefault="003774DF" w:rsidP="00D56DE8">
      <w:pPr>
        <w:pStyle w:val="STPR2BodyText"/>
      </w:pPr>
      <w:r w:rsidRPr="00D00C04">
        <w:t xml:space="preserve">Following each stage of assessment, any potentially negative impacts identified have been discussed with the project team to consider reasonable alternatives, effective mitigation and enhancement recommendations. The key recommendations are likely to include refinements to objectives, policy/wording, intervention options, caveats and monitoring controls based on the criteria considered. </w:t>
      </w:r>
    </w:p>
    <w:p w14:paraId="0712CF31" w14:textId="228B50B1" w:rsidR="000E2FA8" w:rsidRDefault="007D652F" w:rsidP="00D56DE8">
      <w:pPr>
        <w:pStyle w:val="STPR2BodyText"/>
      </w:pPr>
      <w:r w:rsidRPr="007D652F">
        <w:t xml:space="preserve">The key relevant findings and recommendations are recorded in summary form in </w:t>
      </w:r>
      <w:r w:rsidR="00373427">
        <w:t>c</w:t>
      </w:r>
      <w:r w:rsidRPr="007D652F">
        <w:t xml:space="preserve">hapter 6 of this report, with </w:t>
      </w:r>
      <w:r w:rsidR="00055419">
        <w:t xml:space="preserve">the </w:t>
      </w:r>
      <w:r w:rsidRPr="007D652F">
        <w:t xml:space="preserve">assessment score for the </w:t>
      </w:r>
      <w:r w:rsidR="00055419">
        <w:t>ICIA</w:t>
      </w:r>
      <w:r w:rsidRPr="007D652F">
        <w:t xml:space="preserve"> included in the </w:t>
      </w:r>
      <w:r w:rsidR="00B83F4B">
        <w:t xml:space="preserve">Recommendation </w:t>
      </w:r>
      <w:r w:rsidR="00B83F4B" w:rsidRPr="007D652F">
        <w:t xml:space="preserve">Appraisal Summary Tables </w:t>
      </w:r>
      <w:r w:rsidRPr="007D652F">
        <w:t>(ASTs)</w:t>
      </w:r>
      <w:r w:rsidR="006E6BE4">
        <w:t xml:space="preserve"> (Appendix I of the Final STRP2 Technical report)</w:t>
      </w:r>
      <w:r w:rsidRPr="007D652F">
        <w:t>.</w:t>
      </w:r>
      <w:r w:rsidR="000E2FA8">
        <w:br w:type="page"/>
      </w:r>
    </w:p>
    <w:p w14:paraId="1817E588" w14:textId="145A3854" w:rsidR="003774DF" w:rsidRDefault="003E5485" w:rsidP="000E2FA8">
      <w:pPr>
        <w:pStyle w:val="STPR2Caption"/>
        <w:rPr>
          <w:i/>
          <w:iCs/>
          <w:noProof/>
        </w:rPr>
      </w:pPr>
      <w:bookmarkStart w:id="2042" w:name="_Ref120099000"/>
      <w:bookmarkStart w:id="2043" w:name="_Toc121213964"/>
      <w:r w:rsidRPr="005F1774">
        <w:lastRenderedPageBreak/>
        <w:t xml:space="preserve">Table </w:t>
      </w:r>
      <w:r w:rsidR="00293A74">
        <w:fldChar w:fldCharType="begin"/>
      </w:r>
      <w:r w:rsidR="00293A74">
        <w:instrText xml:space="preserve"> SEQ Table \* ARABIC </w:instrText>
      </w:r>
      <w:r w:rsidR="00293A74">
        <w:fldChar w:fldCharType="separate"/>
      </w:r>
      <w:r w:rsidR="00B71F51">
        <w:rPr>
          <w:noProof/>
        </w:rPr>
        <w:t>4</w:t>
      </w:r>
      <w:r w:rsidR="00293A74">
        <w:rPr>
          <w:noProof/>
        </w:rPr>
        <w:fldChar w:fldCharType="end"/>
      </w:r>
      <w:bookmarkEnd w:id="2042"/>
      <w:r w:rsidRPr="005F1774">
        <w:t xml:space="preserve"> </w:t>
      </w:r>
      <w:r w:rsidR="000E2FA8">
        <w:t>–</w:t>
      </w:r>
      <w:r w:rsidRPr="005F1774">
        <w:t xml:space="preserve"> </w:t>
      </w:r>
      <w:r w:rsidR="000F2EC1" w:rsidRPr="005F1774">
        <w:rPr>
          <w:noProof/>
        </w:rPr>
        <w:t>ICIA Scoring System</w:t>
      </w:r>
      <w:bookmarkEnd w:id="2043"/>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0"/>
      </w:tblGrid>
      <w:tr w:rsidR="000E2FA8" w:rsidRPr="000E2FA8" w14:paraId="0F6D590A" w14:textId="77777777" w:rsidTr="00D54AA7">
        <w:tc>
          <w:tcPr>
            <w:tcW w:w="5000" w:type="pct"/>
            <w:shd w:val="clear" w:color="auto" w:fill="007D55"/>
          </w:tcPr>
          <w:p w14:paraId="0BC13DD2" w14:textId="16107647" w:rsidR="000E2FA8" w:rsidRPr="000E2FA8" w:rsidRDefault="000E2FA8" w:rsidP="00D54AA7">
            <w:pPr>
              <w:pStyle w:val="TABLEHEADINGWHITE"/>
            </w:pPr>
            <w:r w:rsidRPr="000E2FA8">
              <w:t>Score Major Positive Impact)</w:t>
            </w:r>
          </w:p>
        </w:tc>
      </w:tr>
      <w:tr w:rsidR="000E2FA8" w:rsidRPr="000E2FA8" w14:paraId="4A2A6288" w14:textId="77777777" w:rsidTr="00D54AA7">
        <w:tc>
          <w:tcPr>
            <w:tcW w:w="5000" w:type="pct"/>
            <w:shd w:val="clear" w:color="auto" w:fill="DCEDC6"/>
          </w:tcPr>
          <w:p w14:paraId="70FD8D80" w14:textId="58827D9E" w:rsidR="000E2FA8" w:rsidRPr="000E2FA8" w:rsidRDefault="000E2FA8" w:rsidP="00D54AA7">
            <w:pPr>
              <w:pStyle w:val="STPR2TableBody"/>
            </w:pPr>
            <w:r w:rsidRPr="000E2FA8">
              <w:t>The proposed option has major potential to support the economic prosperity of and/or address the unique challenges faced by island communities.</w:t>
            </w:r>
          </w:p>
        </w:tc>
      </w:tr>
      <w:tr w:rsidR="000E2FA8" w:rsidRPr="000E2FA8" w14:paraId="0A07127E" w14:textId="77777777" w:rsidTr="00D54AA7">
        <w:tc>
          <w:tcPr>
            <w:tcW w:w="5000" w:type="pct"/>
            <w:shd w:val="clear" w:color="auto" w:fill="007D55"/>
          </w:tcPr>
          <w:p w14:paraId="5712DF22" w14:textId="7F99A5FD" w:rsidR="000E2FA8" w:rsidRPr="000E2FA8" w:rsidRDefault="000E2FA8" w:rsidP="00D54AA7">
            <w:pPr>
              <w:pStyle w:val="TABLEHEADINGWHITE"/>
            </w:pPr>
            <w:r w:rsidRPr="000E2FA8">
              <w:t>Score Moderate Positive Impact</w:t>
            </w:r>
          </w:p>
        </w:tc>
      </w:tr>
      <w:tr w:rsidR="000E2FA8" w:rsidRPr="000E2FA8" w14:paraId="2A6AF899" w14:textId="77777777" w:rsidTr="00D54AA7">
        <w:tc>
          <w:tcPr>
            <w:tcW w:w="5000" w:type="pct"/>
            <w:shd w:val="clear" w:color="auto" w:fill="DCEDC6"/>
          </w:tcPr>
          <w:p w14:paraId="4C5D17E8" w14:textId="49C9E7FE" w:rsidR="000E2FA8" w:rsidRPr="000E2FA8" w:rsidRDefault="000E2FA8" w:rsidP="00D54AA7">
            <w:pPr>
              <w:pStyle w:val="STPR2TableBody"/>
            </w:pPr>
            <w:r w:rsidRPr="000E2FA8">
              <w:t>The proposed option has the potential to significantly support the economic prosperity of and/or address the unique challenges faced by island communities.</w:t>
            </w:r>
          </w:p>
        </w:tc>
      </w:tr>
      <w:tr w:rsidR="000E2FA8" w:rsidRPr="000E2FA8" w14:paraId="12F223FB" w14:textId="77777777" w:rsidTr="00D54AA7">
        <w:tc>
          <w:tcPr>
            <w:tcW w:w="5000" w:type="pct"/>
            <w:shd w:val="clear" w:color="auto" w:fill="007D55"/>
          </w:tcPr>
          <w:p w14:paraId="64CFCCD6" w14:textId="3AD17A10" w:rsidR="000E2FA8" w:rsidRPr="000E2FA8" w:rsidRDefault="000E2FA8" w:rsidP="00D54AA7">
            <w:pPr>
              <w:pStyle w:val="TABLEHEADINGWHITE"/>
            </w:pPr>
            <w:r w:rsidRPr="000E2FA8">
              <w:t>Score Minor Positive Impact</w:t>
            </w:r>
          </w:p>
        </w:tc>
      </w:tr>
      <w:tr w:rsidR="000E2FA8" w:rsidRPr="000E2FA8" w14:paraId="38DF466D" w14:textId="77777777" w:rsidTr="00D54AA7">
        <w:tc>
          <w:tcPr>
            <w:tcW w:w="5000" w:type="pct"/>
            <w:shd w:val="clear" w:color="auto" w:fill="DCEDC6"/>
          </w:tcPr>
          <w:p w14:paraId="6E5B1FC9" w14:textId="0E84D9EC" w:rsidR="000E2FA8" w:rsidRPr="000E2FA8" w:rsidRDefault="000E2FA8" w:rsidP="00D54AA7">
            <w:pPr>
              <w:pStyle w:val="STPR2TableBody"/>
            </w:pPr>
            <w:r w:rsidRPr="000E2FA8">
              <w:t>The proposed option has the potential to support the economic prosperity of and/or address the unique challenges faced by island communities, but not significantly.</w:t>
            </w:r>
          </w:p>
        </w:tc>
      </w:tr>
      <w:tr w:rsidR="000E2FA8" w:rsidRPr="000E2FA8" w14:paraId="7E384B30" w14:textId="77777777" w:rsidTr="00D54AA7">
        <w:tc>
          <w:tcPr>
            <w:tcW w:w="5000" w:type="pct"/>
            <w:shd w:val="clear" w:color="auto" w:fill="007D55"/>
          </w:tcPr>
          <w:p w14:paraId="689D865B" w14:textId="60B7D29A" w:rsidR="000E2FA8" w:rsidRPr="000E2FA8" w:rsidRDefault="000E2FA8" w:rsidP="00D54AA7">
            <w:pPr>
              <w:pStyle w:val="TABLEHEADINGWHITE"/>
            </w:pPr>
            <w:r w:rsidRPr="000E2FA8">
              <w:t>Score Neutral Impact</w:t>
            </w:r>
          </w:p>
        </w:tc>
      </w:tr>
      <w:tr w:rsidR="000E2FA8" w:rsidRPr="000E2FA8" w14:paraId="0FC0506A" w14:textId="77777777" w:rsidTr="00D54AA7">
        <w:tc>
          <w:tcPr>
            <w:tcW w:w="5000" w:type="pct"/>
            <w:shd w:val="clear" w:color="auto" w:fill="DCEDC6"/>
          </w:tcPr>
          <w:p w14:paraId="50A9737D" w14:textId="4E523621" w:rsidR="000E2FA8" w:rsidRPr="000E2FA8" w:rsidRDefault="000E2FA8" w:rsidP="00D54AA7">
            <w:pPr>
              <w:pStyle w:val="STPR2TableBody"/>
            </w:pPr>
            <w:r w:rsidRPr="000E2FA8">
              <w:t>The proposed option does not have any impact or the relationship between the option and island communities is negligible.</w:t>
            </w:r>
          </w:p>
        </w:tc>
      </w:tr>
      <w:tr w:rsidR="000E2FA8" w:rsidRPr="000E2FA8" w14:paraId="3C42E066" w14:textId="77777777" w:rsidTr="00D54AA7">
        <w:tc>
          <w:tcPr>
            <w:tcW w:w="5000" w:type="pct"/>
            <w:shd w:val="clear" w:color="auto" w:fill="007D55"/>
          </w:tcPr>
          <w:p w14:paraId="5FD9A95B" w14:textId="5C11AC0B" w:rsidR="000E2FA8" w:rsidRPr="000E2FA8" w:rsidRDefault="000E2FA8" w:rsidP="00D54AA7">
            <w:pPr>
              <w:pStyle w:val="TABLEHEADINGWHITE"/>
            </w:pPr>
            <w:r w:rsidRPr="000E2FA8">
              <w:t>Score Minor Negative Impact</w:t>
            </w:r>
          </w:p>
        </w:tc>
      </w:tr>
      <w:tr w:rsidR="000E2FA8" w:rsidRPr="000E2FA8" w14:paraId="723872A5" w14:textId="77777777" w:rsidTr="00D54AA7">
        <w:tc>
          <w:tcPr>
            <w:tcW w:w="5000" w:type="pct"/>
            <w:shd w:val="clear" w:color="auto" w:fill="DCEDC6"/>
          </w:tcPr>
          <w:p w14:paraId="6CA788D0" w14:textId="6B9D9F1B" w:rsidR="000E2FA8" w:rsidRPr="000E2FA8" w:rsidRDefault="000E2FA8" w:rsidP="00D54AA7">
            <w:pPr>
              <w:pStyle w:val="STPR2TableBody"/>
            </w:pPr>
            <w:r w:rsidRPr="000E2FA8">
              <w:t>The proposed option may impede or actually reverse the economic prosperity of and/or exacerbate the unique challenges faced by island communities, requiring mitigation.</w:t>
            </w:r>
          </w:p>
        </w:tc>
      </w:tr>
      <w:tr w:rsidR="000E2FA8" w:rsidRPr="000E2FA8" w14:paraId="77045209" w14:textId="77777777" w:rsidTr="00D54AA7">
        <w:tc>
          <w:tcPr>
            <w:tcW w:w="5000" w:type="pct"/>
            <w:shd w:val="clear" w:color="auto" w:fill="007D55"/>
          </w:tcPr>
          <w:p w14:paraId="7A93111C" w14:textId="7DB5554A" w:rsidR="000E2FA8" w:rsidRPr="000E2FA8" w:rsidRDefault="000E2FA8" w:rsidP="000E2FA8">
            <w:pPr>
              <w:pStyle w:val="TABLEHEADINGWHITE"/>
            </w:pPr>
            <w:r w:rsidRPr="000E2FA8">
              <w:t>Score Moderate Negative Impact</w:t>
            </w:r>
          </w:p>
        </w:tc>
      </w:tr>
      <w:tr w:rsidR="000E2FA8" w:rsidRPr="000E2FA8" w14:paraId="5E5A8EA8" w14:textId="77777777" w:rsidTr="00D54AA7">
        <w:tc>
          <w:tcPr>
            <w:tcW w:w="5000" w:type="pct"/>
            <w:shd w:val="clear" w:color="auto" w:fill="DCEDC6"/>
          </w:tcPr>
          <w:p w14:paraId="7BCC0EA3" w14:textId="6B2BFB5E" w:rsidR="000E2FA8" w:rsidRPr="000E2FA8" w:rsidRDefault="000E2FA8" w:rsidP="00D54AA7">
            <w:pPr>
              <w:pStyle w:val="STPR2TableBody"/>
            </w:pPr>
            <w:r w:rsidRPr="000E2FA8">
              <w:t>The proposed option significantly impedes the economic prosperity of and/or exacerbates the unique challenges faced by island communities. Mitigation is therefore required.</w:t>
            </w:r>
          </w:p>
        </w:tc>
      </w:tr>
      <w:tr w:rsidR="000E2FA8" w:rsidRPr="000E2FA8" w14:paraId="6DBE0A65" w14:textId="77777777" w:rsidTr="000E2FA8">
        <w:tc>
          <w:tcPr>
            <w:tcW w:w="5000" w:type="pct"/>
            <w:shd w:val="clear" w:color="auto" w:fill="007D55"/>
          </w:tcPr>
          <w:p w14:paraId="3A83CF8C" w14:textId="2F737A0A" w:rsidR="000E2FA8" w:rsidRPr="000E2FA8" w:rsidRDefault="000E2FA8" w:rsidP="000E2FA8">
            <w:pPr>
              <w:pStyle w:val="TABLEHEADINGWHITE"/>
            </w:pPr>
            <w:r w:rsidRPr="000E2FA8">
              <w:t>Score Major Negative Impact</w:t>
            </w:r>
          </w:p>
        </w:tc>
      </w:tr>
      <w:tr w:rsidR="000E2FA8" w:rsidRPr="000E2FA8" w14:paraId="540B9E83" w14:textId="77777777" w:rsidTr="00D54AA7">
        <w:tc>
          <w:tcPr>
            <w:tcW w:w="5000" w:type="pct"/>
            <w:shd w:val="clear" w:color="auto" w:fill="DCEDC6"/>
          </w:tcPr>
          <w:p w14:paraId="5B6886E3" w14:textId="6C51E4BB" w:rsidR="000E2FA8" w:rsidRPr="000E2FA8" w:rsidRDefault="000E2FA8" w:rsidP="00D54AA7">
            <w:pPr>
              <w:pStyle w:val="STPR2TableBody"/>
            </w:pPr>
            <w:r w:rsidRPr="000E2FA8">
              <w:t>The proposed option results in a major detraction from the economic prosperity of and / or exacerbates the unique challenges faced by island communities. An alternative option or significant mitigation is therefore required.</w:t>
            </w:r>
          </w:p>
        </w:tc>
      </w:tr>
      <w:bookmarkEnd w:id="2038"/>
    </w:tbl>
    <w:p w14:paraId="03209990" w14:textId="77777777" w:rsidR="000E2FA8" w:rsidRDefault="000E2FA8" w:rsidP="000E2FA8">
      <w:pPr>
        <w:pStyle w:val="STPR2BodyText"/>
        <w:rPr>
          <w:rStyle w:val="normaltextrun"/>
        </w:rPr>
      </w:pPr>
    </w:p>
    <w:p w14:paraId="376D27D9" w14:textId="09B5162E" w:rsidR="00500436" w:rsidRPr="00856CA4" w:rsidRDefault="1CA7BE95" w:rsidP="000E2FA8">
      <w:pPr>
        <w:pStyle w:val="STPR2BodyText"/>
        <w:rPr>
          <w:rStyle w:val="normaltextrun"/>
          <w:color w:val="000000" w:themeColor="text1"/>
        </w:rPr>
      </w:pPr>
      <w:r w:rsidRPr="078A5CA9">
        <w:rPr>
          <w:rStyle w:val="normaltextrun"/>
        </w:rPr>
        <w:t xml:space="preserve">Following the matrix assessment, any potentially negative impacts identified </w:t>
      </w:r>
      <w:r w:rsidR="00D8043C" w:rsidRPr="078A5CA9">
        <w:rPr>
          <w:rStyle w:val="normaltextrun"/>
        </w:rPr>
        <w:t>were discussed</w:t>
      </w:r>
      <w:r w:rsidRPr="078A5CA9">
        <w:rPr>
          <w:rStyle w:val="normaltextrun"/>
        </w:rPr>
        <w:t xml:space="preserve"> with the project team to consider reasonable alternatives, effective mitigation and enhancement recommendations. </w:t>
      </w:r>
      <w:r w:rsidR="2656F4EC" w:rsidRPr="078A5CA9">
        <w:rPr>
          <w:rStyle w:val="normaltextrun"/>
        </w:rPr>
        <w:t>Greater</w:t>
      </w:r>
      <w:r w:rsidR="69B034D1" w:rsidRPr="078A5CA9">
        <w:rPr>
          <w:rStyle w:val="normaltextrun"/>
        </w:rPr>
        <w:t xml:space="preserve"> d</w:t>
      </w:r>
      <w:r w:rsidR="1050E208" w:rsidRPr="078A5CA9">
        <w:rPr>
          <w:rStyle w:val="normaltextrun"/>
        </w:rPr>
        <w:t xml:space="preserve">etail </w:t>
      </w:r>
      <w:r w:rsidR="3271B404" w:rsidRPr="078A5CA9">
        <w:rPr>
          <w:rStyle w:val="normaltextrun"/>
        </w:rPr>
        <w:t xml:space="preserve">for </w:t>
      </w:r>
      <w:r w:rsidR="7936993C" w:rsidRPr="078A5CA9">
        <w:rPr>
          <w:rStyle w:val="normaltextrun"/>
        </w:rPr>
        <w:t xml:space="preserve">the </w:t>
      </w:r>
      <w:r w:rsidR="7936993C" w:rsidRPr="00856CA4">
        <w:rPr>
          <w:rStyle w:val="normaltextrun"/>
          <w:color w:val="000000" w:themeColor="text1"/>
        </w:rPr>
        <w:t xml:space="preserve">associated </w:t>
      </w:r>
      <w:r w:rsidR="3271B404" w:rsidRPr="00856CA4">
        <w:rPr>
          <w:rStyle w:val="normaltextrun"/>
          <w:color w:val="000000" w:themeColor="text1"/>
        </w:rPr>
        <w:t xml:space="preserve">CRWIA, FSDA and </w:t>
      </w:r>
      <w:r w:rsidR="32F9E3FE" w:rsidRPr="00856CA4">
        <w:rPr>
          <w:rStyle w:val="normaltextrun"/>
          <w:color w:val="000000" w:themeColor="text1"/>
        </w:rPr>
        <w:t>EqIA</w:t>
      </w:r>
      <w:r w:rsidR="1050E208" w:rsidRPr="00856CA4">
        <w:rPr>
          <w:rStyle w:val="normaltextrun"/>
          <w:color w:val="000000" w:themeColor="text1"/>
        </w:rPr>
        <w:t xml:space="preserve"> </w:t>
      </w:r>
      <w:r w:rsidR="5CE18C2E" w:rsidRPr="00856CA4">
        <w:rPr>
          <w:rStyle w:val="normaltextrun"/>
          <w:color w:val="000000" w:themeColor="text1"/>
        </w:rPr>
        <w:t>can be found online in the</w:t>
      </w:r>
      <w:r w:rsidR="5F6C86B5" w:rsidRPr="00856CA4">
        <w:rPr>
          <w:rStyle w:val="normaltextrun"/>
          <w:color w:val="000000" w:themeColor="text1"/>
        </w:rPr>
        <w:t xml:space="preserve"> respective</w:t>
      </w:r>
      <w:r w:rsidR="5CE18C2E" w:rsidRPr="00856CA4">
        <w:rPr>
          <w:rStyle w:val="normaltextrun"/>
          <w:color w:val="000000" w:themeColor="text1"/>
        </w:rPr>
        <w:t xml:space="preserve"> </w:t>
      </w:r>
      <w:r w:rsidR="4242D56F" w:rsidRPr="00856CA4">
        <w:rPr>
          <w:rStyle w:val="normaltextrun"/>
          <w:color w:val="000000" w:themeColor="text1"/>
        </w:rPr>
        <w:t>impact assessment</w:t>
      </w:r>
      <w:r w:rsidR="5CE18C2E" w:rsidRPr="00856CA4">
        <w:rPr>
          <w:rStyle w:val="normaltextrun"/>
          <w:color w:val="000000" w:themeColor="text1"/>
        </w:rPr>
        <w:t xml:space="preserve"> reports </w:t>
      </w:r>
      <w:r w:rsidR="00686FEC" w:rsidRPr="00856CA4">
        <w:rPr>
          <w:rStyle w:val="normaltextrun"/>
          <w:color w:val="000000" w:themeColor="text1"/>
        </w:rPr>
        <w:t xml:space="preserve">under </w:t>
      </w:r>
      <w:hyperlink r:id="rId31" w:history="1">
        <w:r w:rsidR="00686FEC" w:rsidRPr="00856CA4">
          <w:rPr>
            <w:rStyle w:val="Hyperlink"/>
            <w:color w:val="000000" w:themeColor="text1"/>
            <w:u w:val="none"/>
          </w:rPr>
          <w:t>Strategic Transport Projects Review 2</w:t>
        </w:r>
      </w:hyperlink>
      <w:r w:rsidR="00686FEC" w:rsidRPr="00856CA4">
        <w:rPr>
          <w:color w:val="000000" w:themeColor="text1"/>
        </w:rPr>
        <w:t>.</w:t>
      </w:r>
    </w:p>
    <w:p w14:paraId="63BC5999" w14:textId="76D9BDFA" w:rsidR="000C6958" w:rsidRDefault="008924A1" w:rsidP="00EF172D">
      <w:pPr>
        <w:pStyle w:val="Heading1"/>
      </w:pPr>
      <w:bookmarkStart w:id="2044" w:name="_Toc20898752"/>
      <w:bookmarkStart w:id="2045" w:name="_Toc20899037"/>
      <w:bookmarkStart w:id="2046" w:name="_Toc20903695"/>
      <w:bookmarkStart w:id="2047" w:name="_Toc20903807"/>
      <w:bookmarkStart w:id="2048" w:name="_Toc20903927"/>
      <w:bookmarkStart w:id="2049" w:name="_Toc21078575"/>
      <w:bookmarkStart w:id="2050" w:name="_Toc21080202"/>
      <w:bookmarkStart w:id="2051" w:name="_Toc21353821"/>
      <w:bookmarkStart w:id="2052" w:name="_Toc21354286"/>
      <w:bookmarkStart w:id="2053" w:name="_Toc21446951"/>
      <w:bookmarkStart w:id="2054" w:name="_Toc21447207"/>
      <w:bookmarkStart w:id="2055" w:name="_Toc21447321"/>
      <w:bookmarkStart w:id="2056" w:name="_Toc21447566"/>
      <w:bookmarkStart w:id="2057" w:name="_Toc21447700"/>
      <w:bookmarkStart w:id="2058" w:name="_Toc21510459"/>
      <w:bookmarkStart w:id="2059" w:name="_Toc21511061"/>
      <w:bookmarkStart w:id="2060" w:name="_Toc21523130"/>
      <w:bookmarkStart w:id="2061" w:name="_Toc20898753"/>
      <w:bookmarkStart w:id="2062" w:name="_Toc20899038"/>
      <w:bookmarkStart w:id="2063" w:name="_Toc20903696"/>
      <w:bookmarkStart w:id="2064" w:name="_Toc20903808"/>
      <w:bookmarkStart w:id="2065" w:name="_Toc20903928"/>
      <w:bookmarkStart w:id="2066" w:name="_Toc21078576"/>
      <w:bookmarkStart w:id="2067" w:name="_Toc21080203"/>
      <w:bookmarkStart w:id="2068" w:name="_Toc21353822"/>
      <w:bookmarkStart w:id="2069" w:name="_Toc21354287"/>
      <w:bookmarkStart w:id="2070" w:name="_Toc21446952"/>
      <w:bookmarkStart w:id="2071" w:name="_Toc21447208"/>
      <w:bookmarkStart w:id="2072" w:name="_Toc21447322"/>
      <w:bookmarkStart w:id="2073" w:name="_Toc21447567"/>
      <w:bookmarkStart w:id="2074" w:name="_Toc21447701"/>
      <w:bookmarkStart w:id="2075" w:name="_Toc21510460"/>
      <w:bookmarkStart w:id="2076" w:name="_Toc21511062"/>
      <w:bookmarkStart w:id="2077" w:name="_Toc21523131"/>
      <w:bookmarkStart w:id="2078" w:name="_Toc19797340"/>
      <w:bookmarkStart w:id="2079" w:name="_Toc19797393"/>
      <w:bookmarkStart w:id="2080" w:name="_Toc19797493"/>
      <w:bookmarkStart w:id="2081" w:name="_Toc19802872"/>
      <w:bookmarkStart w:id="2082" w:name="_Toc19871997"/>
      <w:bookmarkStart w:id="2083" w:name="_Toc19882180"/>
      <w:bookmarkStart w:id="2084" w:name="_Toc19882345"/>
      <w:bookmarkStart w:id="2085" w:name="_Toc19889667"/>
      <w:bookmarkStart w:id="2086" w:name="_Toc20124066"/>
      <w:bookmarkStart w:id="2087" w:name="_Toc20124198"/>
      <w:bookmarkStart w:id="2088" w:name="_Toc20124987"/>
      <w:bookmarkStart w:id="2089" w:name="_Toc20127041"/>
      <w:bookmarkStart w:id="2090" w:name="_Toc20381009"/>
      <w:bookmarkStart w:id="2091" w:name="_Toc20484756"/>
      <w:bookmarkStart w:id="2092" w:name="_Toc20485001"/>
      <w:bookmarkStart w:id="2093" w:name="_Toc20487949"/>
      <w:bookmarkStart w:id="2094" w:name="_Toc20488143"/>
      <w:bookmarkStart w:id="2095" w:name="_Toc20744758"/>
      <w:bookmarkStart w:id="2096" w:name="_Toc20754241"/>
      <w:bookmarkStart w:id="2097" w:name="_Toc20756498"/>
      <w:bookmarkStart w:id="2098" w:name="_Toc20758931"/>
      <w:bookmarkStart w:id="2099" w:name="_Toc20759004"/>
      <w:bookmarkStart w:id="2100" w:name="_Toc20759075"/>
      <w:bookmarkStart w:id="2101" w:name="_Toc20759267"/>
      <w:bookmarkStart w:id="2102" w:name="_Toc20898754"/>
      <w:bookmarkStart w:id="2103" w:name="_Toc20899039"/>
      <w:bookmarkStart w:id="2104" w:name="_Toc20903697"/>
      <w:bookmarkStart w:id="2105" w:name="_Toc20903809"/>
      <w:bookmarkStart w:id="2106" w:name="_Toc20903929"/>
      <w:bookmarkStart w:id="2107" w:name="_Toc21078577"/>
      <w:bookmarkStart w:id="2108" w:name="_Toc21080204"/>
      <w:bookmarkStart w:id="2109" w:name="_Toc21353823"/>
      <w:bookmarkStart w:id="2110" w:name="_Toc21354288"/>
      <w:bookmarkStart w:id="2111" w:name="_Toc21446953"/>
      <w:bookmarkStart w:id="2112" w:name="_Toc21447209"/>
      <w:bookmarkStart w:id="2113" w:name="_Toc21447323"/>
      <w:bookmarkStart w:id="2114" w:name="_Toc21447568"/>
      <w:bookmarkStart w:id="2115" w:name="_Toc21447702"/>
      <w:bookmarkStart w:id="2116" w:name="_Toc21510461"/>
      <w:bookmarkStart w:id="2117" w:name="_Toc21511063"/>
      <w:bookmarkStart w:id="2118" w:name="_Toc21523132"/>
      <w:bookmarkStart w:id="2119" w:name="_Toc22026433"/>
      <w:bookmarkStart w:id="2120" w:name="_Toc22027429"/>
      <w:bookmarkStart w:id="2121" w:name="_Toc22026434"/>
      <w:bookmarkStart w:id="2122" w:name="_Toc22027430"/>
      <w:bookmarkStart w:id="2123" w:name="_Toc22026435"/>
      <w:bookmarkStart w:id="2124" w:name="_Toc22027431"/>
      <w:bookmarkStart w:id="2125" w:name="_Toc19797343"/>
      <w:bookmarkStart w:id="2126" w:name="_Toc19797396"/>
      <w:bookmarkStart w:id="2127" w:name="_Toc19797496"/>
      <w:bookmarkStart w:id="2128" w:name="_Toc19802875"/>
      <w:bookmarkStart w:id="2129" w:name="_Toc19872000"/>
      <w:bookmarkStart w:id="2130" w:name="_Toc19882183"/>
      <w:bookmarkStart w:id="2131" w:name="_Toc19882348"/>
      <w:bookmarkStart w:id="2132" w:name="_Toc19889670"/>
      <w:bookmarkStart w:id="2133" w:name="_Toc20124069"/>
      <w:bookmarkStart w:id="2134" w:name="_Toc20124201"/>
      <w:bookmarkStart w:id="2135" w:name="_Toc20124990"/>
      <w:bookmarkStart w:id="2136" w:name="_Toc20127044"/>
      <w:bookmarkStart w:id="2137" w:name="_Toc20381012"/>
      <w:bookmarkStart w:id="2138" w:name="_Toc20484759"/>
      <w:bookmarkStart w:id="2139" w:name="_Toc20485004"/>
      <w:bookmarkStart w:id="2140" w:name="_Toc20487952"/>
      <w:bookmarkStart w:id="2141" w:name="_Toc20488146"/>
      <w:bookmarkStart w:id="2142" w:name="_Toc20744761"/>
      <w:bookmarkStart w:id="2143" w:name="_Toc20754244"/>
      <w:bookmarkStart w:id="2144" w:name="_Toc20756501"/>
      <w:bookmarkStart w:id="2145" w:name="_Toc20758934"/>
      <w:bookmarkStart w:id="2146" w:name="_Toc20759007"/>
      <w:bookmarkStart w:id="2147" w:name="_Toc20759078"/>
      <w:bookmarkStart w:id="2148" w:name="_Toc20759270"/>
      <w:bookmarkStart w:id="2149" w:name="_Toc20898761"/>
      <w:bookmarkStart w:id="2150" w:name="_Toc20899042"/>
      <w:bookmarkStart w:id="2151" w:name="_Toc20903700"/>
      <w:bookmarkStart w:id="2152" w:name="_Toc20903812"/>
      <w:bookmarkStart w:id="2153" w:name="_Toc20903932"/>
      <w:bookmarkStart w:id="2154" w:name="_Toc21078580"/>
      <w:bookmarkStart w:id="2155" w:name="_Toc21080207"/>
      <w:bookmarkStart w:id="2156" w:name="_Toc21353826"/>
      <w:bookmarkStart w:id="2157" w:name="_Toc21354291"/>
      <w:bookmarkStart w:id="2158" w:name="_Toc21446956"/>
      <w:bookmarkStart w:id="2159" w:name="_Toc21447212"/>
      <w:bookmarkStart w:id="2160" w:name="_Toc21447326"/>
      <w:bookmarkStart w:id="2161" w:name="_Toc21447571"/>
      <w:bookmarkStart w:id="2162" w:name="_Toc21447705"/>
      <w:bookmarkStart w:id="2163" w:name="_Toc21510464"/>
      <w:bookmarkStart w:id="2164" w:name="_Toc21511066"/>
      <w:bookmarkStart w:id="2165" w:name="_Toc21523135"/>
      <w:bookmarkStart w:id="2166" w:name="_Toc19797344"/>
      <w:bookmarkStart w:id="2167" w:name="_Toc19797397"/>
      <w:bookmarkStart w:id="2168" w:name="_Toc19797497"/>
      <w:bookmarkStart w:id="2169" w:name="_Toc19802876"/>
      <w:bookmarkStart w:id="2170" w:name="_Toc19872001"/>
      <w:bookmarkStart w:id="2171" w:name="_Toc19882184"/>
      <w:bookmarkStart w:id="2172" w:name="_Toc19882349"/>
      <w:bookmarkStart w:id="2173" w:name="_Toc19889671"/>
      <w:bookmarkStart w:id="2174" w:name="_Toc20124070"/>
      <w:bookmarkStart w:id="2175" w:name="_Toc20124202"/>
      <w:bookmarkStart w:id="2176" w:name="_Toc20124991"/>
      <w:bookmarkStart w:id="2177" w:name="_Toc20127045"/>
      <w:bookmarkStart w:id="2178" w:name="_Toc20381013"/>
      <w:bookmarkStart w:id="2179" w:name="_Toc20484760"/>
      <w:bookmarkStart w:id="2180" w:name="_Toc20485005"/>
      <w:bookmarkStart w:id="2181" w:name="_Toc20487953"/>
      <w:bookmarkStart w:id="2182" w:name="_Toc20488147"/>
      <w:bookmarkStart w:id="2183" w:name="_Toc20744762"/>
      <w:bookmarkStart w:id="2184" w:name="_Toc20754245"/>
      <w:bookmarkStart w:id="2185" w:name="_Toc20756502"/>
      <w:bookmarkStart w:id="2186" w:name="_Toc20758935"/>
      <w:bookmarkStart w:id="2187" w:name="_Toc20759008"/>
      <w:bookmarkStart w:id="2188" w:name="_Toc20759079"/>
      <w:bookmarkStart w:id="2189" w:name="_Toc20759271"/>
      <w:bookmarkStart w:id="2190" w:name="_Toc20898762"/>
      <w:bookmarkStart w:id="2191" w:name="_Toc20899043"/>
      <w:bookmarkStart w:id="2192" w:name="_Toc20903701"/>
      <w:bookmarkStart w:id="2193" w:name="_Toc20903813"/>
      <w:bookmarkStart w:id="2194" w:name="_Toc20903933"/>
      <w:bookmarkStart w:id="2195" w:name="_Toc21078581"/>
      <w:bookmarkStart w:id="2196" w:name="_Toc21080208"/>
      <w:bookmarkStart w:id="2197" w:name="_Toc21353827"/>
      <w:bookmarkStart w:id="2198" w:name="_Toc21354292"/>
      <w:bookmarkStart w:id="2199" w:name="_Toc21446957"/>
      <w:bookmarkStart w:id="2200" w:name="_Toc21447213"/>
      <w:bookmarkStart w:id="2201" w:name="_Toc21447327"/>
      <w:bookmarkStart w:id="2202" w:name="_Toc21447572"/>
      <w:bookmarkStart w:id="2203" w:name="_Toc21447706"/>
      <w:bookmarkStart w:id="2204" w:name="_Toc21510465"/>
      <w:bookmarkStart w:id="2205" w:name="_Toc21511067"/>
      <w:bookmarkStart w:id="2206" w:name="_Toc21523136"/>
      <w:bookmarkStart w:id="2207" w:name="_Toc121213950"/>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r>
        <w:lastRenderedPageBreak/>
        <w:t>Assessment of Impacts</w:t>
      </w:r>
      <w:bookmarkEnd w:id="2207"/>
    </w:p>
    <w:p w14:paraId="0D840604" w14:textId="14AFDB4B" w:rsidR="001D0CEA" w:rsidRDefault="001D0CEA" w:rsidP="000C71F5">
      <w:pPr>
        <w:pStyle w:val="Heading2"/>
      </w:pPr>
      <w:bookmarkStart w:id="2208" w:name="_Toc90310003"/>
      <w:bookmarkStart w:id="2209" w:name="_Toc121213951"/>
      <w:r w:rsidRPr="000C71F5">
        <w:t>Introduction</w:t>
      </w:r>
      <w:bookmarkEnd w:id="2208"/>
      <w:bookmarkEnd w:id="2209"/>
    </w:p>
    <w:p w14:paraId="72CAA698" w14:textId="0AFAFBB7" w:rsidR="00191667" w:rsidRPr="00191667" w:rsidRDefault="00191667" w:rsidP="005F1774">
      <w:pPr>
        <w:widowControl w:val="0"/>
        <w:suppressAutoHyphens/>
        <w:autoSpaceDE w:val="0"/>
        <w:autoSpaceDN w:val="0"/>
        <w:adjustRightInd w:val="0"/>
        <w:spacing w:line="240" w:lineRule="auto"/>
        <w:textAlignment w:val="center"/>
        <w:rPr>
          <w:rFonts w:ascii="Arial" w:eastAsia="Times New Roman" w:hAnsi="Arial" w:cs="Arial"/>
          <w:color w:val="000000"/>
          <w:sz w:val="24"/>
          <w:shd w:val="clear" w:color="auto" w:fill="FFFFFF"/>
        </w:rPr>
      </w:pPr>
      <w:bookmarkStart w:id="2210" w:name="_Hlk90045842"/>
      <w:r w:rsidRPr="00191667">
        <w:rPr>
          <w:rFonts w:ascii="Arial" w:eastAsia="Times New Roman" w:hAnsi="Arial" w:cs="Arial"/>
          <w:color w:val="000000"/>
          <w:sz w:val="24"/>
          <w:shd w:val="clear" w:color="auto" w:fill="FFFFFF"/>
        </w:rPr>
        <w:t xml:space="preserve">This </w:t>
      </w:r>
      <w:r w:rsidRPr="008E0FF3">
        <w:rPr>
          <w:rStyle w:val="STPR2BodyTextChar"/>
          <w:rFonts w:eastAsiaTheme="minorEastAsia"/>
        </w:rPr>
        <w:t xml:space="preserve">chapter provides a high level assessment of the island community impacts of the STPR2 recommendations. This is based on the assessment framework shown in </w:t>
      </w:r>
      <w:r w:rsidR="008E0FF3" w:rsidRPr="008E0FF3">
        <w:rPr>
          <w:rStyle w:val="STPR2BodyTextChar"/>
          <w:rFonts w:eastAsiaTheme="minorEastAsia"/>
        </w:rPr>
        <w:fldChar w:fldCharType="begin"/>
      </w:r>
      <w:r w:rsidR="008E0FF3" w:rsidRPr="008E0FF3">
        <w:rPr>
          <w:rStyle w:val="STPR2BodyTextChar"/>
          <w:rFonts w:eastAsiaTheme="minorEastAsia"/>
        </w:rPr>
        <w:instrText xml:space="preserve"> REF _Ref121229116 \n \h </w:instrText>
      </w:r>
      <w:r w:rsidR="008E0FF3" w:rsidRPr="008E0FF3">
        <w:rPr>
          <w:rStyle w:val="STPR2BodyTextChar"/>
          <w:rFonts w:eastAsiaTheme="minorEastAsia"/>
        </w:rPr>
      </w:r>
      <w:r w:rsidR="008E0FF3" w:rsidRPr="008E0FF3">
        <w:rPr>
          <w:rStyle w:val="STPR2BodyTextChar"/>
          <w:rFonts w:eastAsiaTheme="minorEastAsia"/>
        </w:rPr>
        <w:fldChar w:fldCharType="separate"/>
      </w:r>
      <w:r w:rsidR="00B71F51">
        <w:rPr>
          <w:rStyle w:val="STPR2BodyTextChar"/>
          <w:rFonts w:eastAsiaTheme="minorEastAsia"/>
        </w:rPr>
        <w:t>Appendix B:</w:t>
      </w:r>
      <w:r w:rsidR="008E0FF3" w:rsidRPr="008E0FF3">
        <w:rPr>
          <w:rStyle w:val="STPR2BodyTextChar"/>
          <w:rFonts w:eastAsiaTheme="minorEastAsia"/>
        </w:rPr>
        <w:fldChar w:fldCharType="end"/>
      </w:r>
      <w:r w:rsidRPr="008E0FF3">
        <w:rPr>
          <w:rStyle w:val="STPR2BodyTextChar"/>
          <w:rFonts w:eastAsiaTheme="minorEastAsia"/>
        </w:rPr>
        <w:t xml:space="preserve"> and scoring criteria set out in section 5.3 and takes into account information, appraisal and modelling work carried out on the recommendations whilst also considering baseline data and evidence relating</w:t>
      </w:r>
      <w:r>
        <w:rPr>
          <w:rFonts w:ascii="Arial" w:eastAsia="Times New Roman" w:hAnsi="Arial" w:cs="Arial"/>
          <w:color w:val="000000"/>
          <w:sz w:val="24"/>
          <w:shd w:val="clear" w:color="auto" w:fill="FFFFFF"/>
        </w:rPr>
        <w:t xml:space="preserve"> to</w:t>
      </w:r>
      <w:r w:rsidRPr="00191667">
        <w:rPr>
          <w:rFonts w:ascii="Arial" w:eastAsia="Times New Roman" w:hAnsi="Arial" w:cs="Arial"/>
          <w:color w:val="000000"/>
          <w:sz w:val="24"/>
          <w:shd w:val="clear" w:color="auto" w:fill="FFFFFF"/>
        </w:rPr>
        <w:t xml:space="preserve"> </w:t>
      </w:r>
      <w:r>
        <w:rPr>
          <w:rFonts w:ascii="Arial" w:eastAsia="Times New Roman" w:hAnsi="Arial" w:cs="Arial"/>
          <w:color w:val="000000"/>
          <w:sz w:val="24"/>
          <w:shd w:val="clear" w:color="auto" w:fill="FFFFFF"/>
        </w:rPr>
        <w:t>island communities</w:t>
      </w:r>
      <w:r w:rsidRPr="00191667">
        <w:rPr>
          <w:rFonts w:ascii="Arial" w:eastAsia="Times New Roman" w:hAnsi="Arial" w:cs="Arial"/>
          <w:color w:val="000000"/>
          <w:sz w:val="24"/>
          <w:shd w:val="clear" w:color="auto" w:fill="FFFFFF"/>
        </w:rPr>
        <w:t>.</w:t>
      </w:r>
    </w:p>
    <w:p w14:paraId="636611D3" w14:textId="4B81BB9D" w:rsidR="00191667" w:rsidRPr="00191667" w:rsidRDefault="5727DAEA" w:rsidP="005F1774">
      <w:pPr>
        <w:widowControl w:val="0"/>
        <w:suppressAutoHyphens/>
        <w:autoSpaceDE w:val="0"/>
        <w:autoSpaceDN w:val="0"/>
        <w:adjustRightInd w:val="0"/>
        <w:spacing w:line="240" w:lineRule="auto"/>
        <w:textAlignment w:val="center"/>
        <w:rPr>
          <w:rFonts w:ascii="Arial" w:eastAsia="Times New Roman" w:hAnsi="Arial" w:cs="Arial"/>
          <w:color w:val="000000"/>
          <w:sz w:val="24"/>
          <w:szCs w:val="24"/>
          <w:shd w:val="clear" w:color="auto" w:fill="FFFFFF"/>
        </w:rPr>
      </w:pPr>
      <w:r w:rsidRPr="078A5CA9">
        <w:rPr>
          <w:rFonts w:ascii="Arial" w:eastAsia="Times New Roman" w:hAnsi="Arial" w:cs="Arial"/>
          <w:color w:val="000000" w:themeColor="text1"/>
          <w:sz w:val="24"/>
          <w:szCs w:val="24"/>
        </w:rPr>
        <w:t xml:space="preserve">In line with the </w:t>
      </w:r>
      <w:r w:rsidR="00C00370">
        <w:rPr>
          <w:rFonts w:ascii="Arial" w:eastAsia="Times New Roman" w:hAnsi="Arial" w:cs="Arial"/>
          <w:color w:val="000000" w:themeColor="text1"/>
          <w:sz w:val="24"/>
          <w:szCs w:val="24"/>
        </w:rPr>
        <w:t>Final</w:t>
      </w:r>
      <w:r w:rsidRPr="078A5CA9">
        <w:rPr>
          <w:rFonts w:ascii="Arial" w:eastAsia="Times New Roman" w:hAnsi="Arial" w:cs="Arial"/>
          <w:color w:val="000000" w:themeColor="text1"/>
          <w:sz w:val="24"/>
          <w:szCs w:val="24"/>
        </w:rPr>
        <w:t xml:space="preserve"> STPR2 </w:t>
      </w:r>
      <w:r w:rsidR="00C00370">
        <w:rPr>
          <w:rFonts w:ascii="Arial" w:eastAsia="Times New Roman" w:hAnsi="Arial" w:cs="Arial"/>
          <w:color w:val="000000" w:themeColor="text1"/>
          <w:sz w:val="24"/>
          <w:szCs w:val="24"/>
        </w:rPr>
        <w:t>Technical R</w:t>
      </w:r>
      <w:r w:rsidRPr="078A5CA9">
        <w:rPr>
          <w:rFonts w:ascii="Arial" w:eastAsia="Times New Roman" w:hAnsi="Arial" w:cs="Arial"/>
          <w:color w:val="000000" w:themeColor="text1"/>
          <w:sz w:val="24"/>
          <w:szCs w:val="24"/>
        </w:rPr>
        <w:t>eport, the 45 recommendations have been grouped into six themes for presentational purposes as follows:</w:t>
      </w:r>
    </w:p>
    <w:p w14:paraId="579078D3" w14:textId="77777777" w:rsidR="000C65C0" w:rsidRDefault="000C65C0" w:rsidP="00D56DE8">
      <w:pPr>
        <w:pStyle w:val="STPR2BulletsLevel1"/>
        <w:rPr>
          <w:rStyle w:val="normaltextrun"/>
          <w:rFonts w:asciiTheme="minorHAnsi" w:eastAsiaTheme="minorEastAsia" w:hAnsiTheme="minorHAnsi" w:cstheme="minorBidi"/>
          <w:sz w:val="22"/>
          <w:szCs w:val="22"/>
          <w:shd w:val="clear" w:color="auto" w:fill="auto"/>
        </w:rPr>
      </w:pPr>
      <w:r>
        <w:rPr>
          <w:rStyle w:val="normaltextrun"/>
        </w:rPr>
        <w:t>Improving active travel infrastructure;</w:t>
      </w:r>
    </w:p>
    <w:p w14:paraId="5C782ADD" w14:textId="51AE6061" w:rsidR="000C65C0" w:rsidRDefault="000C65C0" w:rsidP="00D56DE8">
      <w:pPr>
        <w:pStyle w:val="STPR2BulletsLevel1"/>
        <w:rPr>
          <w:rStyle w:val="normaltextrun"/>
        </w:rPr>
      </w:pPr>
      <w:r>
        <w:rPr>
          <w:rStyle w:val="normaltextrun"/>
        </w:rPr>
        <w:t>Influencing travel choices and behaviour;</w:t>
      </w:r>
    </w:p>
    <w:p w14:paraId="091155ED" w14:textId="77777777" w:rsidR="000C65C0" w:rsidRDefault="000C65C0" w:rsidP="00D56DE8">
      <w:pPr>
        <w:pStyle w:val="STPR2BulletsLevel1"/>
        <w:rPr>
          <w:rStyle w:val="normaltextrun"/>
        </w:rPr>
      </w:pPr>
      <w:r>
        <w:rPr>
          <w:rStyle w:val="normaltextrun"/>
        </w:rPr>
        <w:t>Enhancing access to affordable public transport;</w:t>
      </w:r>
    </w:p>
    <w:p w14:paraId="791A1F50" w14:textId="77777777" w:rsidR="000C65C0" w:rsidRDefault="000C65C0" w:rsidP="00D56DE8">
      <w:pPr>
        <w:pStyle w:val="STPR2BulletsLevel1"/>
        <w:rPr>
          <w:rStyle w:val="normaltextrun"/>
        </w:rPr>
      </w:pPr>
      <w:r>
        <w:rPr>
          <w:rStyle w:val="normaltextrun"/>
        </w:rPr>
        <w:t>Decarbonising transport;</w:t>
      </w:r>
    </w:p>
    <w:p w14:paraId="7A30456E" w14:textId="77777777" w:rsidR="000C65C0" w:rsidRDefault="000C65C0" w:rsidP="00D56DE8">
      <w:pPr>
        <w:pStyle w:val="STPR2BulletsLevel1"/>
        <w:rPr>
          <w:rStyle w:val="normaltextrun"/>
        </w:rPr>
      </w:pPr>
      <w:r>
        <w:rPr>
          <w:rStyle w:val="normaltextrun"/>
        </w:rPr>
        <w:t>Increasing safety and resilience on the strategic transport network; and</w:t>
      </w:r>
    </w:p>
    <w:p w14:paraId="28E49974" w14:textId="77777777" w:rsidR="000C65C0" w:rsidRDefault="000C65C0" w:rsidP="00D56DE8">
      <w:pPr>
        <w:pStyle w:val="STPR2BulletsLevel1"/>
      </w:pPr>
      <w:r>
        <w:rPr>
          <w:rStyle w:val="normaltextrun"/>
        </w:rPr>
        <w:t>Strengthening strategic connections.</w:t>
      </w:r>
    </w:p>
    <w:p w14:paraId="6C10971C" w14:textId="77777777" w:rsidR="00191667" w:rsidRPr="00191667" w:rsidRDefault="00191667" w:rsidP="008E0FF3">
      <w:pPr>
        <w:pStyle w:val="STPR2BodyText"/>
      </w:pPr>
      <w:r w:rsidRPr="00191667">
        <w:t>It should be noted that, whilst the interventions have all been allocated to an individual theme, there are many that are complementary and indeed would deliver beneficial outcomes identified in some of the other themes. Therefore, the individual theme that each intervention is assigned should not be interpreted too rigidly.</w:t>
      </w:r>
    </w:p>
    <w:p w14:paraId="5381F3F9" w14:textId="06E520C1" w:rsidR="00191667" w:rsidRDefault="00191667" w:rsidP="00190E0D">
      <w:pPr>
        <w:widowControl w:val="0"/>
        <w:suppressAutoHyphens/>
        <w:autoSpaceDE w:val="0"/>
        <w:autoSpaceDN w:val="0"/>
        <w:adjustRightInd w:val="0"/>
        <w:spacing w:line="240" w:lineRule="auto"/>
        <w:textAlignment w:val="center"/>
        <w:rPr>
          <w:rStyle w:val="STPR2BodyTextChar"/>
          <w:rFonts w:eastAsiaTheme="minorEastAsia"/>
        </w:rPr>
      </w:pPr>
      <w:r w:rsidRPr="00191667">
        <w:rPr>
          <w:rFonts w:ascii="Arial" w:eastAsia="Times New Roman" w:hAnsi="Arial" w:cs="Arial"/>
          <w:color w:val="000000"/>
          <w:sz w:val="24"/>
          <w:shd w:val="clear" w:color="auto" w:fill="FFFFFF"/>
        </w:rPr>
        <w:t>The following sections list each of the recommendations, grouped as outlined above. This is followed by an assessment of impacts for each of</w:t>
      </w:r>
      <w:r w:rsidR="00960573">
        <w:rPr>
          <w:rFonts w:ascii="Arial" w:eastAsia="Times New Roman" w:hAnsi="Arial" w:cs="Arial"/>
          <w:color w:val="000000"/>
          <w:sz w:val="24"/>
          <w:shd w:val="clear" w:color="auto" w:fill="FFFFFF"/>
        </w:rPr>
        <w:t xml:space="preserve"> the</w:t>
      </w:r>
      <w:r w:rsidRPr="00191667">
        <w:rPr>
          <w:rFonts w:ascii="Arial" w:eastAsia="Times New Roman" w:hAnsi="Arial" w:cs="Arial"/>
          <w:color w:val="000000"/>
          <w:sz w:val="24"/>
          <w:shd w:val="clear" w:color="auto" w:fill="FFFFFF"/>
        </w:rPr>
        <w:t xml:space="preserve"> themes. The assessment takes a best case scenario approach whilst acknowledging that many of the recommendations are in early stages of development with limited information on geographical location, design elements and operational details. Therefore, the summarised impacts below provide caveats and recommendations as to how any identified impacts for </w:t>
      </w:r>
      <w:r>
        <w:rPr>
          <w:rFonts w:ascii="Arial" w:eastAsia="Times New Roman" w:hAnsi="Arial" w:cs="Arial"/>
          <w:color w:val="000000"/>
          <w:sz w:val="24"/>
          <w:shd w:val="clear" w:color="auto" w:fill="FFFFFF"/>
        </w:rPr>
        <w:t>island communities</w:t>
      </w:r>
      <w:r w:rsidRPr="00191667">
        <w:rPr>
          <w:rFonts w:ascii="Arial" w:eastAsia="Times New Roman" w:hAnsi="Arial" w:cs="Arial"/>
          <w:color w:val="000000"/>
          <w:sz w:val="24"/>
          <w:shd w:val="clear" w:color="auto" w:fill="FFFFFF"/>
        </w:rPr>
        <w:t xml:space="preserve"> could be considered further in detailed design to maximise positive effects and minimise negative effects.</w:t>
      </w:r>
      <w:r w:rsidR="00C62FBD" w:rsidRPr="00C62FBD">
        <w:t xml:space="preserve"> </w:t>
      </w:r>
    </w:p>
    <w:p w14:paraId="102E10BA" w14:textId="77777777" w:rsidR="00662811" w:rsidRDefault="00662811" w:rsidP="00662811">
      <w:pPr>
        <w:pStyle w:val="Heading2"/>
      </w:pPr>
      <w:bookmarkStart w:id="2211" w:name="_Toc121213952"/>
      <w:r>
        <w:t>Improving Active Travel Infrastructure</w:t>
      </w:r>
      <w:bookmarkEnd w:id="2211"/>
    </w:p>
    <w:p w14:paraId="52447567" w14:textId="77777777" w:rsidR="00662811" w:rsidRPr="00805897" w:rsidRDefault="00662811" w:rsidP="00D56DE8">
      <w:pPr>
        <w:pStyle w:val="STPR2BodyText"/>
      </w:pPr>
      <w:r w:rsidRPr="00805897">
        <w:t>Recommendations include:</w:t>
      </w:r>
    </w:p>
    <w:p w14:paraId="2758D559" w14:textId="77777777" w:rsidR="00662811" w:rsidRPr="00805897" w:rsidRDefault="00662811" w:rsidP="00D56DE8">
      <w:pPr>
        <w:pStyle w:val="STPR2BulletsLevel1"/>
      </w:pPr>
      <w:r w:rsidRPr="00805897">
        <w:t>Connected neighbourhoods (1)</w:t>
      </w:r>
    </w:p>
    <w:p w14:paraId="15FD8483" w14:textId="4CD9B2AF" w:rsidR="00662811" w:rsidRPr="00805897" w:rsidRDefault="00662811" w:rsidP="00D56DE8">
      <w:pPr>
        <w:pStyle w:val="STPR2BulletsLevel1"/>
      </w:pPr>
      <w:r w:rsidRPr="00805897">
        <w:t xml:space="preserve">Active freeways </w:t>
      </w:r>
      <w:r w:rsidR="00F920F7">
        <w:t>and cycle parking hubs</w:t>
      </w:r>
      <w:r w:rsidRPr="00805897">
        <w:t xml:space="preserve"> (2)</w:t>
      </w:r>
    </w:p>
    <w:p w14:paraId="39D14C83" w14:textId="77777777" w:rsidR="00662811" w:rsidRPr="00805897" w:rsidRDefault="00662811" w:rsidP="00D56DE8">
      <w:pPr>
        <w:pStyle w:val="STPR2BulletsLevel1"/>
      </w:pPr>
      <w:r w:rsidRPr="00805897">
        <w:t>Village-town active travel connections (3)</w:t>
      </w:r>
    </w:p>
    <w:p w14:paraId="2D711CE6" w14:textId="77777777" w:rsidR="00662811" w:rsidRPr="00805897" w:rsidRDefault="00662811" w:rsidP="00D56DE8">
      <w:pPr>
        <w:pStyle w:val="STPR2BulletsLevel1"/>
      </w:pPr>
      <w:r w:rsidRPr="00805897">
        <w:t>Connecting towns by active travel (4)</w:t>
      </w:r>
    </w:p>
    <w:p w14:paraId="43D46EC5" w14:textId="67A05110" w:rsidR="000C65C0" w:rsidRPr="00805897" w:rsidRDefault="00662811" w:rsidP="00D56DE8">
      <w:pPr>
        <w:pStyle w:val="STPR2BulletsLevel1"/>
      </w:pPr>
      <w:r w:rsidRPr="00805897">
        <w:t xml:space="preserve">Long-distance active travel network (5) </w:t>
      </w:r>
    </w:p>
    <w:p w14:paraId="47AA5A47" w14:textId="4B074336" w:rsidR="000C65C0" w:rsidRPr="00D7101E" w:rsidRDefault="000C65C0" w:rsidP="000C65C0">
      <w:pPr>
        <w:pStyle w:val="Heading4"/>
        <w:rPr>
          <w:shd w:val="clear" w:color="auto" w:fill="FFFFFF"/>
        </w:rPr>
      </w:pPr>
      <w:r w:rsidRPr="00D7101E">
        <w:rPr>
          <w:shd w:val="clear" w:color="auto" w:fill="FFFFFF"/>
        </w:rPr>
        <w:t xml:space="preserve">Potential </w:t>
      </w:r>
      <w:r w:rsidR="009C2DEB">
        <w:rPr>
          <w:shd w:val="clear" w:color="auto" w:fill="FFFFFF"/>
        </w:rPr>
        <w:t>i</w:t>
      </w:r>
      <w:r w:rsidRPr="00D7101E">
        <w:rPr>
          <w:shd w:val="clear" w:color="auto" w:fill="FFFFFF"/>
        </w:rPr>
        <w:t xml:space="preserve">mpacts on </w:t>
      </w:r>
      <w:r>
        <w:rPr>
          <w:shd w:val="clear" w:color="auto" w:fill="FFFFFF"/>
        </w:rPr>
        <w:t>island communities</w:t>
      </w:r>
      <w:r w:rsidRPr="00D7101E">
        <w:rPr>
          <w:shd w:val="clear" w:color="auto" w:fill="FFFFFF"/>
        </w:rPr>
        <w:t>:</w:t>
      </w:r>
    </w:p>
    <w:p w14:paraId="6D56200B" w14:textId="4C6442D2" w:rsidR="000C65C0" w:rsidRDefault="000C65C0" w:rsidP="00D56DE8">
      <w:pPr>
        <w:pStyle w:val="STPR2BulletsLevel1"/>
      </w:pPr>
      <w:r>
        <w:t>Active travel infrastructure and interventions included under this theme could potentially have a positive impact on island communities with regards to improving access to key services such as education, healthcare, employment, shopping and recreational activities</w:t>
      </w:r>
      <w:r w:rsidR="00C9160E">
        <w:t>,</w:t>
      </w:r>
      <w:r>
        <w:t xml:space="preserve"> as well as connecting towns and villages through an active travel network. For those living in island communities who depend on walking, cycling and wheeling and public transport to make their journeys, the increased provision of high </w:t>
      </w:r>
      <w:r>
        <w:lastRenderedPageBreak/>
        <w:t>quality active travel infrastructure could benefit these groups through increased access to destinations and an improvement in active travel facilities.</w:t>
      </w:r>
    </w:p>
    <w:p w14:paraId="1C18466D" w14:textId="70AA4BE6" w:rsidR="000C65C0" w:rsidRDefault="000C65C0" w:rsidP="00D56DE8">
      <w:pPr>
        <w:pStyle w:val="STPR2BulletsLevel1"/>
      </w:pPr>
      <w:r>
        <w:t>An uptake in active travel could improve physical health and mental wellbeing outcomes and is also likely to lead to air quality improvements if the uptake is matched by a reduction in private vehicle use and traffic congestion. Improved health outcomes as a result of better air quality are of particular benefit to those who are more vulnerable to air pollution, including children, older people and disabled people.</w:t>
      </w:r>
      <w:r w:rsidR="00266630">
        <w:t xml:space="preserve"> </w:t>
      </w:r>
    </w:p>
    <w:p w14:paraId="6A5283F5" w14:textId="502EBC3A" w:rsidR="000C65C0" w:rsidRDefault="000C65C0" w:rsidP="00D56DE8">
      <w:pPr>
        <w:pStyle w:val="STPR2BulletsLevel1"/>
      </w:pPr>
      <w:r>
        <w:t>The active travel infrastructure installed would be designed to accommodate adapted cycles and, as such, address mobility issues experienced by groups such as disabled people and older people. Segregated infrastructure will also benefit people who are more likely to lack confidence or are underrepresented amongst cyclists</w:t>
      </w:r>
      <w:r w:rsidR="00217AE8">
        <w:t>,</w:t>
      </w:r>
      <w:r>
        <w:t xml:space="preserve"> such as women. Improved safety measures would also reduce road and personal safety concerns for active travel users, including children</w:t>
      </w:r>
      <w:r w:rsidR="00217AE8">
        <w:t>,</w:t>
      </w:r>
      <w:r>
        <w:t xml:space="preserve"> who account for 44% of all pedestrian casualties (Transport Scotland, Jul</w:t>
      </w:r>
      <w:r w:rsidR="00B400AA">
        <w:t>y</w:t>
      </w:r>
      <w:r>
        <w:t xml:space="preserve"> 2020). </w:t>
      </w:r>
      <w:r w:rsidRPr="0086651B">
        <w:t xml:space="preserve">However, the extent to which island communities will benefit from these connected neighbourhoods will depend on the extent of the uptake in listed interventions, the location and routing of active travel facilities and network, </w:t>
      </w:r>
      <w:r w:rsidR="008806CF">
        <w:t>its</w:t>
      </w:r>
      <w:r w:rsidRPr="0086651B">
        <w:t xml:space="preserve"> proximity to required services and the ability for those from island communities to access the network.</w:t>
      </w:r>
      <w:r>
        <w:t xml:space="preserve"> </w:t>
      </w:r>
    </w:p>
    <w:p w14:paraId="7A9D4F54" w14:textId="10873C32" w:rsidR="000C65C0" w:rsidRDefault="000C65C0" w:rsidP="00D56DE8">
      <w:pPr>
        <w:pStyle w:val="STPR2BulletsLevel1"/>
      </w:pPr>
      <w:r>
        <w:t xml:space="preserve">The </w:t>
      </w:r>
      <w:r w:rsidR="000605C1">
        <w:t>impact</w:t>
      </w:r>
      <w:r>
        <w:t>s of enhanced strategic cycle routes around Scotland</w:t>
      </w:r>
      <w:r w:rsidR="00266630">
        <w:t xml:space="preserve"> </w:t>
      </w:r>
      <w:r>
        <w:t>have the potential</w:t>
      </w:r>
      <w:r w:rsidR="00A60735">
        <w:t>,</w:t>
      </w:r>
      <w:r>
        <w:t xml:space="preserve"> through improved access to ferry terminals</w:t>
      </w:r>
      <w:r w:rsidR="00A60735">
        <w:t>,</w:t>
      </w:r>
      <w:r>
        <w:t xml:space="preserve"> to improve wider access to the islands.</w:t>
      </w:r>
    </w:p>
    <w:p w14:paraId="7FF936FB" w14:textId="2F1CFB05" w:rsidR="000C65C0" w:rsidRDefault="000C65C0" w:rsidP="00D56DE8">
      <w:pPr>
        <w:pStyle w:val="STPR2BulletsLevel1"/>
      </w:pPr>
      <w:r>
        <w:t>Active travel interventions connecting villages and towns would potentially provide safer and affordable travel between villages and town</w:t>
      </w:r>
      <w:r w:rsidR="00AB2FC0">
        <w:t>s</w:t>
      </w:r>
      <w:r w:rsidR="00A60735">
        <w:t>,</w:t>
      </w:r>
      <w:r>
        <w:t xml:space="preserve"> providing benefits for those living in isolated rural communities without access to a car. This includes young people who currently experience high costs of travel to access education or employment. </w:t>
      </w:r>
      <w:r w:rsidRPr="000375A3">
        <w:t>However, the extent to which island communities will benefit from village-town active travel connections will depend on the location of routes, proximity to required services and the ability for those from island communities to access the network.</w:t>
      </w:r>
    </w:p>
    <w:p w14:paraId="223219B9" w14:textId="1F265073" w:rsidR="00492B05" w:rsidRPr="00685F5A" w:rsidRDefault="00492B05" w:rsidP="00492B05">
      <w:pPr>
        <w:pStyle w:val="Heading2"/>
      </w:pPr>
      <w:bookmarkStart w:id="2212" w:name="_Toc121213953"/>
      <w:r>
        <w:t>Influencing Travel Choices and Behaviour</w:t>
      </w:r>
      <w:bookmarkEnd w:id="2212"/>
    </w:p>
    <w:p w14:paraId="791E4069" w14:textId="2BE14400" w:rsidR="00492B05" w:rsidRPr="00805897" w:rsidRDefault="00492B05" w:rsidP="00D56DE8">
      <w:pPr>
        <w:pStyle w:val="STPR2BodyText"/>
      </w:pPr>
      <w:r w:rsidRPr="00805897">
        <w:t>Recommendations include</w:t>
      </w:r>
      <w:r w:rsidR="00D8043C">
        <w:t>:</w:t>
      </w:r>
    </w:p>
    <w:p w14:paraId="1899F8C1" w14:textId="428A4F5E" w:rsidR="00492B05" w:rsidRPr="00805897" w:rsidRDefault="00492B05" w:rsidP="00D56DE8">
      <w:pPr>
        <w:pStyle w:val="STPR2BulletsLevel1"/>
      </w:pPr>
      <w:r w:rsidRPr="00805897">
        <w:t>Behaviour</w:t>
      </w:r>
      <w:r w:rsidR="00F920F7">
        <w:t>al</w:t>
      </w:r>
      <w:r w:rsidRPr="00805897">
        <w:t xml:space="preserve"> change initiatives (6)</w:t>
      </w:r>
    </w:p>
    <w:p w14:paraId="65E8BA49" w14:textId="77777777" w:rsidR="00492B05" w:rsidRPr="00805897" w:rsidRDefault="00492B05" w:rsidP="00D56DE8">
      <w:pPr>
        <w:pStyle w:val="STPR2BulletsLevel1"/>
      </w:pPr>
      <w:r w:rsidRPr="00805897">
        <w:t>Changing road user behaviour (7)</w:t>
      </w:r>
    </w:p>
    <w:p w14:paraId="2C3F68E0" w14:textId="77777777" w:rsidR="00492B05" w:rsidRPr="00805897" w:rsidRDefault="00492B05" w:rsidP="00D56DE8">
      <w:pPr>
        <w:pStyle w:val="STPR2BulletsLevel1"/>
      </w:pPr>
      <w:r w:rsidRPr="00805897">
        <w:t>Increasing active travel to school (8)</w:t>
      </w:r>
    </w:p>
    <w:p w14:paraId="17A71180" w14:textId="77777777" w:rsidR="00492B05" w:rsidRPr="00805897" w:rsidRDefault="00492B05" w:rsidP="00D56DE8">
      <w:pPr>
        <w:pStyle w:val="STPR2BulletsLevel1"/>
      </w:pPr>
      <w:r w:rsidRPr="00805897">
        <w:t>Improving access to bikes (9)</w:t>
      </w:r>
    </w:p>
    <w:p w14:paraId="7F5710D8" w14:textId="77777777" w:rsidR="00492B05" w:rsidRPr="00805897" w:rsidRDefault="00492B05" w:rsidP="00D56DE8">
      <w:pPr>
        <w:pStyle w:val="STPR2BulletsLevel1"/>
      </w:pPr>
      <w:r w:rsidRPr="00805897">
        <w:t>Expansion of 20mph limits and zones (10)</w:t>
      </w:r>
    </w:p>
    <w:bookmarkEnd w:id="2210"/>
    <w:p w14:paraId="725C9765" w14:textId="05D6B2C8" w:rsidR="000D119A" w:rsidRPr="00D7101E" w:rsidRDefault="000D119A" w:rsidP="006234C6">
      <w:pPr>
        <w:pStyle w:val="Heading4"/>
        <w:rPr>
          <w:shd w:val="clear" w:color="auto" w:fill="FFFFFF"/>
        </w:rPr>
      </w:pPr>
      <w:r w:rsidRPr="00D7101E">
        <w:rPr>
          <w:shd w:val="clear" w:color="auto" w:fill="FFFFFF"/>
        </w:rPr>
        <w:t xml:space="preserve">Potential </w:t>
      </w:r>
      <w:r w:rsidR="009C2DEB">
        <w:rPr>
          <w:shd w:val="clear" w:color="auto" w:fill="FFFFFF"/>
        </w:rPr>
        <w:t>i</w:t>
      </w:r>
      <w:r w:rsidRPr="00D7101E">
        <w:rPr>
          <w:shd w:val="clear" w:color="auto" w:fill="FFFFFF"/>
        </w:rPr>
        <w:t xml:space="preserve">mpacts on </w:t>
      </w:r>
      <w:r w:rsidR="00D7101E">
        <w:rPr>
          <w:shd w:val="clear" w:color="auto" w:fill="FFFFFF"/>
        </w:rPr>
        <w:t>island communities</w:t>
      </w:r>
      <w:r w:rsidRPr="00D7101E">
        <w:rPr>
          <w:shd w:val="clear" w:color="auto" w:fill="FFFFFF"/>
        </w:rPr>
        <w:t>:</w:t>
      </w:r>
    </w:p>
    <w:p w14:paraId="6528E949" w14:textId="00648977" w:rsidR="000D119A" w:rsidRDefault="00E738CA" w:rsidP="00D56DE8">
      <w:pPr>
        <w:pStyle w:val="STPR2BulletsLevel1"/>
      </w:pPr>
      <w:r>
        <w:t xml:space="preserve">Influencing </w:t>
      </w:r>
      <w:r w:rsidR="000D119A">
        <w:t xml:space="preserve">travel behaviour through the promotion of active and sustainable travel and providing necessary infrastructure and initiatives to enable an increased uptake is likely to provide a number of benefits that can be shared by </w:t>
      </w:r>
      <w:r w:rsidR="0007502B">
        <w:t>island communities</w:t>
      </w:r>
      <w:r w:rsidR="000D119A">
        <w:t>.</w:t>
      </w:r>
    </w:p>
    <w:p w14:paraId="77AD36BD" w14:textId="18954C78" w:rsidR="000D119A" w:rsidRDefault="000D119A" w:rsidP="00D56DE8">
      <w:pPr>
        <w:pStyle w:val="STPR2BulletsLevel1"/>
      </w:pPr>
      <w:r>
        <w:t xml:space="preserve">Behaviour change initiatives and activities would focus on promoting inclusive transport choices. This includes providing information and promoting the use of active travel modes and public transport, as well as reducing some of the cost-related barriers associated with sustainable travel. Recent examples of projects delivered in </w:t>
      </w:r>
      <w:r w:rsidR="00B17BC5">
        <w:t>island communities</w:t>
      </w:r>
      <w:r>
        <w:t xml:space="preserve"> </w:t>
      </w:r>
      <w:r w:rsidR="004F4D44">
        <w:t>include</w:t>
      </w:r>
      <w:r>
        <w:t xml:space="preserve"> </w:t>
      </w:r>
      <w:r w:rsidR="00B17BC5">
        <w:t>HITRANS</w:t>
      </w:r>
      <w:r w:rsidR="00BF4A6E">
        <w:t>’</w:t>
      </w:r>
      <w:r>
        <w:t xml:space="preserve"> </w:t>
      </w:r>
      <w:r w:rsidR="00BF4A6E" w:rsidRPr="00BF4A6E">
        <w:t>HItravel programm</w:t>
      </w:r>
      <w:r w:rsidR="00BF4A6E">
        <w:t xml:space="preserve">e </w:t>
      </w:r>
      <w:r w:rsidR="0093578E">
        <w:t>promoting active and public transport modes</w:t>
      </w:r>
      <w:r>
        <w:t xml:space="preserve">. However, the extent to which </w:t>
      </w:r>
      <w:r w:rsidR="005A0070">
        <w:t>island communities</w:t>
      </w:r>
      <w:r>
        <w:t xml:space="preserve"> can benefit from behaviour change initiatives will depend on which audiences are reached through </w:t>
      </w:r>
      <w:r>
        <w:lastRenderedPageBreak/>
        <w:t>initiatives, and through provision of ongoing support to enable groups to continue to use sustainable travel in the long term.</w:t>
      </w:r>
    </w:p>
    <w:p w14:paraId="4B19F176" w14:textId="32A358B5" w:rsidR="000D119A" w:rsidRDefault="000D119A" w:rsidP="00D56DE8">
      <w:pPr>
        <w:pStyle w:val="STPR2BulletsLevel1"/>
      </w:pPr>
      <w:r>
        <w:t xml:space="preserve">Increasing Active Travel to School would potentially provide healthier, more affordable access to education for children and their families or carers. The infrastructure </w:t>
      </w:r>
      <w:r w:rsidR="00D640C3">
        <w:t>would provide</w:t>
      </w:r>
      <w:r w:rsidR="00D640C3" w:rsidRPr="00D640C3">
        <w:t xml:space="preserve"> potential benefits for children and other protected characteristic groups </w:t>
      </w:r>
      <w:r w:rsidR="009D7F87">
        <w:t>i</w:t>
      </w:r>
      <w:r w:rsidR="00D640C3" w:rsidRPr="00D640C3">
        <w:t>n island communities in regard to improved, safer and less costly access to education and active travel improvements in the community. However, the extent to which island communities will benefit will depend on the location and routing of active travel networks, the number of interventions adopted and the ability for those from island communities to access active travel networks and facilities.</w:t>
      </w:r>
    </w:p>
    <w:p w14:paraId="3D511EFF" w14:textId="162BECF4" w:rsidR="000D119A" w:rsidRDefault="000157AE" w:rsidP="00D56DE8">
      <w:pPr>
        <w:pStyle w:val="STPR2BulletsLevel1"/>
      </w:pPr>
      <w:r>
        <w:t>Improving</w:t>
      </w:r>
      <w:r w:rsidR="001229B0">
        <w:t xml:space="preserve"> </w:t>
      </w:r>
      <w:r w:rsidR="000D119A">
        <w:t>access to bikes for all could improve opportunit</w:t>
      </w:r>
      <w:r w:rsidR="00F34D9A">
        <w:t>ies</w:t>
      </w:r>
      <w:r w:rsidR="000D119A">
        <w:t xml:space="preserve"> to access key services for a wide range of groups. This </w:t>
      </w:r>
      <w:r w:rsidR="00CB31B1">
        <w:t>could have</w:t>
      </w:r>
      <w:r w:rsidR="000D119A">
        <w:t xml:space="preserve"> </w:t>
      </w:r>
      <w:r w:rsidR="000E7074" w:rsidRPr="000E7074">
        <w:t>potential benefits for island communities in regard to more affordable access to bikes (with knock-on improvements in regard to access to essential services and recreation). However, the extent to which island communities will benefit from bike provision will depend on the extent of the provision on islands, the location of the bike libraries and bike storage facilities, the ease of accessing subsidies and their promotion, and the uptake of social prescribing by healthcare professionals.</w:t>
      </w:r>
    </w:p>
    <w:p w14:paraId="6C1F0263" w14:textId="3F8EEBAD" w:rsidR="000D119A" w:rsidRDefault="000D119A" w:rsidP="00D56DE8">
      <w:pPr>
        <w:pStyle w:val="STPR2BulletsLevel1"/>
      </w:pPr>
      <w:r>
        <w:t>The expansion of 20 mph zones would increase road safety through new infrastructure, a reduction in traffic speed and congestion</w:t>
      </w:r>
      <w:r w:rsidR="00371317">
        <w:t>,</w:t>
      </w:r>
      <w:r>
        <w:t xml:space="preserve"> and the creation of ‘School Streets’. This would have a positive impact on those who are more likely to use active travel modes and especially for children</w:t>
      </w:r>
      <w:r w:rsidR="00371317">
        <w:t>,</w:t>
      </w:r>
      <w:r>
        <w:t xml:space="preserve"> who account for 44% of all pedestrian casualties (Transport Scotland, </w:t>
      </w:r>
      <w:r w:rsidR="009C1FAD">
        <w:t>Jul</w:t>
      </w:r>
      <w:r w:rsidR="00B400AA">
        <w:t>y</w:t>
      </w:r>
      <w:r>
        <w:t xml:space="preserve"> 2020). In particular</w:t>
      </w:r>
      <w:r w:rsidR="00371317">
        <w:t>,</w:t>
      </w:r>
      <w:r>
        <w:t xml:space="preserve"> children from deprived areas and certain ethnic groups are more at risk. </w:t>
      </w:r>
    </w:p>
    <w:p w14:paraId="7CAB836D" w14:textId="68F4101B" w:rsidR="000D119A" w:rsidRDefault="001229B0" w:rsidP="00D56DE8">
      <w:pPr>
        <w:pStyle w:val="STPR2BulletsLevel1"/>
      </w:pPr>
      <w:r>
        <w:t>Increased</w:t>
      </w:r>
      <w:r w:rsidR="00731F39">
        <w:t xml:space="preserve"> </w:t>
      </w:r>
      <w:r w:rsidR="000D119A">
        <w:t xml:space="preserve">uptake </w:t>
      </w:r>
      <w:r w:rsidR="00731F39">
        <w:t xml:space="preserve">of </w:t>
      </w:r>
      <w:r w:rsidR="000D119A">
        <w:t>active travel may improve health outcomes through physical fitness and is also likely to lead to air quality improvements if the uptake is matched by a reduction in private vehicle use and traffic congestion. Further traffic reduction measures outside of schools and behaviour change campaigns would likely lead to further localised air quality improvements. Improved health outcomes as a result of better air quality are of particular benefit to those who are more vulnerable to air pollution, including children, older people</w:t>
      </w:r>
      <w:r w:rsidR="00766AF2">
        <w:t>,</w:t>
      </w:r>
      <w:r w:rsidR="000D119A">
        <w:t xml:space="preserve"> disabled people and pregnant women. 20 mph zones could also result in reductions in noise and vibration and potential improvements as a result of traffic travelling at slower speeds and reductions in fuel consumption. This is likely to have positive impacts on those who are more vulnerable to the adverse </w:t>
      </w:r>
      <w:r w:rsidR="000605C1">
        <w:t>impact</w:t>
      </w:r>
      <w:r w:rsidR="000D119A">
        <w:t>s of traffic related noise</w:t>
      </w:r>
      <w:r w:rsidR="00B9242E">
        <w:t>,</w:t>
      </w:r>
      <w:r w:rsidR="000D119A">
        <w:t xml:space="preserve"> including children, older people and disabled people.</w:t>
      </w:r>
    </w:p>
    <w:p w14:paraId="753F7941" w14:textId="627A35D4" w:rsidR="000D119A" w:rsidRDefault="000D119A" w:rsidP="00D56DE8">
      <w:pPr>
        <w:pStyle w:val="STPR2BulletsLevel1"/>
      </w:pPr>
      <w:r>
        <w:t>An increase in active travel may improve health outcomes through physical fitness and mental wellbeing benefits</w:t>
      </w:r>
      <w:r w:rsidR="00D07CD4">
        <w:t xml:space="preserve"> for island communities</w:t>
      </w:r>
      <w:r>
        <w:t xml:space="preserve">. </w:t>
      </w:r>
    </w:p>
    <w:p w14:paraId="73A6D520" w14:textId="58DDB389" w:rsidR="000D119A" w:rsidRDefault="00D42A3F" w:rsidP="000D119A">
      <w:pPr>
        <w:pStyle w:val="Heading2"/>
      </w:pPr>
      <w:bookmarkStart w:id="2213" w:name="_Toc90038038"/>
      <w:bookmarkStart w:id="2214" w:name="_Toc90410680"/>
      <w:bookmarkStart w:id="2215" w:name="_Toc121213954"/>
      <w:r>
        <w:t>Enhancing Access</w:t>
      </w:r>
      <w:r w:rsidR="000D119A">
        <w:t xml:space="preserve"> to </w:t>
      </w:r>
      <w:r w:rsidR="00DB523E">
        <w:t>A</w:t>
      </w:r>
      <w:r w:rsidR="000D119A">
        <w:t xml:space="preserve">ffordable </w:t>
      </w:r>
      <w:r w:rsidR="00DB523E">
        <w:t>P</w:t>
      </w:r>
      <w:r w:rsidR="000D119A">
        <w:t>ublic</w:t>
      </w:r>
      <w:r w:rsidR="00DB523E">
        <w:t xml:space="preserve"> </w:t>
      </w:r>
      <w:r w:rsidR="00B7562C">
        <w:t>Transport</w:t>
      </w:r>
      <w:bookmarkEnd w:id="2213"/>
      <w:bookmarkEnd w:id="2214"/>
      <w:bookmarkEnd w:id="2215"/>
    </w:p>
    <w:p w14:paraId="624B21D0" w14:textId="77777777" w:rsidR="000D119A" w:rsidRPr="00805897" w:rsidRDefault="000D119A" w:rsidP="00D56DE8">
      <w:pPr>
        <w:pStyle w:val="STPR2BodyText"/>
      </w:pPr>
      <w:r w:rsidRPr="00805897">
        <w:t>Recommendations include:</w:t>
      </w:r>
    </w:p>
    <w:p w14:paraId="775D05B2" w14:textId="77777777" w:rsidR="00D42A3F" w:rsidRPr="00805897" w:rsidRDefault="00D42A3F" w:rsidP="00D56DE8">
      <w:pPr>
        <w:pStyle w:val="STPR2BulletsLevel1"/>
        <w:rPr>
          <w:rFonts w:eastAsia="Jacobs Chronos"/>
        </w:rPr>
      </w:pPr>
      <w:r w:rsidRPr="00805897">
        <w:rPr>
          <w:rFonts w:eastAsia="Jacobs Chronos"/>
        </w:rPr>
        <w:t>Clyde Metro (11)</w:t>
      </w:r>
    </w:p>
    <w:p w14:paraId="46B07566" w14:textId="7BFA85BE" w:rsidR="00D42A3F" w:rsidRPr="00805897" w:rsidRDefault="00D42A3F" w:rsidP="00D56DE8">
      <w:pPr>
        <w:pStyle w:val="STPR2BulletsLevel1"/>
        <w:rPr>
          <w:rFonts w:eastAsia="Jacobs Chronos"/>
        </w:rPr>
      </w:pPr>
      <w:r w:rsidRPr="00805897">
        <w:rPr>
          <w:rFonts w:eastAsia="Jacobs Chronos"/>
        </w:rPr>
        <w:t xml:space="preserve">Edinburgh </w:t>
      </w:r>
      <w:r w:rsidR="00754F54">
        <w:rPr>
          <w:rFonts w:eastAsia="Jacobs Chronos"/>
        </w:rPr>
        <w:t>and</w:t>
      </w:r>
      <w:r w:rsidRPr="00805897">
        <w:rPr>
          <w:rFonts w:eastAsia="Jacobs Chronos"/>
        </w:rPr>
        <w:t xml:space="preserve"> South East Scotland Mass Transit (12)</w:t>
      </w:r>
    </w:p>
    <w:p w14:paraId="7A94AE15" w14:textId="77777777" w:rsidR="00D42A3F" w:rsidRPr="00805897" w:rsidRDefault="00D42A3F" w:rsidP="00D56DE8">
      <w:pPr>
        <w:pStyle w:val="STPR2BulletsLevel1"/>
        <w:rPr>
          <w:rFonts w:eastAsia="Jacobs Chronos"/>
        </w:rPr>
      </w:pPr>
      <w:r w:rsidRPr="00805897">
        <w:rPr>
          <w:rFonts w:eastAsia="Jacobs Chronos"/>
        </w:rPr>
        <w:t>Aberdeen Rapid Transit (13)</w:t>
      </w:r>
    </w:p>
    <w:p w14:paraId="34E74847" w14:textId="77777777" w:rsidR="00D42A3F" w:rsidRPr="00805897" w:rsidRDefault="00D42A3F" w:rsidP="00D56DE8">
      <w:pPr>
        <w:pStyle w:val="STPR2BulletsLevel1"/>
        <w:rPr>
          <w:rFonts w:eastAsia="Jacobs Chronos"/>
        </w:rPr>
      </w:pPr>
      <w:r w:rsidRPr="00805897">
        <w:rPr>
          <w:rFonts w:eastAsia="Jacobs Chronos"/>
        </w:rPr>
        <w:t>Provision of strategic bus priority measures (14)</w:t>
      </w:r>
    </w:p>
    <w:p w14:paraId="27CC8DF5" w14:textId="54E9D0BE" w:rsidR="00D42A3F" w:rsidRPr="00805897" w:rsidRDefault="00D42A3F" w:rsidP="00D56DE8">
      <w:pPr>
        <w:pStyle w:val="STPR2BulletsLevel1"/>
        <w:rPr>
          <w:rFonts w:eastAsia="Jacobs Chronos"/>
        </w:rPr>
      </w:pPr>
      <w:r w:rsidRPr="00805897">
        <w:rPr>
          <w:rFonts w:eastAsia="Jacobs Chronos"/>
        </w:rPr>
        <w:t>Highland Main</w:t>
      </w:r>
      <w:r w:rsidR="00754F54">
        <w:rPr>
          <w:rFonts w:eastAsia="Jacobs Chronos"/>
        </w:rPr>
        <w:t xml:space="preserve"> L</w:t>
      </w:r>
      <w:r w:rsidRPr="00805897">
        <w:rPr>
          <w:rFonts w:eastAsia="Jacobs Chronos"/>
        </w:rPr>
        <w:t>ine rail corridor enhancements (15)</w:t>
      </w:r>
    </w:p>
    <w:p w14:paraId="6D6EB263" w14:textId="77777777" w:rsidR="00D42A3F" w:rsidRPr="00805897" w:rsidRDefault="00D42A3F" w:rsidP="00D56DE8">
      <w:pPr>
        <w:pStyle w:val="STPR2BulletsLevel1"/>
        <w:rPr>
          <w:rFonts w:eastAsia="Jacobs Chronos"/>
        </w:rPr>
      </w:pPr>
      <w:r w:rsidRPr="00805897">
        <w:rPr>
          <w:rFonts w:eastAsia="Jacobs Chronos"/>
        </w:rPr>
        <w:t>Perth-Dundee-Aberdeen rail corridor enhancements (16)</w:t>
      </w:r>
    </w:p>
    <w:p w14:paraId="4ABE7D9F" w14:textId="5F4BECB7" w:rsidR="00D42A3F" w:rsidRPr="00805897" w:rsidRDefault="00D42A3F" w:rsidP="00D56DE8">
      <w:pPr>
        <w:pStyle w:val="STPR2BulletsLevel1"/>
        <w:rPr>
          <w:rFonts w:eastAsia="Jacobs Chronos"/>
        </w:rPr>
      </w:pPr>
      <w:r w:rsidRPr="00805897">
        <w:rPr>
          <w:rFonts w:eastAsia="Jacobs Chronos"/>
        </w:rPr>
        <w:lastRenderedPageBreak/>
        <w:t>Edinburgh/Glasgow-Perth</w:t>
      </w:r>
      <w:r w:rsidR="00754F54">
        <w:rPr>
          <w:rFonts w:eastAsia="Jacobs Chronos"/>
        </w:rPr>
        <w:t>/Dundee</w:t>
      </w:r>
      <w:r w:rsidRPr="00805897">
        <w:rPr>
          <w:rFonts w:eastAsia="Jacobs Chronos"/>
        </w:rPr>
        <w:t xml:space="preserve"> rail corridor enhancements (17)</w:t>
      </w:r>
    </w:p>
    <w:p w14:paraId="08E607C5" w14:textId="77777777" w:rsidR="00D42A3F" w:rsidRPr="00805897" w:rsidRDefault="00D42A3F" w:rsidP="00D56DE8">
      <w:pPr>
        <w:pStyle w:val="STPR2BulletsLevel1"/>
        <w:rPr>
          <w:rFonts w:eastAsia="Jacobs Chronos"/>
        </w:rPr>
      </w:pPr>
      <w:r w:rsidRPr="00805897">
        <w:rPr>
          <w:rFonts w:eastAsia="Jacobs Chronos"/>
        </w:rPr>
        <w:t xml:space="preserve">Supporting </w:t>
      </w:r>
      <w:r w:rsidRPr="00805897">
        <w:t>integrated journeys</w:t>
      </w:r>
      <w:r w:rsidRPr="00805897">
        <w:rPr>
          <w:rFonts w:eastAsia="Jacobs Chronos"/>
        </w:rPr>
        <w:t xml:space="preserve"> at </w:t>
      </w:r>
      <w:r w:rsidRPr="00805897">
        <w:t>ferry terminals</w:t>
      </w:r>
      <w:r w:rsidRPr="00805897">
        <w:rPr>
          <w:rFonts w:eastAsia="Jacobs Chronos"/>
        </w:rPr>
        <w:t xml:space="preserve"> (18)</w:t>
      </w:r>
    </w:p>
    <w:p w14:paraId="7BC4BD38" w14:textId="77777777" w:rsidR="00D42A3F" w:rsidRPr="00805897" w:rsidRDefault="00D42A3F" w:rsidP="00D56DE8">
      <w:pPr>
        <w:pStyle w:val="STPR2BulletsLevel1"/>
        <w:rPr>
          <w:rFonts w:eastAsia="Jacobs Chronos"/>
        </w:rPr>
      </w:pPr>
      <w:r w:rsidRPr="00805897">
        <w:rPr>
          <w:rFonts w:eastAsia="Jacobs Chronos"/>
        </w:rPr>
        <w:t>Infrastructure to provide access for all at rail stations (19)</w:t>
      </w:r>
    </w:p>
    <w:p w14:paraId="459C1770" w14:textId="20F73614" w:rsidR="00D42A3F" w:rsidRPr="00805897" w:rsidRDefault="00D42A3F" w:rsidP="00D56DE8">
      <w:pPr>
        <w:pStyle w:val="STPR2BulletsLevel1"/>
        <w:rPr>
          <w:rFonts w:eastAsia="Jacobs Chronos"/>
        </w:rPr>
      </w:pPr>
      <w:r w:rsidRPr="00805897">
        <w:rPr>
          <w:rFonts w:eastAsia="Jacobs Chronos"/>
        </w:rPr>
        <w:t xml:space="preserve">Investment in </w:t>
      </w:r>
      <w:r w:rsidR="002E75DA" w:rsidRPr="002E75DA">
        <w:rPr>
          <w:rFonts w:eastAsia="Jacobs Chronos"/>
        </w:rPr>
        <w:t>Demand Responsive Transport (DRT) and Mobility as a Service (MaaS)</w:t>
      </w:r>
      <w:r w:rsidR="000E2FA8">
        <w:rPr>
          <w:rFonts w:eastAsia="Jacobs Chronos"/>
        </w:rPr>
        <w:t> </w:t>
      </w:r>
      <w:r w:rsidRPr="00805897">
        <w:rPr>
          <w:rFonts w:eastAsia="Jacobs Chronos"/>
        </w:rPr>
        <w:t>(20)</w:t>
      </w:r>
    </w:p>
    <w:p w14:paraId="103BF48A" w14:textId="77777777" w:rsidR="00D42A3F" w:rsidRPr="00805897" w:rsidRDefault="00D42A3F" w:rsidP="00D56DE8">
      <w:pPr>
        <w:pStyle w:val="STPR2BulletsLevel1"/>
        <w:rPr>
          <w:rFonts w:eastAsia="Jacobs Chronos"/>
        </w:rPr>
      </w:pPr>
      <w:r w:rsidRPr="00805897">
        <w:rPr>
          <w:rFonts w:eastAsia="Jacobs Chronos"/>
        </w:rPr>
        <w:t>Improved public transport passenger interchange facilities (21)</w:t>
      </w:r>
    </w:p>
    <w:p w14:paraId="6721053B" w14:textId="3EF0D5B8" w:rsidR="00D42A3F" w:rsidRPr="00805897" w:rsidRDefault="00D42A3F" w:rsidP="00D56DE8">
      <w:pPr>
        <w:pStyle w:val="STPR2BulletsLevel1"/>
        <w:rPr>
          <w:rFonts w:eastAsia="Jacobs Chronos"/>
        </w:rPr>
      </w:pPr>
      <w:r w:rsidRPr="00805897">
        <w:rPr>
          <w:rFonts w:eastAsia="Jacobs Chronos"/>
        </w:rPr>
        <w:t xml:space="preserve">Framework for </w:t>
      </w:r>
      <w:r w:rsidR="008D1691">
        <w:rPr>
          <w:rFonts w:eastAsia="Jacobs Chronos"/>
        </w:rPr>
        <w:t xml:space="preserve">the </w:t>
      </w:r>
      <w:r w:rsidRPr="00805897">
        <w:rPr>
          <w:rFonts w:eastAsia="Jacobs Chronos"/>
        </w:rPr>
        <w:t>delivery of mobility hubs (22)</w:t>
      </w:r>
    </w:p>
    <w:p w14:paraId="78D2A3FD" w14:textId="06059429" w:rsidR="00D42A3F" w:rsidRPr="00805897" w:rsidRDefault="008D1691" w:rsidP="00D56DE8">
      <w:pPr>
        <w:pStyle w:val="STPR2BulletsLevel1"/>
        <w:rPr>
          <w:rFonts w:eastAsia="Jacobs Chronos"/>
        </w:rPr>
      </w:pPr>
      <w:r>
        <w:rPr>
          <w:rFonts w:eastAsia="Jacobs Chronos"/>
        </w:rPr>
        <w:t>Smart,</w:t>
      </w:r>
      <w:r w:rsidR="00D42A3F" w:rsidRPr="00805897">
        <w:rPr>
          <w:rFonts w:eastAsia="Jacobs Chronos"/>
        </w:rPr>
        <w:t xml:space="preserve"> integrated public transport ticketing (23)</w:t>
      </w:r>
    </w:p>
    <w:p w14:paraId="517DE174" w14:textId="38B9F8EA" w:rsidR="00D7101E" w:rsidRPr="00D7101E" w:rsidRDefault="00D7101E" w:rsidP="006234C6">
      <w:pPr>
        <w:pStyle w:val="Heading4"/>
        <w:rPr>
          <w:shd w:val="clear" w:color="auto" w:fill="FFFFFF"/>
        </w:rPr>
      </w:pPr>
      <w:r w:rsidRPr="00D7101E">
        <w:rPr>
          <w:shd w:val="clear" w:color="auto" w:fill="FFFFFF"/>
        </w:rPr>
        <w:t xml:space="preserve">Potential </w:t>
      </w:r>
      <w:r w:rsidR="009C2DEB">
        <w:rPr>
          <w:shd w:val="clear" w:color="auto" w:fill="FFFFFF"/>
        </w:rPr>
        <w:t>i</w:t>
      </w:r>
      <w:r w:rsidRPr="00D7101E">
        <w:rPr>
          <w:shd w:val="clear" w:color="auto" w:fill="FFFFFF"/>
        </w:rPr>
        <w:t xml:space="preserve">mpacts on </w:t>
      </w:r>
      <w:r>
        <w:rPr>
          <w:shd w:val="clear" w:color="auto" w:fill="FFFFFF"/>
        </w:rPr>
        <w:t>island communities</w:t>
      </w:r>
      <w:r w:rsidRPr="00D7101E">
        <w:rPr>
          <w:shd w:val="clear" w:color="auto" w:fill="FFFFFF"/>
        </w:rPr>
        <w:t>:</w:t>
      </w:r>
    </w:p>
    <w:p w14:paraId="3CD8163D" w14:textId="4CAFA8B6" w:rsidR="00FD78F6" w:rsidRDefault="000D119A" w:rsidP="00D56DE8">
      <w:pPr>
        <w:pStyle w:val="STPR2BulletsLevel1"/>
      </w:pPr>
      <w:r w:rsidRPr="00805897">
        <w:rPr>
          <w:rFonts w:eastAsia="Jacobs Chronos"/>
        </w:rPr>
        <w:t>New mass transit</w:t>
      </w:r>
      <w:r w:rsidR="002F1251" w:rsidRPr="00805897">
        <w:rPr>
          <w:rFonts w:eastAsia="Jacobs Chronos"/>
        </w:rPr>
        <w:t xml:space="preserve">, </w:t>
      </w:r>
      <w:r w:rsidRPr="00805897">
        <w:rPr>
          <w:rFonts w:eastAsia="Jacobs Chronos"/>
        </w:rPr>
        <w:t>metro</w:t>
      </w:r>
      <w:r w:rsidR="0097268E" w:rsidRPr="00805897">
        <w:rPr>
          <w:rFonts w:eastAsia="Jacobs Chronos"/>
        </w:rPr>
        <w:t>,</w:t>
      </w:r>
      <w:r w:rsidR="002F1251" w:rsidRPr="00805897">
        <w:rPr>
          <w:rFonts w:eastAsia="Jacobs Chronos"/>
        </w:rPr>
        <w:t xml:space="preserve"> integrated ticketing</w:t>
      </w:r>
      <w:r w:rsidR="0097268E" w:rsidRPr="00805897">
        <w:rPr>
          <w:rFonts w:eastAsia="Jacobs Chronos"/>
        </w:rPr>
        <w:t xml:space="preserve"> and bus</w:t>
      </w:r>
      <w:r w:rsidRPr="00805897">
        <w:rPr>
          <w:rFonts w:eastAsia="Jacobs Chronos"/>
        </w:rPr>
        <w:t xml:space="preserve"> </w:t>
      </w:r>
      <w:r w:rsidR="00E7003B" w:rsidRPr="00805897">
        <w:rPr>
          <w:rFonts w:eastAsia="Jacobs Chronos"/>
        </w:rPr>
        <w:t xml:space="preserve">priority </w:t>
      </w:r>
      <w:r w:rsidRPr="00805897">
        <w:rPr>
          <w:rFonts w:eastAsia="Jacobs Chronos"/>
        </w:rPr>
        <w:t xml:space="preserve">options </w:t>
      </w:r>
      <w:r w:rsidR="00FD78F6" w:rsidRPr="00805897">
        <w:t>will not directly or indirectly impact island communities.</w:t>
      </w:r>
      <w:r w:rsidR="001B15B9" w:rsidRPr="001B15B9">
        <w:t xml:space="preserve"> </w:t>
      </w:r>
      <w:r w:rsidR="001B15B9">
        <w:t xml:space="preserve">However, there could be a minor positive impact for those from island communities visiting the mainland for services </w:t>
      </w:r>
      <w:r w:rsidR="00D00724">
        <w:t>through</w:t>
      </w:r>
      <w:r w:rsidR="001B15B9">
        <w:t xml:space="preserve"> improv</w:t>
      </w:r>
      <w:r w:rsidR="00D00724">
        <w:t>ed</w:t>
      </w:r>
      <w:r w:rsidR="001B15B9">
        <w:t xml:space="preserve"> accessibility to key services</w:t>
      </w:r>
      <w:r w:rsidR="00FB13BC">
        <w:t xml:space="preserve"> in urban areas</w:t>
      </w:r>
      <w:r w:rsidR="001B15B9">
        <w:t>.</w:t>
      </w:r>
    </w:p>
    <w:p w14:paraId="6EC181B2" w14:textId="04DF6536" w:rsidR="0017483F" w:rsidRPr="0017483F" w:rsidRDefault="34E478AC" w:rsidP="00D56DE8">
      <w:pPr>
        <w:pStyle w:val="STPR2BulletsLevel1"/>
      </w:pPr>
      <w:r>
        <w:t xml:space="preserve">The rail enhancement options on the </w:t>
      </w:r>
      <w:r w:rsidRPr="078A5CA9">
        <w:rPr>
          <w:rFonts w:eastAsia="Jacobs Chronos"/>
        </w:rPr>
        <w:t>Edinburgh/Glasgow</w:t>
      </w:r>
      <w:r w:rsidR="00CE6EE1">
        <w:rPr>
          <w:rFonts w:eastAsia="Jacobs Chronos"/>
        </w:rPr>
        <w:t>-</w:t>
      </w:r>
      <w:r w:rsidRPr="078A5CA9">
        <w:rPr>
          <w:rFonts w:eastAsia="Jacobs Chronos"/>
        </w:rPr>
        <w:t xml:space="preserve">Perth and Perth-Dundee-Aberdeen lines </w:t>
      </w:r>
      <w:r w:rsidR="7C729DAE">
        <w:t>will not directly or indirectly impact island communities; however, while the Highland Mainline rail enhancement is also not applicable to islands, the Far North</w:t>
      </w:r>
      <w:r w:rsidR="248D627B">
        <w:t>,</w:t>
      </w:r>
      <w:r w:rsidR="7C729DAE">
        <w:t xml:space="preserve"> Kyle Line and West Highland may be used by tourists as part of journeys to the Hebrides, Orkney and Shetland Islands</w:t>
      </w:r>
      <w:r w:rsidR="4C8CFB5D">
        <w:t xml:space="preserve"> or by island communities to access destinations on the mainland</w:t>
      </w:r>
      <w:r w:rsidR="726E4CC0">
        <w:t xml:space="preserve"> and as such some minor positive impacts</w:t>
      </w:r>
      <w:r w:rsidR="55F4645D">
        <w:t xml:space="preserve"> could be experienced through enhanced accessibility and a reduction in private vehicle use</w:t>
      </w:r>
      <w:r w:rsidR="504A40CB">
        <w:t xml:space="preserve"> by</w:t>
      </w:r>
      <w:r w:rsidR="000E2FA8">
        <w:t> </w:t>
      </w:r>
      <w:r w:rsidR="504A40CB">
        <w:t>tourists</w:t>
      </w:r>
      <w:r w:rsidR="304ED969">
        <w:t>.</w:t>
      </w:r>
    </w:p>
    <w:p w14:paraId="1443B572" w14:textId="09DBD542" w:rsidR="00A029F2" w:rsidRDefault="00A029F2" w:rsidP="00D56DE8">
      <w:pPr>
        <w:pStyle w:val="STPR2BulletsLevel1"/>
      </w:pPr>
      <w:r>
        <w:t>Aberdeen Rapid Transit would improve both the surface access connectivity and accessibility of Aberdeen Ferry Terminal and Aberdeen Airport with the Aberdeen City Region by public transport. This would be to the benefit of users travelling to/from Orkney and Shetland, and those employed at the port and airport sites. This would be developed through working with Aberdeen Harbour Board and the Aberdeen Airport Authority, in recognition of the importance of efficient surface access to these gateways by a range of travel options. There would be no direct impact on islands; however, Rapid Transit would increase connectivity to/from Aberdeen Ferry Terminal and Aberdeen Airport, providing negligible benefits for users travelling to/from Orkney/Shetland.</w:t>
      </w:r>
    </w:p>
    <w:p w14:paraId="4B24A90F" w14:textId="6DDCFEBD" w:rsidR="000D119A" w:rsidRDefault="2C83AF70" w:rsidP="00D56DE8">
      <w:pPr>
        <w:pStyle w:val="STPR2BulletsLevel1"/>
      </w:pPr>
      <w:r>
        <w:t xml:space="preserve">Investment in DRT and Maas could have a </w:t>
      </w:r>
      <w:r w:rsidR="35CB944A">
        <w:t>significant positive</w:t>
      </w:r>
      <w:r>
        <w:t xml:space="preserve"> impact on </w:t>
      </w:r>
      <w:r w:rsidR="15FD0D5F">
        <w:t xml:space="preserve">island communities </w:t>
      </w:r>
      <w:r w:rsidR="35CB944A">
        <w:t xml:space="preserve">due to the increased bus public transport connectivity </w:t>
      </w:r>
      <w:r w:rsidR="5CDF5186">
        <w:t>o</w:t>
      </w:r>
      <w:r w:rsidR="35CB944A">
        <w:t xml:space="preserve">n </w:t>
      </w:r>
      <w:r w:rsidR="6D5F9D6F">
        <w:t>individual</w:t>
      </w:r>
      <w:r w:rsidR="000E2FA8">
        <w:t> </w:t>
      </w:r>
      <w:r w:rsidR="35CB944A">
        <w:t>island</w:t>
      </w:r>
      <w:r w:rsidR="59F96528">
        <w:t>s</w:t>
      </w:r>
      <w:r w:rsidR="35CB944A">
        <w:t>.</w:t>
      </w:r>
    </w:p>
    <w:p w14:paraId="3A29CBEE" w14:textId="791FDAA9" w:rsidR="000D119A" w:rsidRDefault="000D119A" w:rsidP="00D56DE8">
      <w:pPr>
        <w:pStyle w:val="STPR2BulletsLevel1"/>
        <w:rPr>
          <w:rFonts w:eastAsia="Jacobs Chronos"/>
        </w:rPr>
      </w:pPr>
      <w:r>
        <w:t>Improved public transport infrastructure at stations, regional hubs, interchanges and other facilities would provide accessibility benefits for</w:t>
      </w:r>
      <w:r w:rsidR="006F4265">
        <w:t xml:space="preserve"> all</w:t>
      </w:r>
      <w:r>
        <w:t xml:space="preserve"> </w:t>
      </w:r>
      <w:r w:rsidR="00562AE5">
        <w:t>travellers</w:t>
      </w:r>
      <w:r w:rsidR="00880938">
        <w:t>,</w:t>
      </w:r>
      <w:r>
        <w:t xml:space="preserve"> with new facilities being designed to inclusive design standards. </w:t>
      </w:r>
      <w:r w:rsidR="009C78DE" w:rsidRPr="009C78DE">
        <w:t>Multi-modal interchanges at ports and airports would help to support better connectivity on islands.</w:t>
      </w:r>
      <w:r w:rsidR="009C78DE">
        <w:t xml:space="preserve"> </w:t>
      </w:r>
      <w:r w:rsidR="00562AE5">
        <w:t>P</w:t>
      </w:r>
      <w:r w:rsidR="00562AE5" w:rsidRPr="00562AE5">
        <w:t xml:space="preserve">assengers travelling to/from/between islands can sometimes face long wait times before the next onward mode of travel, so enhancements to passenger waiting facilities would benefit island communities. </w:t>
      </w:r>
      <w:r w:rsidR="000605C1">
        <w:t>These recommendations are</w:t>
      </w:r>
      <w:r w:rsidR="00562AE5" w:rsidRPr="00562AE5">
        <w:t xml:space="preserve"> therefore expected to have a minor positive</w:t>
      </w:r>
      <w:r w:rsidR="000E2FA8">
        <w:t> </w:t>
      </w:r>
      <w:r w:rsidR="00562AE5" w:rsidRPr="00562AE5">
        <w:t>impact.</w:t>
      </w:r>
    </w:p>
    <w:p w14:paraId="10C6E85F" w14:textId="2EB9E25D" w:rsidR="000D119A" w:rsidRDefault="000D119A" w:rsidP="000E2FA8">
      <w:pPr>
        <w:pStyle w:val="Heading2"/>
        <w:keepNext/>
        <w:keepLines/>
        <w:widowControl/>
      </w:pPr>
      <w:bookmarkStart w:id="2216" w:name="_Toc92809462"/>
      <w:bookmarkStart w:id="2217" w:name="_Toc121213955"/>
      <w:r>
        <w:lastRenderedPageBreak/>
        <w:t>Decarbonis</w:t>
      </w:r>
      <w:r w:rsidR="003A45B1">
        <w:t xml:space="preserve">ing </w:t>
      </w:r>
      <w:r>
        <w:t>Transport</w:t>
      </w:r>
      <w:bookmarkEnd w:id="2216"/>
      <w:bookmarkEnd w:id="2217"/>
    </w:p>
    <w:p w14:paraId="39CD4C12" w14:textId="77777777" w:rsidR="000D119A" w:rsidRPr="00805897" w:rsidRDefault="000D119A" w:rsidP="000E2FA8">
      <w:pPr>
        <w:pStyle w:val="STPR2BodyText"/>
        <w:keepNext/>
        <w:keepLines/>
      </w:pPr>
      <w:r w:rsidRPr="00805897">
        <w:t>Recommendations include:</w:t>
      </w:r>
    </w:p>
    <w:p w14:paraId="13EC13ED" w14:textId="3315F5B2" w:rsidR="006E2E57" w:rsidRPr="00805897" w:rsidRDefault="006E2E57" w:rsidP="000E2FA8">
      <w:pPr>
        <w:pStyle w:val="STPR2BulletsLevel1"/>
        <w:keepNext/>
        <w:keepLines/>
      </w:pPr>
      <w:r w:rsidRPr="00805897">
        <w:t>Ferry Vessel renewal and replacement</w:t>
      </w:r>
      <w:r w:rsidR="005151BE">
        <w:t>,</w:t>
      </w:r>
      <w:r w:rsidRPr="00805897">
        <w:t xml:space="preserve"> and progressive decarbonisation (24)</w:t>
      </w:r>
    </w:p>
    <w:p w14:paraId="62C52637" w14:textId="17F2BB2A" w:rsidR="006E2E57" w:rsidRPr="00805897" w:rsidRDefault="005151BE" w:rsidP="000E2FA8">
      <w:pPr>
        <w:pStyle w:val="STPR2BulletsLevel1"/>
        <w:keepNext/>
        <w:keepLines/>
      </w:pPr>
      <w:r>
        <w:t>Decarbonisation of the rail network</w:t>
      </w:r>
      <w:r w:rsidR="006E2E57" w:rsidRPr="00805897">
        <w:t xml:space="preserve"> (25)</w:t>
      </w:r>
    </w:p>
    <w:p w14:paraId="4057F1E2" w14:textId="5B859512" w:rsidR="006E2E57" w:rsidRPr="00805897" w:rsidRDefault="006E2E57" w:rsidP="000E2FA8">
      <w:pPr>
        <w:pStyle w:val="STPR2BulletsLevel1"/>
        <w:keepNext/>
        <w:keepLines/>
      </w:pPr>
      <w:r w:rsidRPr="00805897">
        <w:t xml:space="preserve">Decarbonisation of </w:t>
      </w:r>
      <w:r w:rsidR="001F375F">
        <w:t>the</w:t>
      </w:r>
      <w:r w:rsidRPr="00805897">
        <w:t xml:space="preserve"> bus network (26)</w:t>
      </w:r>
    </w:p>
    <w:p w14:paraId="08E74625" w14:textId="68600663" w:rsidR="006E2E57" w:rsidRPr="00805897" w:rsidRDefault="006E2E57" w:rsidP="00D56DE8">
      <w:pPr>
        <w:pStyle w:val="STPR2BulletsLevel1"/>
      </w:pPr>
      <w:r w:rsidRPr="00805897">
        <w:t>Behaviour</w:t>
      </w:r>
      <w:r w:rsidR="001F375F">
        <w:t>al</w:t>
      </w:r>
      <w:r w:rsidRPr="00805897">
        <w:t xml:space="preserve"> change and modal shift for freight (27)</w:t>
      </w:r>
    </w:p>
    <w:p w14:paraId="2B7AA128" w14:textId="77777777" w:rsidR="006E2E57" w:rsidRPr="00805897" w:rsidRDefault="006E2E57" w:rsidP="00D56DE8">
      <w:pPr>
        <w:pStyle w:val="STPR2BulletsLevel1"/>
      </w:pPr>
      <w:r w:rsidRPr="00805897">
        <w:t>Zero emission vehicles and infrastructure transition (28)</w:t>
      </w:r>
    </w:p>
    <w:p w14:paraId="4B1C7BDB" w14:textId="2C008457" w:rsidR="00D7101E" w:rsidRPr="00D7101E" w:rsidRDefault="00D7101E" w:rsidP="006234C6">
      <w:pPr>
        <w:pStyle w:val="Heading4"/>
        <w:rPr>
          <w:shd w:val="clear" w:color="auto" w:fill="FFFFFF"/>
        </w:rPr>
      </w:pPr>
      <w:r w:rsidRPr="00D7101E">
        <w:rPr>
          <w:shd w:val="clear" w:color="auto" w:fill="FFFFFF"/>
        </w:rPr>
        <w:t xml:space="preserve">Potential </w:t>
      </w:r>
      <w:r w:rsidR="009C2DEB">
        <w:rPr>
          <w:shd w:val="clear" w:color="auto" w:fill="FFFFFF"/>
        </w:rPr>
        <w:t>i</w:t>
      </w:r>
      <w:r w:rsidRPr="00D7101E">
        <w:rPr>
          <w:shd w:val="clear" w:color="auto" w:fill="FFFFFF"/>
        </w:rPr>
        <w:t xml:space="preserve">mpacts on </w:t>
      </w:r>
      <w:r>
        <w:rPr>
          <w:shd w:val="clear" w:color="auto" w:fill="FFFFFF"/>
        </w:rPr>
        <w:t>island communities</w:t>
      </w:r>
      <w:r w:rsidRPr="00D7101E">
        <w:rPr>
          <w:shd w:val="clear" w:color="auto" w:fill="FFFFFF"/>
        </w:rPr>
        <w:t>:</w:t>
      </w:r>
    </w:p>
    <w:p w14:paraId="532B92B3" w14:textId="0A93FA54" w:rsidR="0017517B" w:rsidRDefault="000D119A" w:rsidP="00D56DE8">
      <w:pPr>
        <w:pStyle w:val="STPR2BulletsLevel1"/>
      </w:pPr>
      <w:r>
        <w:t>Decarbonisation of bus</w:t>
      </w:r>
      <w:r w:rsidR="000D397C">
        <w:t xml:space="preserve"> and </w:t>
      </w:r>
      <w:r>
        <w:t xml:space="preserve">ferry travel and the transition to zero emission infrastructure would all have potential positive impacts on groups who are more vulnerable to the adverse health impacts of transport-related emissions and air pollution. </w:t>
      </w:r>
      <w:r w:rsidR="0017517B">
        <w:t>T</w:t>
      </w:r>
      <w:r w:rsidR="0017517B" w:rsidRPr="0017517B">
        <w:t>he installation of charge points at ferry terminals, leading to a much better multi-modal integration</w:t>
      </w:r>
      <w:r w:rsidR="001B0D90">
        <w:t>,</w:t>
      </w:r>
      <w:r w:rsidR="0017517B">
        <w:t xml:space="preserve"> would have a positive impact on island communities</w:t>
      </w:r>
      <w:r w:rsidR="0017517B" w:rsidRPr="0017517B">
        <w:t xml:space="preserve">. The development of renewable energy systems could also lead to the development/installation of infrastructure that can target the natural renewable assets of the Island Communities. In addition, the directly targeted funding for Island Communities will </w:t>
      </w:r>
      <w:r w:rsidR="0087031E">
        <w:t>provide</w:t>
      </w:r>
      <w:r w:rsidR="0017517B" w:rsidRPr="0017517B">
        <w:t xml:space="preserve"> positive</w:t>
      </w:r>
      <w:r w:rsidR="0087031E">
        <w:t xml:space="preserve"> impacts</w:t>
      </w:r>
      <w:r w:rsidR="0017517B" w:rsidRPr="0017517B">
        <w:t>.</w:t>
      </w:r>
    </w:p>
    <w:p w14:paraId="612ED90B" w14:textId="1DD6EEAE" w:rsidR="000D119A" w:rsidRDefault="000D119A" w:rsidP="00D56DE8">
      <w:pPr>
        <w:pStyle w:val="STPR2BulletsLevel1"/>
      </w:pPr>
      <w:r>
        <w:t xml:space="preserve">Further benefits may be realised through the procurement of new </w:t>
      </w:r>
      <w:r w:rsidR="003A3E76">
        <w:t>ferry vessels</w:t>
      </w:r>
      <w:r>
        <w:t xml:space="preserve"> and infrastructure which would potentially be designed to i</w:t>
      </w:r>
      <w:r w:rsidR="003A3E76">
        <w:t>ncreased</w:t>
      </w:r>
      <w:r>
        <w:t xml:space="preserve"> accessibility standards than currently. This </w:t>
      </w:r>
      <w:r w:rsidR="00924391">
        <w:t>c</w:t>
      </w:r>
      <w:r>
        <w:t xml:space="preserve">ould </w:t>
      </w:r>
      <w:r w:rsidR="00924391">
        <w:t>have a positive impact on island communities, particularly</w:t>
      </w:r>
      <w:r>
        <w:t xml:space="preserve"> </w:t>
      </w:r>
      <w:r w:rsidR="00924391">
        <w:t>for</w:t>
      </w:r>
      <w:r>
        <w:t xml:space="preserve"> those with accessibility limitations including older people, disabled people and pregnant women or traveller</w:t>
      </w:r>
      <w:r w:rsidR="000276E9">
        <w:t>s</w:t>
      </w:r>
      <w:r>
        <w:t xml:space="preserve"> with pushchairs or young children.</w:t>
      </w:r>
    </w:p>
    <w:p w14:paraId="5D495EB9" w14:textId="1B67BE07" w:rsidR="000D119A" w:rsidRDefault="001665BB" w:rsidP="00D56DE8">
      <w:pPr>
        <w:pStyle w:val="STPR2BulletsLevel1"/>
      </w:pPr>
      <w:r>
        <w:t xml:space="preserve">The investment into decarbonisation of the ferry network would drive island connectivity improvements across the </w:t>
      </w:r>
      <w:r w:rsidR="00B81C80">
        <w:t>Clyde and Hebrides Ferry Service (</w:t>
      </w:r>
      <w:r>
        <w:t>CHFS</w:t>
      </w:r>
      <w:r w:rsidR="00B81C80">
        <w:t>)</w:t>
      </w:r>
      <w:r>
        <w:t xml:space="preserve"> and </w:t>
      </w:r>
      <w:r w:rsidR="00AD03A4">
        <w:t>North Isles Ferry Service (</w:t>
      </w:r>
      <w:r>
        <w:t>NIFS</w:t>
      </w:r>
      <w:r w:rsidR="00AD03A4">
        <w:t>)</w:t>
      </w:r>
      <w:r>
        <w:t xml:space="preserve"> networks</w:t>
      </w:r>
      <w:r w:rsidR="008E080B">
        <w:t>,</w:t>
      </w:r>
      <w:r>
        <w:t xml:space="preserve"> leading to a beneficial impact on island communities. This could lead to a reduction </w:t>
      </w:r>
      <w:r w:rsidR="00630B42">
        <w:t>in</w:t>
      </w:r>
      <w:r>
        <w:t xml:space="preserve"> poor air quality, affecting the island communities. As this </w:t>
      </w:r>
      <w:r w:rsidR="000605C1">
        <w:t>recommendation</w:t>
      </w:r>
      <w:r>
        <w:t xml:space="preserve"> only deals with the CHFS and NIFS network</w:t>
      </w:r>
      <w:r w:rsidR="00675A80">
        <w:t>s,</w:t>
      </w:r>
      <w:r>
        <w:t xml:space="preserve"> further assessment is required if there is a significant difference with islands predominately served by local authority or privately run ferries </w:t>
      </w:r>
      <w:r w:rsidR="000605C1">
        <w:t>for example</w:t>
      </w:r>
      <w:r>
        <w:t xml:space="preserve"> Shetland and Orkney.</w:t>
      </w:r>
    </w:p>
    <w:p w14:paraId="5DCBD153" w14:textId="422ACB9B" w:rsidR="001C3C99" w:rsidRDefault="001C3C99" w:rsidP="001C3C99">
      <w:pPr>
        <w:pStyle w:val="Heading2"/>
      </w:pPr>
      <w:bookmarkStart w:id="2218" w:name="_Toc92809463"/>
      <w:bookmarkStart w:id="2219" w:name="_Toc121213956"/>
      <w:r>
        <w:t>Increasing Safety and Resilience on the Strategic Transport</w:t>
      </w:r>
      <w:r w:rsidR="000E2FA8">
        <w:t> </w:t>
      </w:r>
      <w:r>
        <w:t>Network</w:t>
      </w:r>
      <w:bookmarkEnd w:id="2218"/>
      <w:bookmarkEnd w:id="2219"/>
    </w:p>
    <w:p w14:paraId="6F2A4EF7" w14:textId="77777777" w:rsidR="000D119A" w:rsidRPr="00805897" w:rsidRDefault="000D119A" w:rsidP="00D56DE8">
      <w:pPr>
        <w:pStyle w:val="STPR2BodyText"/>
        <w:rPr>
          <w:rFonts w:eastAsia="Jacobs Chronos"/>
        </w:rPr>
      </w:pPr>
      <w:r w:rsidRPr="00805897">
        <w:rPr>
          <w:rFonts w:eastAsia="Jacobs Chronos"/>
        </w:rPr>
        <w:t>Recommendations include:</w:t>
      </w:r>
    </w:p>
    <w:p w14:paraId="45245690" w14:textId="77777777" w:rsidR="00DF1D95" w:rsidRPr="00805897" w:rsidRDefault="00DF1D95" w:rsidP="00D56DE8">
      <w:pPr>
        <w:pStyle w:val="STPR2BulletsLevel1"/>
        <w:rPr>
          <w:rFonts w:eastAsia="Jacobs Chronos"/>
        </w:rPr>
      </w:pPr>
      <w:r w:rsidRPr="00805897">
        <w:rPr>
          <w:rFonts w:eastAsia="Jacobs Chronos"/>
        </w:rPr>
        <w:t xml:space="preserve">Access to Argyll </w:t>
      </w:r>
      <w:r w:rsidR="001C3C99" w:rsidRPr="00805897">
        <w:rPr>
          <w:rFonts w:eastAsia="Jacobs Chronos"/>
        </w:rPr>
        <w:t>A83 (29</w:t>
      </w:r>
      <w:r w:rsidRPr="00805897">
        <w:rPr>
          <w:rFonts w:eastAsia="Jacobs Chronos"/>
        </w:rPr>
        <w:t>)</w:t>
      </w:r>
    </w:p>
    <w:p w14:paraId="1E199D78" w14:textId="4EF68967" w:rsidR="001C3C99" w:rsidRPr="00805897" w:rsidRDefault="001C3C99" w:rsidP="00D56DE8">
      <w:pPr>
        <w:pStyle w:val="STPR2BulletsLevel1"/>
        <w:rPr>
          <w:rFonts w:eastAsia="Jacobs Chronos"/>
        </w:rPr>
      </w:pPr>
      <w:r w:rsidRPr="00805897">
        <w:rPr>
          <w:rFonts w:eastAsia="Jacobs Chronos"/>
        </w:rPr>
        <w:t xml:space="preserve">Trunk road and motorway safety improvements </w:t>
      </w:r>
      <w:r w:rsidR="000478A1" w:rsidRPr="000478A1">
        <w:rPr>
          <w:rFonts w:eastAsia="Jacobs Chronos"/>
        </w:rPr>
        <w:t>to progress towards ‘Vision Zero’</w:t>
      </w:r>
      <w:r w:rsidRPr="00805897">
        <w:rPr>
          <w:rFonts w:eastAsia="Jacobs Chronos"/>
        </w:rPr>
        <w:t xml:space="preserve"> (30)</w:t>
      </w:r>
    </w:p>
    <w:p w14:paraId="57BABF30" w14:textId="2626C0CD" w:rsidR="001C3C99" w:rsidRPr="00805897" w:rsidRDefault="001C3C99" w:rsidP="00D56DE8">
      <w:pPr>
        <w:pStyle w:val="STPR2BulletsLevel1"/>
        <w:rPr>
          <w:rFonts w:eastAsia="Jacobs Chronos"/>
        </w:rPr>
      </w:pPr>
      <w:r w:rsidRPr="00805897">
        <w:rPr>
          <w:rFonts w:eastAsia="Jacobs Chronos"/>
        </w:rPr>
        <w:t>Trunk road and motorway climate change adap</w:t>
      </w:r>
      <w:r w:rsidR="00994BBC">
        <w:rPr>
          <w:rFonts w:eastAsia="Jacobs Chronos"/>
        </w:rPr>
        <w:t>ta</w:t>
      </w:r>
      <w:r w:rsidRPr="00805897">
        <w:rPr>
          <w:rFonts w:eastAsia="Jacobs Chronos"/>
        </w:rPr>
        <w:t>tion and resilience (31)</w:t>
      </w:r>
    </w:p>
    <w:p w14:paraId="32456FED" w14:textId="77777777" w:rsidR="001C3C99" w:rsidRPr="00805897" w:rsidRDefault="001C3C99" w:rsidP="00D56DE8">
      <w:pPr>
        <w:pStyle w:val="STPR2BulletsLevel1"/>
        <w:rPr>
          <w:rFonts w:eastAsia="Jacobs Chronos"/>
        </w:rPr>
      </w:pPr>
      <w:r w:rsidRPr="00805897">
        <w:rPr>
          <w:rFonts w:eastAsia="Jacobs Chronos"/>
        </w:rPr>
        <w:t>Trunk road and motorway renewal for reliability, resilience and safety (32)</w:t>
      </w:r>
    </w:p>
    <w:p w14:paraId="200B8C31" w14:textId="77777777" w:rsidR="001D6284" w:rsidRPr="001D6284" w:rsidRDefault="001D6284" w:rsidP="00D56DE8">
      <w:pPr>
        <w:pStyle w:val="STPR2BulletsLevel1"/>
        <w:rPr>
          <w:rFonts w:eastAsia="Jacobs Chronos"/>
        </w:rPr>
      </w:pPr>
      <w:r w:rsidRPr="001D6284">
        <w:rPr>
          <w:rFonts w:eastAsia="Jacobs Chronos"/>
        </w:rPr>
        <w:t xml:space="preserve">Future Intelligent Transport Systems (33) </w:t>
      </w:r>
    </w:p>
    <w:p w14:paraId="760DF9C8" w14:textId="77777777" w:rsidR="001D6284" w:rsidRPr="001D6284" w:rsidRDefault="001D6284" w:rsidP="00D56DE8">
      <w:pPr>
        <w:pStyle w:val="STPR2BulletsLevel1"/>
        <w:rPr>
          <w:rFonts w:eastAsia="Jacobs Chronos"/>
        </w:rPr>
      </w:pPr>
      <w:r w:rsidRPr="001D6284">
        <w:rPr>
          <w:rFonts w:eastAsia="Jacobs Chronos"/>
        </w:rPr>
        <w:t>Traffic Scotland System Renewal (34)</w:t>
      </w:r>
    </w:p>
    <w:p w14:paraId="521BB8A1" w14:textId="77777777" w:rsidR="00056FA0" w:rsidRDefault="001D6284" w:rsidP="00D56DE8">
      <w:pPr>
        <w:pStyle w:val="STPR2BulletsLevel1"/>
        <w:rPr>
          <w:rFonts w:eastAsia="Jacobs Chronos"/>
        </w:rPr>
      </w:pPr>
      <w:r w:rsidRPr="001D6284">
        <w:rPr>
          <w:rFonts w:eastAsia="Jacobs Chronos"/>
        </w:rPr>
        <w:t>Intelligent Transport System renewal and replacement (35)</w:t>
      </w:r>
    </w:p>
    <w:p w14:paraId="34C8A737" w14:textId="1B100EFD" w:rsidR="001C3C99" w:rsidRPr="00805897" w:rsidRDefault="001C3C99" w:rsidP="00D56DE8">
      <w:pPr>
        <w:pStyle w:val="STPR2BulletsLevel1"/>
        <w:rPr>
          <w:rFonts w:eastAsia="Jacobs Chronos"/>
        </w:rPr>
      </w:pPr>
      <w:r w:rsidRPr="00805897">
        <w:rPr>
          <w:rFonts w:eastAsia="Jacobs Chronos"/>
        </w:rPr>
        <w:t>Strategy for improving rest and welfare facilities for hauliers (36)</w:t>
      </w:r>
    </w:p>
    <w:p w14:paraId="10C3BF73" w14:textId="77777777" w:rsidR="001C3C99" w:rsidRPr="00805897" w:rsidRDefault="001C3C99" w:rsidP="00D56DE8">
      <w:pPr>
        <w:pStyle w:val="STPR2BulletsLevel1"/>
        <w:rPr>
          <w:rFonts w:eastAsia="Jacobs Chronos"/>
        </w:rPr>
      </w:pPr>
      <w:r w:rsidRPr="00805897">
        <w:rPr>
          <w:rFonts w:eastAsia="Jacobs Chronos"/>
        </w:rPr>
        <w:t>Improving active travel on trunk roads through communities (37)</w:t>
      </w:r>
    </w:p>
    <w:p w14:paraId="409469C8" w14:textId="77777777" w:rsidR="001C3C99" w:rsidRPr="00805897" w:rsidRDefault="001C3C99" w:rsidP="00D56DE8">
      <w:pPr>
        <w:pStyle w:val="STPR2BulletsLevel1"/>
        <w:rPr>
          <w:rFonts w:eastAsia="Jacobs Chronos"/>
        </w:rPr>
      </w:pPr>
      <w:r w:rsidRPr="00805897">
        <w:rPr>
          <w:rFonts w:eastAsia="Jacobs Chronos"/>
        </w:rPr>
        <w:t xml:space="preserve">Speed management plan (38) </w:t>
      </w:r>
    </w:p>
    <w:p w14:paraId="21196671" w14:textId="75F1DCB8" w:rsidR="00D7101E" w:rsidRPr="00D7101E" w:rsidRDefault="00D7101E" w:rsidP="006234C6">
      <w:pPr>
        <w:pStyle w:val="Heading4"/>
        <w:rPr>
          <w:shd w:val="clear" w:color="auto" w:fill="FFFFFF"/>
        </w:rPr>
      </w:pPr>
      <w:r w:rsidRPr="00D7101E">
        <w:rPr>
          <w:shd w:val="clear" w:color="auto" w:fill="FFFFFF"/>
        </w:rPr>
        <w:lastRenderedPageBreak/>
        <w:t xml:space="preserve">Potential </w:t>
      </w:r>
      <w:r w:rsidR="009C2DEB">
        <w:rPr>
          <w:shd w:val="clear" w:color="auto" w:fill="FFFFFF"/>
        </w:rPr>
        <w:t>i</w:t>
      </w:r>
      <w:r w:rsidRPr="00D7101E">
        <w:rPr>
          <w:shd w:val="clear" w:color="auto" w:fill="FFFFFF"/>
        </w:rPr>
        <w:t xml:space="preserve">mpacts on </w:t>
      </w:r>
      <w:r>
        <w:rPr>
          <w:shd w:val="clear" w:color="auto" w:fill="FFFFFF"/>
        </w:rPr>
        <w:t>island communities</w:t>
      </w:r>
      <w:r w:rsidRPr="00D7101E">
        <w:rPr>
          <w:shd w:val="clear" w:color="auto" w:fill="FFFFFF"/>
        </w:rPr>
        <w:t>:</w:t>
      </w:r>
    </w:p>
    <w:p w14:paraId="6FEE20A7" w14:textId="406875F8" w:rsidR="000D119A" w:rsidRPr="00B21BD2" w:rsidRDefault="000D119A" w:rsidP="00D56DE8">
      <w:pPr>
        <w:pStyle w:val="STPR2BulletsLevel1"/>
      </w:pPr>
      <w:r w:rsidRPr="00B21BD2">
        <w:t xml:space="preserve">Measures to increase safety and resilience on the strategic road network </w:t>
      </w:r>
      <w:r w:rsidR="004320A3" w:rsidRPr="00B21BD2">
        <w:t xml:space="preserve">will not directly </w:t>
      </w:r>
      <w:r w:rsidR="005303F9">
        <w:t xml:space="preserve">impact </w:t>
      </w:r>
      <w:r w:rsidR="004320A3" w:rsidRPr="00B21BD2">
        <w:t>island communities.</w:t>
      </w:r>
    </w:p>
    <w:p w14:paraId="1D67AC58" w14:textId="5AAD784D" w:rsidR="000D119A" w:rsidRDefault="000D119A" w:rsidP="00D56DE8">
      <w:pPr>
        <w:pStyle w:val="STPR2BulletsLevel1"/>
      </w:pPr>
      <w:r>
        <w:t>Increased safety</w:t>
      </w:r>
      <w:r w:rsidR="008D3301">
        <w:t>,</w:t>
      </w:r>
      <w:r>
        <w:t xml:space="preserve"> reliability</w:t>
      </w:r>
      <w:r w:rsidR="008D3301">
        <w:t xml:space="preserve"> and resilience</w:t>
      </w:r>
      <w:r>
        <w:t xml:space="preserve"> of the trunk road network could </w:t>
      </w:r>
      <w:r w:rsidR="00955992" w:rsidRPr="00955992">
        <w:t>provide access to and from the ferry connections on both the mainland and islands. The network also provides access to airports which operate lifeline services between the mainland and Scottish islands</w:t>
      </w:r>
      <w:r w:rsidR="00DF1FC1">
        <w:t>.</w:t>
      </w:r>
    </w:p>
    <w:p w14:paraId="522194C2" w14:textId="0D5A3717" w:rsidR="000D119A" w:rsidRDefault="000D119A" w:rsidP="00D56DE8">
      <w:pPr>
        <w:pStyle w:val="STPR2BulletsLevel1"/>
      </w:pPr>
      <w:r>
        <w:t xml:space="preserve">The improvement of welfare facilities for hauliers will be developed under an evidenced action plan for freight stops to be planned, managed, and delivered in the future. </w:t>
      </w:r>
      <w:r w:rsidR="00336E9A" w:rsidRPr="00336E9A">
        <w:t>Although there is no direct benefit of the freight stop audit to the islands, the study will provide an evidence base for the planning, management and delivery of freight stop facilities in the future. Adequate provision of quality freight stops could protect freight routes to the islands and ensure access to goods.</w:t>
      </w:r>
    </w:p>
    <w:p w14:paraId="2DF13761" w14:textId="2B8D01E6" w:rsidR="006B75C0" w:rsidRPr="001D191F" w:rsidRDefault="006B75C0" w:rsidP="00190E0D">
      <w:pPr>
        <w:pStyle w:val="Heading2"/>
        <w:keepNext/>
        <w:keepLines/>
      </w:pPr>
      <w:bookmarkStart w:id="2220" w:name="_Toc92809464"/>
      <w:bookmarkStart w:id="2221" w:name="_Toc121213957"/>
      <w:r w:rsidRPr="001D191F">
        <w:t>Strengthening Strategic Connections</w:t>
      </w:r>
      <w:bookmarkEnd w:id="2220"/>
      <w:bookmarkEnd w:id="2221"/>
    </w:p>
    <w:p w14:paraId="19E662F3" w14:textId="77777777" w:rsidR="000D119A" w:rsidRPr="00805897" w:rsidRDefault="000D119A" w:rsidP="00D56DE8">
      <w:pPr>
        <w:pStyle w:val="STPR2BodyText"/>
        <w:rPr>
          <w:rFonts w:eastAsia="Jacobs Chronos"/>
        </w:rPr>
      </w:pPr>
      <w:r w:rsidRPr="00805897">
        <w:rPr>
          <w:rFonts w:eastAsia="Jacobs Chronos"/>
        </w:rPr>
        <w:t>Recommendations include:</w:t>
      </w:r>
    </w:p>
    <w:p w14:paraId="366ECE88" w14:textId="77777777" w:rsidR="006B75C0" w:rsidRPr="00805897" w:rsidRDefault="006B75C0" w:rsidP="00D56DE8">
      <w:pPr>
        <w:pStyle w:val="STPR2BulletsLevel1"/>
        <w:rPr>
          <w:rFonts w:eastAsia="Jacobs Chronos"/>
        </w:rPr>
      </w:pPr>
      <w:r w:rsidRPr="00805897">
        <w:rPr>
          <w:rFonts w:eastAsia="Jacobs Chronos"/>
        </w:rPr>
        <w:t>Sustainable access to Grangemouth Investment Zone (39)</w:t>
      </w:r>
    </w:p>
    <w:p w14:paraId="53F61178" w14:textId="1854F8A6" w:rsidR="006B75C0" w:rsidRPr="00805897" w:rsidRDefault="006B75C0" w:rsidP="00D56DE8">
      <w:pPr>
        <w:pStyle w:val="STPR2BulletsLevel1"/>
        <w:rPr>
          <w:rFonts w:eastAsia="Jacobs Chronos"/>
        </w:rPr>
      </w:pPr>
      <w:r w:rsidRPr="00805897">
        <w:rPr>
          <w:rFonts w:eastAsia="Jacobs Chronos"/>
        </w:rPr>
        <w:t xml:space="preserve">Access to Stranraer and </w:t>
      </w:r>
      <w:r w:rsidR="00DB0F97">
        <w:rPr>
          <w:rFonts w:eastAsia="Jacobs Chronos"/>
        </w:rPr>
        <w:t>the</w:t>
      </w:r>
      <w:r w:rsidRPr="00805897">
        <w:rPr>
          <w:rFonts w:eastAsia="Jacobs Chronos"/>
        </w:rPr>
        <w:t xml:space="preserve"> ports at Cairnryan (40)</w:t>
      </w:r>
    </w:p>
    <w:p w14:paraId="22090F2C" w14:textId="0C6F8B1E" w:rsidR="006B75C0" w:rsidRPr="00805897" w:rsidRDefault="006B75C0" w:rsidP="00D56DE8">
      <w:pPr>
        <w:pStyle w:val="STPR2BulletsLevel1"/>
        <w:rPr>
          <w:rFonts w:eastAsia="Jacobs Chronos"/>
        </w:rPr>
      </w:pPr>
      <w:r w:rsidRPr="00805897">
        <w:rPr>
          <w:rFonts w:eastAsia="Jacobs Chronos"/>
        </w:rPr>
        <w:t xml:space="preserve">Potential </w:t>
      </w:r>
      <w:r w:rsidR="00B102CA" w:rsidRPr="00B102CA">
        <w:rPr>
          <w:rFonts w:eastAsia="Jacobs Chronos"/>
        </w:rPr>
        <w:t>Sounds of Harris, Sound of Barra fixed link</w:t>
      </w:r>
      <w:r w:rsidR="00733573">
        <w:rPr>
          <w:rFonts w:eastAsia="Jacobs Chronos"/>
        </w:rPr>
        <w:t>s</w:t>
      </w:r>
      <w:r w:rsidR="00B102CA" w:rsidRPr="00B102CA">
        <w:rPr>
          <w:rFonts w:eastAsia="Jacobs Chronos"/>
        </w:rPr>
        <w:t xml:space="preserve"> and fixed link between Mull and Scottish mainland</w:t>
      </w:r>
      <w:r w:rsidR="00B102CA" w:rsidRPr="00B102CA" w:rsidDel="00B102CA">
        <w:rPr>
          <w:rFonts w:eastAsia="Jacobs Chronos"/>
        </w:rPr>
        <w:t xml:space="preserve"> </w:t>
      </w:r>
      <w:r w:rsidRPr="00805897">
        <w:rPr>
          <w:rFonts w:eastAsia="Jacobs Chronos"/>
        </w:rPr>
        <w:t>(41)</w:t>
      </w:r>
    </w:p>
    <w:p w14:paraId="5097D803" w14:textId="7F5D5121" w:rsidR="006B75C0" w:rsidRPr="00805897" w:rsidRDefault="006B75C0" w:rsidP="00D56DE8">
      <w:pPr>
        <w:pStyle w:val="STPR2BulletsLevel1"/>
        <w:rPr>
          <w:rFonts w:eastAsia="Jacobs Chronos"/>
        </w:rPr>
      </w:pPr>
      <w:r w:rsidRPr="00805897">
        <w:rPr>
          <w:rFonts w:eastAsia="Jacobs Chronos"/>
        </w:rPr>
        <w:t>Investment in port infrastructure</w:t>
      </w:r>
      <w:r w:rsidR="00151D49">
        <w:rPr>
          <w:rFonts w:eastAsia="Jacobs Chronos"/>
        </w:rPr>
        <w:t xml:space="preserve"> </w:t>
      </w:r>
      <w:r w:rsidR="00151D49" w:rsidRPr="00151D49">
        <w:rPr>
          <w:rFonts w:eastAsia="Jacobs Chronos"/>
        </w:rPr>
        <w:t>to support vessel renewal and replacement, and progressive decarbonisatio</w:t>
      </w:r>
      <w:r w:rsidR="00151D49">
        <w:rPr>
          <w:rFonts w:eastAsia="Jacobs Chronos"/>
        </w:rPr>
        <w:t>n</w:t>
      </w:r>
      <w:r w:rsidRPr="00805897">
        <w:rPr>
          <w:rFonts w:eastAsia="Jacobs Chronos"/>
        </w:rPr>
        <w:t xml:space="preserve"> (42)</w:t>
      </w:r>
    </w:p>
    <w:p w14:paraId="6C46BA70" w14:textId="77777777" w:rsidR="006B75C0" w:rsidRPr="00805897" w:rsidRDefault="006B75C0" w:rsidP="00D56DE8">
      <w:pPr>
        <w:pStyle w:val="STPR2BulletsLevel1"/>
        <w:rPr>
          <w:rFonts w:eastAsia="Jacobs Chronos"/>
        </w:rPr>
      </w:pPr>
      <w:r w:rsidRPr="00805897">
        <w:rPr>
          <w:rFonts w:eastAsia="Jacobs Chronos"/>
        </w:rPr>
        <w:t>Major station masterplans (43)</w:t>
      </w:r>
    </w:p>
    <w:p w14:paraId="706B423C" w14:textId="77777777" w:rsidR="006B75C0" w:rsidRPr="00805897" w:rsidRDefault="006B75C0" w:rsidP="00D56DE8">
      <w:pPr>
        <w:pStyle w:val="STPR2BulletsLevel1"/>
        <w:rPr>
          <w:rFonts w:eastAsia="Jacobs Chronos"/>
        </w:rPr>
      </w:pPr>
      <w:r w:rsidRPr="00805897">
        <w:rPr>
          <w:rFonts w:eastAsia="Jacobs Chronos"/>
        </w:rPr>
        <w:t>Rail freight terminals and facilities (44)</w:t>
      </w:r>
    </w:p>
    <w:p w14:paraId="5DD8F932" w14:textId="7CD44A8D" w:rsidR="006B75C0" w:rsidRPr="00805897" w:rsidRDefault="006B75C0" w:rsidP="00D56DE8">
      <w:pPr>
        <w:pStyle w:val="STPR2BulletsLevel1"/>
        <w:rPr>
          <w:rFonts w:eastAsia="Jacobs Chronos"/>
        </w:rPr>
      </w:pPr>
      <w:r w:rsidRPr="00805897">
        <w:rPr>
          <w:rFonts w:eastAsia="Jacobs Chronos"/>
        </w:rPr>
        <w:t>High speed and cross</w:t>
      </w:r>
      <w:r w:rsidR="00151D49">
        <w:rPr>
          <w:rFonts w:eastAsia="Jacobs Chronos"/>
        </w:rPr>
        <w:t>-</w:t>
      </w:r>
      <w:r w:rsidRPr="00805897">
        <w:rPr>
          <w:rFonts w:eastAsia="Jacobs Chronos"/>
        </w:rPr>
        <w:t>border rail enhancements (45)</w:t>
      </w:r>
    </w:p>
    <w:p w14:paraId="249D1C43" w14:textId="4BED0CBF" w:rsidR="00D7101E" w:rsidRPr="00D7101E" w:rsidRDefault="00D7101E" w:rsidP="006234C6">
      <w:pPr>
        <w:pStyle w:val="Heading4"/>
        <w:rPr>
          <w:shd w:val="clear" w:color="auto" w:fill="FFFFFF"/>
        </w:rPr>
      </w:pPr>
      <w:r w:rsidRPr="00D7101E">
        <w:rPr>
          <w:shd w:val="clear" w:color="auto" w:fill="FFFFFF"/>
        </w:rPr>
        <w:t xml:space="preserve">Potential </w:t>
      </w:r>
      <w:r w:rsidR="009C2DEB">
        <w:rPr>
          <w:shd w:val="clear" w:color="auto" w:fill="FFFFFF"/>
        </w:rPr>
        <w:t>i</w:t>
      </w:r>
      <w:r w:rsidRPr="00D7101E">
        <w:rPr>
          <w:shd w:val="clear" w:color="auto" w:fill="FFFFFF"/>
        </w:rPr>
        <w:t xml:space="preserve">mpacts on </w:t>
      </w:r>
      <w:r>
        <w:rPr>
          <w:shd w:val="clear" w:color="auto" w:fill="FFFFFF"/>
        </w:rPr>
        <w:t>island communities</w:t>
      </w:r>
      <w:r w:rsidRPr="00D7101E">
        <w:rPr>
          <w:shd w:val="clear" w:color="auto" w:fill="FFFFFF"/>
        </w:rPr>
        <w:t>:</w:t>
      </w:r>
    </w:p>
    <w:p w14:paraId="615F91F7" w14:textId="3B76EBA1" w:rsidR="000D119A" w:rsidRPr="00EE2E8C" w:rsidRDefault="000D119A" w:rsidP="00D56DE8">
      <w:pPr>
        <w:pStyle w:val="STPR2BulletsLevel1"/>
        <w:rPr>
          <w:rFonts w:eastAsia="Jacobs Chronos"/>
        </w:rPr>
      </w:pPr>
      <w:r w:rsidRPr="00EE2E8C">
        <w:rPr>
          <w:rFonts w:eastAsia="Jacobs Chronos"/>
        </w:rPr>
        <w:t>Realignment / widening, overtaking opportunities and dualling could improve access to employment, educational, health, and open space and leisure facilities, particularly where trunk roads are located in rural areas</w:t>
      </w:r>
      <w:r w:rsidR="00CD6975">
        <w:rPr>
          <w:rFonts w:eastAsia="Jacobs Chronos"/>
        </w:rPr>
        <w:t xml:space="preserve"> connecting to ferry terminals.</w:t>
      </w:r>
      <w:r w:rsidRPr="00EE2E8C">
        <w:rPr>
          <w:rFonts w:eastAsia="Jacobs Chronos"/>
        </w:rPr>
        <w:t xml:space="preserve"> However, this is likely to result in a negligible impact for </w:t>
      </w:r>
      <w:r w:rsidR="000A338F">
        <w:rPr>
          <w:rFonts w:eastAsia="Jacobs Chronos"/>
        </w:rPr>
        <w:t>island communities</w:t>
      </w:r>
      <w:r w:rsidRPr="00EE2E8C">
        <w:rPr>
          <w:rFonts w:eastAsia="Jacobs Chronos"/>
        </w:rPr>
        <w:t xml:space="preserve"> overall. Furthermore, these options could also potentially result in indirect adverse health outcomes for some protected groups as a result of worsened air quality due to an increase in motorised vehicles, for example</w:t>
      </w:r>
      <w:r w:rsidR="00170996">
        <w:rPr>
          <w:rFonts w:eastAsia="Jacobs Chronos"/>
        </w:rPr>
        <w:t>,</w:t>
      </w:r>
      <w:r w:rsidRPr="00EE2E8C">
        <w:rPr>
          <w:rFonts w:eastAsia="Jacobs Chronos"/>
        </w:rPr>
        <w:t xml:space="preserve"> children, older people, pregnant people, and disabled people are more vulnerable to the adverse health effects of traffic pollution. Again, detailed assessment work at the local level would be required to identify any specific impacts on groups with protected characteristics.</w:t>
      </w:r>
    </w:p>
    <w:p w14:paraId="1E4743ED" w14:textId="67BCA2F4" w:rsidR="00961EAA" w:rsidRDefault="000D119A" w:rsidP="00D56DE8">
      <w:pPr>
        <w:pStyle w:val="STPR2BulletsLevel1"/>
        <w:rPr>
          <w:rFonts w:eastAsia="Jacobs Chronos"/>
        </w:rPr>
      </w:pPr>
      <w:r w:rsidRPr="662EF6DA">
        <w:rPr>
          <w:rFonts w:eastAsia="Jacobs Chronos"/>
        </w:rPr>
        <w:t xml:space="preserve">The implementation of fixed links between islands and the mainland will increase connectivity and access to services as well as potentially supporting job growth on the islands. </w:t>
      </w:r>
      <w:r w:rsidR="2C0B2E88" w:rsidRPr="662EF6DA">
        <w:rPr>
          <w:rFonts w:eastAsia="Jacobs Chronos"/>
        </w:rPr>
        <w:t xml:space="preserve">This would have </w:t>
      </w:r>
      <w:r w:rsidR="00F04DF8" w:rsidRPr="662EF6DA">
        <w:rPr>
          <w:rFonts w:eastAsia="Jacobs Chronos"/>
        </w:rPr>
        <w:t>a significant positive impact in both Low and High scenarios by improving connectivity and accessibility and reducing reliance on the CHFS</w:t>
      </w:r>
      <w:r w:rsidR="000E2FA8">
        <w:rPr>
          <w:rFonts w:eastAsia="Jacobs Chronos"/>
        </w:rPr>
        <w:t> </w:t>
      </w:r>
      <w:r w:rsidR="00F04DF8" w:rsidRPr="662EF6DA">
        <w:rPr>
          <w:rFonts w:eastAsia="Jacobs Chronos"/>
        </w:rPr>
        <w:t>network.</w:t>
      </w:r>
    </w:p>
    <w:p w14:paraId="2F059338" w14:textId="600ECF01" w:rsidR="00961EAA" w:rsidRDefault="00587CD7" w:rsidP="00D56DE8">
      <w:pPr>
        <w:pStyle w:val="STPR2BulletsLevel1"/>
        <w:rPr>
          <w:rFonts w:eastAsia="Jacobs Chronos"/>
        </w:rPr>
      </w:pPr>
      <w:r>
        <w:t>I</w:t>
      </w:r>
      <w:r w:rsidR="00961EAA">
        <w:t>sland communities may experience reduced access to goods and services, and higher living and fuel costs, which can impact on the budgets of low-income households. STPR2 will potentially reduce inequalities of outcome by investing in ferries and ports</w:t>
      </w:r>
      <w:r w:rsidR="00F30A37">
        <w:t>,</w:t>
      </w:r>
      <w:r w:rsidR="00961EAA">
        <w:t xml:space="preserve"> therefore enhancing passenger and freight connectivity and ensuring the supply of essential goods to deprived communities in remote areas. </w:t>
      </w:r>
      <w:r w:rsidR="00961EAA" w:rsidRPr="00AA5E7F">
        <w:rPr>
          <w:rFonts w:eastAsia="Jacobs Chronos"/>
        </w:rPr>
        <w:t xml:space="preserve">The implementation of fixed </w:t>
      </w:r>
      <w:r w:rsidR="00961EAA" w:rsidRPr="00AA5E7F">
        <w:rPr>
          <w:rFonts w:eastAsia="Jacobs Chronos"/>
        </w:rPr>
        <w:lastRenderedPageBreak/>
        <w:t>links between islands and the mainland will increase connectivity and access to services as well as potentially supporting job growth on the islands. This enables residents of island communities to have more equitable and fairer access to opportunities and facilities and as such</w:t>
      </w:r>
      <w:r w:rsidR="00BD6689">
        <w:rPr>
          <w:rFonts w:eastAsia="Jacobs Chronos"/>
        </w:rPr>
        <w:t>,</w:t>
      </w:r>
      <w:r w:rsidR="00961EAA" w:rsidRPr="00AA5E7F">
        <w:rPr>
          <w:rFonts w:eastAsia="Jacobs Chronos"/>
        </w:rPr>
        <w:t xml:space="preserve"> reduce the socio-economic disadvantages that are a consequence of living on islands (and remote communities, in the case of Ardnamurchan/Morvern) compared to the Scottish mainland, or in urban areas for example. The reconfiguration of ferry services following the installation of Fixed Links may also support other island communities who will not benefit directly from Fixed Links but from increased or improved ferry connectivity.</w:t>
      </w:r>
    </w:p>
    <w:p w14:paraId="5F840ABF" w14:textId="33284E7A" w:rsidR="009A52D5" w:rsidRDefault="009A52D5" w:rsidP="00D56DE8">
      <w:pPr>
        <w:pStyle w:val="STPR2BulletsLevel1"/>
        <w:rPr>
          <w:rFonts w:eastAsia="Jacobs Chronos"/>
        </w:rPr>
      </w:pPr>
      <w:r w:rsidRPr="078A5CA9">
        <w:rPr>
          <w:rFonts w:eastAsia="Jacobs Chronos"/>
        </w:rPr>
        <w:t xml:space="preserve">New harbour infrastructure is likely to have a minor positive impact on island communities. Residents of island communities would benefit from improved connectivity and the </w:t>
      </w:r>
      <w:r w:rsidR="000605C1">
        <w:rPr>
          <w:rFonts w:eastAsia="Jacobs Chronos"/>
        </w:rPr>
        <w:t>recommendation</w:t>
      </w:r>
      <w:r w:rsidRPr="078A5CA9">
        <w:rPr>
          <w:rFonts w:eastAsia="Jacobs Chronos"/>
        </w:rPr>
        <w:t xml:space="preserve"> would improve access to key services such as health facilities, which would benefit older people, disabled people, women (including pregnancy and maternity) and children. Increased capacity and enhancements for freight would improve the transportation of goods to the island</w:t>
      </w:r>
      <w:r w:rsidR="005C43C4">
        <w:rPr>
          <w:rFonts w:eastAsia="Jacobs Chronos"/>
        </w:rPr>
        <w:t>,</w:t>
      </w:r>
      <w:r w:rsidRPr="078A5CA9">
        <w:rPr>
          <w:rFonts w:eastAsia="Jacobs Chronos"/>
        </w:rPr>
        <w:t xml:space="preserve"> which is of particular benefit to those who have more barriers to travel</w:t>
      </w:r>
      <w:r w:rsidR="000B1DAD">
        <w:rPr>
          <w:rFonts w:eastAsia="Jacobs Chronos"/>
        </w:rPr>
        <w:t>,</w:t>
      </w:r>
      <w:r w:rsidRPr="078A5CA9">
        <w:rPr>
          <w:rFonts w:eastAsia="Jacobs Chronos"/>
        </w:rPr>
        <w:t xml:space="preserve"> such as affordability or mobility restrictions</w:t>
      </w:r>
      <w:r w:rsidR="00325887">
        <w:rPr>
          <w:rFonts w:eastAsia="Jacobs Chronos"/>
        </w:rPr>
        <w:t>,</w:t>
      </w:r>
      <w:r w:rsidRPr="078A5CA9">
        <w:rPr>
          <w:rFonts w:eastAsia="Jacobs Chronos"/>
        </w:rPr>
        <w:t xml:space="preserve"> such as older people and disabled people.</w:t>
      </w:r>
    </w:p>
    <w:p w14:paraId="6C12BEC9" w14:textId="77777777" w:rsidR="0098038B" w:rsidRDefault="0098038B">
      <w:pPr>
        <w:rPr>
          <w:rFonts w:ascii="Arial" w:eastAsia="Times New Roman" w:hAnsi="Arial" w:cs="Arial"/>
          <w:color w:val="000000"/>
          <w:sz w:val="24"/>
          <w:shd w:val="clear" w:color="auto" w:fill="FFFFFF"/>
        </w:rPr>
      </w:pPr>
      <w:r>
        <w:br w:type="page"/>
      </w:r>
    </w:p>
    <w:p w14:paraId="588490A5" w14:textId="6EA6245E" w:rsidR="00B904F5" w:rsidRDefault="008937B8" w:rsidP="00B904F5">
      <w:pPr>
        <w:pStyle w:val="Heading1"/>
      </w:pPr>
      <w:bookmarkStart w:id="2222" w:name="_Toc121213958"/>
      <w:r>
        <w:lastRenderedPageBreak/>
        <w:t>Next Steps</w:t>
      </w:r>
      <w:bookmarkEnd w:id="2222"/>
    </w:p>
    <w:p w14:paraId="014E7B80" w14:textId="347CDF7F" w:rsidR="00962ECE" w:rsidRDefault="00962ECE">
      <w:pPr>
        <w:pStyle w:val="Heading2"/>
      </w:pPr>
      <w:bookmarkStart w:id="2223" w:name="_Toc93062503"/>
      <w:bookmarkStart w:id="2224" w:name="_Toc121213959"/>
      <w:r w:rsidRPr="00B374F8">
        <w:t>Recommendations</w:t>
      </w:r>
      <w:bookmarkEnd w:id="2223"/>
      <w:bookmarkEnd w:id="2224"/>
    </w:p>
    <w:p w14:paraId="55282E3C" w14:textId="0CA586CB" w:rsidR="003A303E" w:rsidRDefault="003A303E" w:rsidP="00D56DE8">
      <w:pPr>
        <w:pStyle w:val="STPR2BodyText"/>
      </w:pPr>
      <w:r>
        <w:t xml:space="preserve">This report sets out the approach undertaken to the assessment of </w:t>
      </w:r>
      <w:r w:rsidR="004924D8">
        <w:t>impacts on island communities</w:t>
      </w:r>
      <w:r>
        <w:t xml:space="preserve"> and demonstrates Transport Scotland’s </w:t>
      </w:r>
      <w:r w:rsidR="004924D8">
        <w:t>compliance with the</w:t>
      </w:r>
      <w:r>
        <w:t xml:space="preserve"> </w:t>
      </w:r>
      <w:r w:rsidR="004924D8">
        <w:t>Islands</w:t>
      </w:r>
      <w:r w:rsidR="00C86532">
        <w:t xml:space="preserve"> (Scotland)</w:t>
      </w:r>
      <w:r w:rsidR="004924D8">
        <w:t xml:space="preserve"> Act </w:t>
      </w:r>
      <w:r w:rsidR="00C86532">
        <w:t>2018.</w:t>
      </w:r>
      <w:r>
        <w:t xml:space="preserve"> It identifies the potential impacts associated with the STPR2 recommendations</w:t>
      </w:r>
      <w:r w:rsidR="00C86532">
        <w:t xml:space="preserve"> on island communities</w:t>
      </w:r>
      <w:r>
        <w:t xml:space="preserve">. </w:t>
      </w:r>
    </w:p>
    <w:p w14:paraId="01828925" w14:textId="48D5C7EE" w:rsidR="003A303E" w:rsidRDefault="003A303E" w:rsidP="00D56DE8">
      <w:pPr>
        <w:pStyle w:val="STPR2BodyText"/>
      </w:pPr>
      <w:r w:rsidRPr="00156EC4">
        <w:t xml:space="preserve">The feedback received in relation to the Draft </w:t>
      </w:r>
      <w:r w:rsidR="00C86532" w:rsidRPr="00156EC4">
        <w:t>IC</w:t>
      </w:r>
      <w:r w:rsidRPr="00156EC4">
        <w:t xml:space="preserve">IA Report (Jacobs </w:t>
      </w:r>
      <w:r w:rsidR="001F3C94" w:rsidRPr="00156EC4">
        <w:t>AECOM</w:t>
      </w:r>
      <w:r w:rsidRPr="00156EC4">
        <w:t xml:space="preserve"> 2022b) and the STPR2 Draft Technical Report (Jacobs </w:t>
      </w:r>
      <w:r w:rsidR="00E96FA0" w:rsidRPr="00156EC4">
        <w:t>AECOM</w:t>
      </w:r>
      <w:r w:rsidRPr="00156EC4">
        <w:t xml:space="preserve"> 2022a) consultation has been reviewed and used to inform </w:t>
      </w:r>
      <w:r w:rsidR="00513DA8" w:rsidRPr="00190E0D">
        <w:t>the Final STPR</w:t>
      </w:r>
      <w:r w:rsidR="0094659B">
        <w:t>2</w:t>
      </w:r>
      <w:r w:rsidR="00156EC4" w:rsidRPr="00190E0D">
        <w:t xml:space="preserve"> Summary and Technical reports</w:t>
      </w:r>
      <w:r w:rsidRPr="00156EC4">
        <w:t>.</w:t>
      </w:r>
      <w:r>
        <w:t xml:space="preserve"> </w:t>
      </w:r>
    </w:p>
    <w:p w14:paraId="6C82551A" w14:textId="0489304B" w:rsidR="00962ECE" w:rsidRDefault="00962ECE" w:rsidP="00D56DE8">
      <w:pPr>
        <w:pStyle w:val="STPR2BodyText"/>
      </w:pPr>
      <w:r w:rsidRPr="00F35735">
        <w:t xml:space="preserve">Detailed </w:t>
      </w:r>
      <w:r>
        <w:t>ICIAs</w:t>
      </w:r>
      <w:r w:rsidRPr="00F35735">
        <w:t xml:space="preserve"> of individual interventions should be undertaken at detailed design stages</w:t>
      </w:r>
      <w:r>
        <w:t xml:space="preserve"> where appropriate</w:t>
      </w:r>
      <w:r w:rsidRPr="00F35735">
        <w:t xml:space="preserve">. The </w:t>
      </w:r>
      <w:r>
        <w:t>ICIA</w:t>
      </w:r>
      <w:r w:rsidRPr="00F35735">
        <w:t xml:space="preserve"> process should start at early stages to ensure contribution </w:t>
      </w:r>
      <w:r w:rsidR="00ED18F4">
        <w:t xml:space="preserve">of </w:t>
      </w:r>
      <w:r w:rsidRPr="00F35735">
        <w:t xml:space="preserve">proposed interventions maximises </w:t>
      </w:r>
      <w:r>
        <w:t>positive impacts for island communities and minimises any disadvantage</w:t>
      </w:r>
      <w:r w:rsidR="000016C0">
        <w:t>s</w:t>
      </w:r>
      <w:r>
        <w:t>.</w:t>
      </w:r>
      <w:r w:rsidR="00EA629D">
        <w:t xml:space="preserve"> </w:t>
      </w:r>
      <w:r>
        <w:t>W</w:t>
      </w:r>
      <w:r w:rsidRPr="00F35735">
        <w:t>here possible</w:t>
      </w:r>
      <w:r>
        <w:t xml:space="preserve">, this should include </w:t>
      </w:r>
      <w:r w:rsidRPr="00F35735">
        <w:t xml:space="preserve">appropriate engagement with </w:t>
      </w:r>
      <w:r>
        <w:t>islands</w:t>
      </w:r>
      <w:r w:rsidRPr="00F35735">
        <w:t xml:space="preserve"> to understand specific requirements.</w:t>
      </w:r>
    </w:p>
    <w:p w14:paraId="57E6D16B" w14:textId="1E0E6273" w:rsidR="00962ECE" w:rsidRDefault="00962ECE" w:rsidP="00D56DE8">
      <w:pPr>
        <w:pStyle w:val="STPR2BodyText"/>
      </w:pPr>
      <w:r w:rsidRPr="00F35735">
        <w:t xml:space="preserve">Many of the interventions have been based around </w:t>
      </w:r>
      <w:r w:rsidR="007A4FF5">
        <w:t xml:space="preserve">an </w:t>
      </w:r>
      <w:r w:rsidRPr="00F35735">
        <w:t>evidence base</w:t>
      </w:r>
      <w:r w:rsidR="00C858B4">
        <w:t xml:space="preserve">; </w:t>
      </w:r>
      <w:r w:rsidRPr="00F35735">
        <w:t xml:space="preserve">this work should be expanded to ensure that the needs of </w:t>
      </w:r>
      <w:r w:rsidR="001638C7">
        <w:t>those who</w:t>
      </w:r>
      <w:r w:rsidRPr="00F35735">
        <w:t xml:space="preserve"> </w:t>
      </w:r>
      <w:r w:rsidR="001638C7">
        <w:t>should most</w:t>
      </w:r>
      <w:r w:rsidRPr="00F35735">
        <w:t xml:space="preserve"> benefit are understood. Where possible</w:t>
      </w:r>
      <w:r w:rsidR="00C858B4">
        <w:t>,</w:t>
      </w:r>
      <w:r w:rsidRPr="00F35735">
        <w:t xml:space="preserve"> this should include primary research or consultation with </w:t>
      </w:r>
      <w:r w:rsidR="001638C7">
        <w:t>island communities</w:t>
      </w:r>
      <w:r w:rsidRPr="00F35735">
        <w:t xml:space="preserve"> to understand how to best implement specific interventions.</w:t>
      </w:r>
    </w:p>
    <w:p w14:paraId="6CACE5B1" w14:textId="77777777" w:rsidR="00E658B9" w:rsidRDefault="00E658B9" w:rsidP="00D56DE8">
      <w:pPr>
        <w:pStyle w:val="STPR2BodyText"/>
      </w:pPr>
      <w:r>
        <w:t>The STPR2 recommendations do not constitute the full transport investment programme of Scottish Government. They should be considered alongside the overall Government spending commitments on transport, within Scottish Government budgets or funded by Government, for example Growth Deals. Some of the other Scottish Government transport spending commitments are out of scope for STPR2. For example:</w:t>
      </w:r>
    </w:p>
    <w:p w14:paraId="3FF4B242" w14:textId="4EAE5BD6" w:rsidR="00E658B9" w:rsidRDefault="00E658B9" w:rsidP="00D56DE8">
      <w:pPr>
        <w:pStyle w:val="STPR2BulletsLevel1"/>
      </w:pPr>
      <w:r>
        <w:t xml:space="preserve">measures to improve resilience of the rail network (for example operations, maintenance and renewal); </w:t>
      </w:r>
      <w:r w:rsidR="00744F48">
        <w:t xml:space="preserve">and </w:t>
      </w:r>
    </w:p>
    <w:p w14:paraId="29676AAA" w14:textId="28E387E8" w:rsidR="00E658B9" w:rsidRDefault="00E658B9" w:rsidP="00D56DE8">
      <w:pPr>
        <w:pStyle w:val="STPR2BulletsLevel1"/>
      </w:pPr>
      <w:r>
        <w:t>revenue-based spending on public transport including bus, ferries and air services (for example</w:t>
      </w:r>
      <w:r w:rsidR="000B57C6">
        <w:t>,</w:t>
      </w:r>
      <w:r>
        <w:t xml:space="preserve"> subsides for operations and fares).</w:t>
      </w:r>
    </w:p>
    <w:p w14:paraId="4CFCD6FA" w14:textId="570F0E38" w:rsidR="00962ECE" w:rsidRDefault="00E658B9" w:rsidP="00D56DE8">
      <w:pPr>
        <w:pStyle w:val="STPR2BodyText"/>
      </w:pPr>
      <w:r>
        <w:t xml:space="preserve">It should also be noted that transport interventions not recommended by STPR2 may still be appropriate to be taken forward at regional and local levels, however any request for funding from the Scottish Government will require demonstration of the benefits and impacts of the transport proposal through the usual business case and transport appraisal process required by Transport Scotland. This includes the requirement to undertake an </w:t>
      </w:r>
      <w:r w:rsidR="00894F12">
        <w:t>IC</w:t>
      </w:r>
      <w:r>
        <w:t>IA</w:t>
      </w:r>
      <w:r w:rsidR="00894F12">
        <w:t xml:space="preserve"> where relevant</w:t>
      </w:r>
      <w:r>
        <w:t>.</w:t>
      </w:r>
    </w:p>
    <w:p w14:paraId="1AD01E3F" w14:textId="22EBBA57" w:rsidR="00962ECE" w:rsidRDefault="00962ECE" w:rsidP="00962ECE">
      <w:pPr>
        <w:pStyle w:val="Heading2"/>
      </w:pPr>
      <w:bookmarkStart w:id="2225" w:name="_Toc93065161"/>
      <w:bookmarkStart w:id="2226" w:name="_Toc121213960"/>
      <w:r>
        <w:t>Monitoring and review</w:t>
      </w:r>
      <w:bookmarkEnd w:id="2225"/>
      <w:bookmarkEnd w:id="2226"/>
    </w:p>
    <w:p w14:paraId="544FDDD2" w14:textId="4AC44C6C" w:rsidR="00962ECE" w:rsidRPr="00856CA4" w:rsidRDefault="00962ECE" w:rsidP="00D56DE8">
      <w:pPr>
        <w:pStyle w:val="STPR2BodyText"/>
        <w:rPr>
          <w:color w:val="000000" w:themeColor="text1"/>
        </w:rPr>
      </w:pPr>
      <w:r w:rsidRPr="00856CA4">
        <w:rPr>
          <w:color w:val="000000" w:themeColor="text1"/>
        </w:rPr>
        <w:t xml:space="preserve">The </w:t>
      </w:r>
      <w:hyperlink r:id="rId32" w:history="1">
        <w:r w:rsidRPr="00856CA4">
          <w:rPr>
            <w:rStyle w:val="Hyperlink"/>
            <w:color w:val="000000" w:themeColor="text1"/>
            <w:u w:val="none"/>
          </w:rPr>
          <w:t>Scottish Household Survey</w:t>
        </w:r>
      </w:hyperlink>
      <w:r w:rsidRPr="00856CA4">
        <w:rPr>
          <w:color w:val="000000" w:themeColor="text1"/>
        </w:rPr>
        <w:t xml:space="preserve"> is a continuous survey based on a sample of the general population in private residences in Scotland and is run through a consortium led by Ipsos MORI. The survey questionnaire collects data on the use and views of different transport modes through a travel diary. The information is used to feed into the annual report on Transport and Travel in Scotland</w:t>
      </w:r>
      <w:r w:rsidR="00BC126E" w:rsidRPr="00856CA4">
        <w:rPr>
          <w:color w:val="000000" w:themeColor="text1"/>
        </w:rPr>
        <w:t>,</w:t>
      </w:r>
      <w:r w:rsidRPr="00856CA4">
        <w:rPr>
          <w:color w:val="000000" w:themeColor="text1"/>
        </w:rPr>
        <w:t xml:space="preserve"> including differences in transport use across different social groups.</w:t>
      </w:r>
    </w:p>
    <w:p w14:paraId="16FDB714" w14:textId="1869F8DC" w:rsidR="00962ECE" w:rsidRPr="00856CA4" w:rsidRDefault="00962ECE" w:rsidP="00D56DE8">
      <w:pPr>
        <w:pStyle w:val="STPR2BodyText"/>
        <w:rPr>
          <w:color w:val="000000" w:themeColor="text1"/>
        </w:rPr>
      </w:pPr>
      <w:r w:rsidRPr="00856CA4">
        <w:rPr>
          <w:color w:val="000000" w:themeColor="text1"/>
        </w:rPr>
        <w:lastRenderedPageBreak/>
        <w:t xml:space="preserve">Sustran’s </w:t>
      </w:r>
      <w:hyperlink r:id="rId33" w:anchor=":~:text=The%20Hands%20Up%20Scotland%20Survey%20looks%20at%20how,will%20take%20place%20between%2013%20and%2017%20September." w:history="1">
        <w:r w:rsidRPr="00856CA4">
          <w:rPr>
            <w:rStyle w:val="Hyperlink"/>
            <w:color w:val="000000" w:themeColor="text1"/>
            <w:u w:val="none"/>
          </w:rPr>
          <w:t>Hands Up Scotland Survey</w:t>
        </w:r>
      </w:hyperlink>
      <w:r w:rsidRPr="00856CA4">
        <w:rPr>
          <w:color w:val="000000" w:themeColor="text1"/>
        </w:rPr>
        <w:t xml:space="preserve"> collects data on how children across Scotland travel to school and nursery. Established in 2008, the survey has provided an insight into journeys to school for more than a decade and is the largest national dataset on school</w:t>
      </w:r>
      <w:r w:rsidR="000E2FA8" w:rsidRPr="00856CA4">
        <w:rPr>
          <w:color w:val="000000" w:themeColor="text1"/>
        </w:rPr>
        <w:t> </w:t>
      </w:r>
      <w:r w:rsidRPr="00856CA4">
        <w:rPr>
          <w:color w:val="000000" w:themeColor="text1"/>
        </w:rPr>
        <w:t>travel.</w:t>
      </w:r>
    </w:p>
    <w:p w14:paraId="20B6E6E1" w14:textId="592545A1" w:rsidR="00962ECE" w:rsidRPr="00D8043C" w:rsidRDefault="00962ECE" w:rsidP="000E2FA8">
      <w:pPr>
        <w:pStyle w:val="STPR2BodyText"/>
      </w:pPr>
      <w:r w:rsidRPr="00856CA4">
        <w:rPr>
          <w:color w:val="000000" w:themeColor="text1"/>
        </w:rPr>
        <w:t>In addition, as part of the National Islands Plan</w:t>
      </w:r>
      <w:r w:rsidR="006B2CF8" w:rsidRPr="00856CA4">
        <w:rPr>
          <w:color w:val="000000" w:themeColor="text1"/>
        </w:rPr>
        <w:t>,</w:t>
      </w:r>
      <w:r w:rsidRPr="00856CA4">
        <w:rPr>
          <w:color w:val="000000" w:themeColor="text1"/>
        </w:rPr>
        <w:t xml:space="preserve"> there is a strategic objective to support effective implementation of the National Islands Plan</w:t>
      </w:r>
      <w:r w:rsidR="00035CDD" w:rsidRPr="00856CA4">
        <w:rPr>
          <w:color w:val="000000" w:themeColor="text1"/>
        </w:rPr>
        <w:t>,</w:t>
      </w:r>
      <w:r w:rsidRPr="00856CA4">
        <w:rPr>
          <w:color w:val="000000" w:themeColor="text1"/>
        </w:rPr>
        <w:t xml:space="preserve"> which includes a commitment to develop indicators applicable to each Strategic Objective in collaboration with Scottish Government agencies, local authorities</w:t>
      </w:r>
      <w:r w:rsidRPr="00D8043C">
        <w:t>, island communities and relevant island socio-economic actors based on the SMART criteria and building on the National Performance Framework and Sustainable Development Goals</w:t>
      </w:r>
      <w:r w:rsidRPr="00190E0D">
        <w:rPr>
          <w:rStyle w:val="Strong"/>
          <w:color w:val="333333"/>
        </w:rPr>
        <w:t>.</w:t>
      </w:r>
    </w:p>
    <w:p w14:paraId="5500E095" w14:textId="77777777" w:rsidR="00D8043C" w:rsidRPr="000E2FA8" w:rsidRDefault="00D8043C" w:rsidP="000E2FA8">
      <w:bookmarkStart w:id="2227" w:name="_Toc93067678"/>
      <w:bookmarkStart w:id="2228" w:name="_Toc93067745"/>
      <w:bookmarkStart w:id="2229" w:name="_Toc93067831"/>
      <w:bookmarkStart w:id="2230" w:name="_Toc93067872"/>
      <w:bookmarkStart w:id="2231" w:name="_Toc93062506"/>
      <w:bookmarkEnd w:id="2227"/>
      <w:bookmarkEnd w:id="2228"/>
      <w:bookmarkEnd w:id="2229"/>
      <w:bookmarkEnd w:id="2230"/>
      <w:r>
        <w:br w:type="page"/>
      </w:r>
    </w:p>
    <w:p w14:paraId="49EBEECE" w14:textId="51ABE4C0" w:rsidR="000C6958" w:rsidRPr="00606AD8" w:rsidRDefault="000C6958" w:rsidP="00190E0D">
      <w:pPr>
        <w:pStyle w:val="AppendicesHeading"/>
      </w:pPr>
      <w:bookmarkStart w:id="2232" w:name="_Toc117498029"/>
      <w:bookmarkStart w:id="2233" w:name="_Toc117504789"/>
      <w:bookmarkStart w:id="2234" w:name="_Toc120094610"/>
      <w:bookmarkStart w:id="2235" w:name="_Toc120094819"/>
      <w:bookmarkStart w:id="2236" w:name="_Toc120096343"/>
      <w:bookmarkStart w:id="2237" w:name="_Toc117498030"/>
      <w:bookmarkStart w:id="2238" w:name="_Toc117504790"/>
      <w:bookmarkStart w:id="2239" w:name="_Toc120094611"/>
      <w:bookmarkStart w:id="2240" w:name="_Toc120094820"/>
      <w:bookmarkStart w:id="2241" w:name="_Toc120096344"/>
      <w:bookmarkStart w:id="2242" w:name="_Toc117498031"/>
      <w:bookmarkStart w:id="2243" w:name="_Toc117504791"/>
      <w:bookmarkStart w:id="2244" w:name="_Toc120094612"/>
      <w:bookmarkStart w:id="2245" w:name="_Toc120094821"/>
      <w:bookmarkStart w:id="2246" w:name="_Toc120096345"/>
      <w:bookmarkStart w:id="2247" w:name="_Toc117498032"/>
      <w:bookmarkStart w:id="2248" w:name="_Toc117504792"/>
      <w:bookmarkStart w:id="2249" w:name="_Toc120094613"/>
      <w:bookmarkStart w:id="2250" w:name="_Toc120094822"/>
      <w:bookmarkStart w:id="2251" w:name="_Toc120096346"/>
      <w:bookmarkStart w:id="2252" w:name="_Toc117498033"/>
      <w:bookmarkStart w:id="2253" w:name="_Toc117504793"/>
      <w:bookmarkStart w:id="2254" w:name="_Toc120094614"/>
      <w:bookmarkStart w:id="2255" w:name="_Toc120094823"/>
      <w:bookmarkStart w:id="2256" w:name="_Toc120096347"/>
      <w:bookmarkStart w:id="2257" w:name="_Toc117498034"/>
      <w:bookmarkStart w:id="2258" w:name="_Toc117504794"/>
      <w:bookmarkStart w:id="2259" w:name="_Toc120094615"/>
      <w:bookmarkStart w:id="2260" w:name="_Toc120094824"/>
      <w:bookmarkStart w:id="2261" w:name="_Toc120096348"/>
      <w:bookmarkStart w:id="2262" w:name="_Toc117498035"/>
      <w:bookmarkStart w:id="2263" w:name="_Toc117504795"/>
      <w:bookmarkStart w:id="2264" w:name="_Toc120094616"/>
      <w:bookmarkStart w:id="2265" w:name="_Toc120094825"/>
      <w:bookmarkStart w:id="2266" w:name="_Toc120096349"/>
      <w:bookmarkStart w:id="2267" w:name="_Toc117498036"/>
      <w:bookmarkStart w:id="2268" w:name="_Toc117504796"/>
      <w:bookmarkStart w:id="2269" w:name="_Toc120094617"/>
      <w:bookmarkStart w:id="2270" w:name="_Toc120094826"/>
      <w:bookmarkStart w:id="2271" w:name="_Toc120096350"/>
      <w:bookmarkStart w:id="2272" w:name="_Toc117498037"/>
      <w:bookmarkStart w:id="2273" w:name="_Toc117504797"/>
      <w:bookmarkStart w:id="2274" w:name="_Toc120094618"/>
      <w:bookmarkStart w:id="2275" w:name="_Toc120094827"/>
      <w:bookmarkStart w:id="2276" w:name="_Toc120096351"/>
      <w:bookmarkStart w:id="2277" w:name="_Toc117498038"/>
      <w:bookmarkStart w:id="2278" w:name="_Toc117504798"/>
      <w:bookmarkStart w:id="2279" w:name="_Toc120094619"/>
      <w:bookmarkStart w:id="2280" w:name="_Toc120094828"/>
      <w:bookmarkStart w:id="2281" w:name="_Toc120096352"/>
      <w:bookmarkStart w:id="2282" w:name="_Toc117498039"/>
      <w:bookmarkStart w:id="2283" w:name="_Toc117504799"/>
      <w:bookmarkStart w:id="2284" w:name="_Toc120094620"/>
      <w:bookmarkStart w:id="2285" w:name="_Toc120094829"/>
      <w:bookmarkStart w:id="2286" w:name="_Toc120096353"/>
      <w:bookmarkStart w:id="2287" w:name="_Toc117498040"/>
      <w:bookmarkStart w:id="2288" w:name="_Toc117504800"/>
      <w:bookmarkStart w:id="2289" w:name="_Toc120094621"/>
      <w:bookmarkStart w:id="2290" w:name="_Toc120094830"/>
      <w:bookmarkStart w:id="2291" w:name="_Toc120096354"/>
      <w:bookmarkStart w:id="2292" w:name="_Toc117498041"/>
      <w:bookmarkStart w:id="2293" w:name="_Toc117504801"/>
      <w:bookmarkStart w:id="2294" w:name="_Toc120094622"/>
      <w:bookmarkStart w:id="2295" w:name="_Toc120094831"/>
      <w:bookmarkStart w:id="2296" w:name="_Toc120096355"/>
      <w:bookmarkStart w:id="2297" w:name="_Toc117498042"/>
      <w:bookmarkStart w:id="2298" w:name="_Toc117504802"/>
      <w:bookmarkStart w:id="2299" w:name="_Toc120094623"/>
      <w:bookmarkStart w:id="2300" w:name="_Toc120094832"/>
      <w:bookmarkStart w:id="2301" w:name="_Toc120096356"/>
      <w:bookmarkStart w:id="2302" w:name="_Toc117498043"/>
      <w:bookmarkStart w:id="2303" w:name="_Toc117504803"/>
      <w:bookmarkStart w:id="2304" w:name="_Toc120094624"/>
      <w:bookmarkStart w:id="2305" w:name="_Toc120094833"/>
      <w:bookmarkStart w:id="2306" w:name="_Toc120096357"/>
      <w:bookmarkStart w:id="2307" w:name="_Toc81993616"/>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r w:rsidRPr="00606AD8">
        <w:lastRenderedPageBreak/>
        <w:t>References</w:t>
      </w:r>
      <w:bookmarkEnd w:id="2307"/>
    </w:p>
    <w:p w14:paraId="64FEA39E" w14:textId="550AD15E" w:rsidR="004235C6" w:rsidRPr="00856CA4" w:rsidRDefault="2166D84C" w:rsidP="00D56DE8">
      <w:pPr>
        <w:pStyle w:val="STPR2BulletsLevel1"/>
        <w:rPr>
          <w:rStyle w:val="Hyperlink"/>
          <w:rFonts w:asciiTheme="minorHAnsi" w:eastAsiaTheme="minorEastAsia" w:hAnsiTheme="minorHAnsi" w:cstheme="minorBidi"/>
          <w:b/>
          <w:color w:val="000000" w:themeColor="text1"/>
          <w:sz w:val="22"/>
          <w:szCs w:val="36"/>
          <w:u w:val="none"/>
          <w:shd w:val="clear" w:color="auto" w:fill="auto"/>
          <w:lang w:val="en-US"/>
        </w:rPr>
      </w:pPr>
      <w:r w:rsidRPr="00856CA4">
        <w:rPr>
          <w:color w:val="000000" w:themeColor="text1"/>
        </w:rPr>
        <w:t xml:space="preserve">Highlands and Islands (2021) A Minimum Income Standard for Remote Rural Scotland – Summary and Key Findings </w:t>
      </w:r>
      <w:hyperlink r:id="rId34">
        <w:r w:rsidRPr="00856CA4">
          <w:rPr>
            <w:rStyle w:val="Hyperlink"/>
            <w:color w:val="000000" w:themeColor="text1"/>
            <w:u w:val="none"/>
          </w:rPr>
          <w:t>https://www.hie.co.uk/media/3191/aplusminimumplusincomeplusstandardplusforplusremoteplusruralplusscotlandplus-plussummaryplusandpluskeyplusfindings.pdf</w:t>
        </w:r>
      </w:hyperlink>
    </w:p>
    <w:p w14:paraId="30BBECF5" w14:textId="422096D0" w:rsidR="00D847E6" w:rsidRPr="00856CA4" w:rsidRDefault="00D847E6" w:rsidP="00D56DE8">
      <w:pPr>
        <w:pStyle w:val="STPR2BulletsLevel1"/>
        <w:rPr>
          <w:color w:val="000000" w:themeColor="text1"/>
        </w:rPr>
      </w:pPr>
      <w:r w:rsidRPr="00856CA4">
        <w:rPr>
          <w:color w:val="000000" w:themeColor="text1"/>
        </w:rPr>
        <w:t xml:space="preserve">Jacobs </w:t>
      </w:r>
      <w:r w:rsidR="005F258A" w:rsidRPr="00856CA4">
        <w:rPr>
          <w:color w:val="000000" w:themeColor="text1"/>
        </w:rPr>
        <w:t xml:space="preserve">AECOM </w:t>
      </w:r>
      <w:r w:rsidRPr="00856CA4">
        <w:rPr>
          <w:color w:val="000000" w:themeColor="text1"/>
        </w:rPr>
        <w:t xml:space="preserve">(2022a) STPR2: Draft Technical Report. Available at: </w:t>
      </w:r>
      <w:hyperlink r:id="rId35" w:history="1">
        <w:r w:rsidRPr="00856CA4">
          <w:rPr>
            <w:rStyle w:val="Hyperlink"/>
            <w:color w:val="000000" w:themeColor="text1"/>
            <w:u w:val="none"/>
          </w:rPr>
          <w:t>https://www.transport.gov.scot/media/50946/draft-technical-report-january-2022-stpr2.pdf</w:t>
        </w:r>
      </w:hyperlink>
      <w:r w:rsidRPr="00856CA4">
        <w:rPr>
          <w:color w:val="000000" w:themeColor="text1"/>
        </w:rPr>
        <w:t>, accessed 24 October 2022.</w:t>
      </w:r>
      <w:r w:rsidR="00266630" w:rsidRPr="00856CA4">
        <w:rPr>
          <w:color w:val="000000" w:themeColor="text1"/>
        </w:rPr>
        <w:t xml:space="preserve"> </w:t>
      </w:r>
    </w:p>
    <w:p w14:paraId="347E4BF2" w14:textId="3F107E07" w:rsidR="00D847E6" w:rsidRPr="00856CA4" w:rsidRDefault="00D847E6" w:rsidP="00D56DE8">
      <w:pPr>
        <w:pStyle w:val="STPR2BulletsLevel1"/>
        <w:rPr>
          <w:color w:val="000000" w:themeColor="text1"/>
        </w:rPr>
      </w:pPr>
      <w:r w:rsidRPr="00856CA4">
        <w:rPr>
          <w:color w:val="000000" w:themeColor="text1"/>
        </w:rPr>
        <w:t xml:space="preserve">Jacobs </w:t>
      </w:r>
      <w:r w:rsidR="005F258A" w:rsidRPr="00856CA4">
        <w:rPr>
          <w:color w:val="000000" w:themeColor="text1"/>
        </w:rPr>
        <w:t xml:space="preserve">AECOM </w:t>
      </w:r>
      <w:r w:rsidRPr="00856CA4">
        <w:rPr>
          <w:color w:val="000000" w:themeColor="text1"/>
        </w:rPr>
        <w:t>(2022</w:t>
      </w:r>
      <w:r w:rsidR="0089398F" w:rsidRPr="00856CA4">
        <w:rPr>
          <w:color w:val="000000" w:themeColor="text1"/>
        </w:rPr>
        <w:t>b</w:t>
      </w:r>
      <w:r w:rsidRPr="00856CA4">
        <w:rPr>
          <w:color w:val="000000" w:themeColor="text1"/>
        </w:rPr>
        <w:t xml:space="preserve">) STPR2: Draft Island Communities Impact Assessment. Available at: </w:t>
      </w:r>
      <w:hyperlink r:id="rId36" w:history="1">
        <w:r w:rsidR="006378D5" w:rsidRPr="00856CA4">
          <w:rPr>
            <w:rStyle w:val="Hyperlink"/>
            <w:color w:val="000000" w:themeColor="text1"/>
            <w:u w:val="none"/>
          </w:rPr>
          <w:t>https://www.transport.gov.scot/publication/island-communities-impact-assessment-draft-report-january-2022-stpr2/</w:t>
        </w:r>
      </w:hyperlink>
      <w:r w:rsidR="00266630" w:rsidRPr="00856CA4">
        <w:rPr>
          <w:rStyle w:val="Hyperlink"/>
          <w:color w:val="000000" w:themeColor="text1"/>
          <w:u w:val="none"/>
        </w:rPr>
        <w:t xml:space="preserve"> </w:t>
      </w:r>
      <w:r w:rsidRPr="00856CA4">
        <w:rPr>
          <w:color w:val="000000" w:themeColor="text1"/>
        </w:rPr>
        <w:t>accessed 24 October 2022.</w:t>
      </w:r>
      <w:r w:rsidR="00266630" w:rsidRPr="00856CA4">
        <w:rPr>
          <w:color w:val="000000" w:themeColor="text1"/>
        </w:rPr>
        <w:t xml:space="preserve"> </w:t>
      </w:r>
    </w:p>
    <w:p w14:paraId="2D6D8228" w14:textId="77777777" w:rsidR="004235C6" w:rsidRPr="00856CA4" w:rsidRDefault="004235C6" w:rsidP="00D56DE8">
      <w:pPr>
        <w:pStyle w:val="STPR2BulletsLevel1"/>
        <w:rPr>
          <w:color w:val="000000" w:themeColor="text1"/>
        </w:rPr>
      </w:pPr>
      <w:r w:rsidRPr="00856CA4">
        <w:rPr>
          <w:color w:val="000000" w:themeColor="text1"/>
        </w:rPr>
        <w:t xml:space="preserve">National Records of Scotland (2020) Population Projections for Scottish Areas (2018-based) </w:t>
      </w:r>
      <w:hyperlink r:id="rId37" w:history="1">
        <w:r w:rsidRPr="00856CA4">
          <w:rPr>
            <w:rStyle w:val="Hyperlink"/>
            <w:color w:val="000000" w:themeColor="text1"/>
            <w:u w:val="none"/>
          </w:rPr>
          <w:t>https://www.nrscotland.gov.uk/statistics-and-data/statistics/statistics-by-theme/population/population-projections/sub-national-population-projections/2018-based</w:t>
        </w:r>
      </w:hyperlink>
      <w:r w:rsidRPr="00856CA4">
        <w:rPr>
          <w:color w:val="000000" w:themeColor="text1"/>
        </w:rPr>
        <w:t xml:space="preserve"> </w:t>
      </w:r>
    </w:p>
    <w:p w14:paraId="5D270F4C" w14:textId="77777777" w:rsidR="00C3210D" w:rsidRPr="00856CA4" w:rsidRDefault="00383EFF" w:rsidP="00D56DE8">
      <w:pPr>
        <w:pStyle w:val="STPR2BulletsLevel1"/>
        <w:rPr>
          <w:color w:val="000000" w:themeColor="text1"/>
        </w:rPr>
      </w:pPr>
      <w:r w:rsidRPr="00856CA4">
        <w:rPr>
          <w:color w:val="000000" w:themeColor="text1"/>
        </w:rPr>
        <w:t xml:space="preserve">National Records of Scotland (NRS) (2018) Mid-2017 population estimates Scotland </w:t>
      </w:r>
    </w:p>
    <w:p w14:paraId="3E82BD7D" w14:textId="77777777" w:rsidR="004235C6" w:rsidRPr="00856CA4" w:rsidRDefault="004235C6" w:rsidP="00D56DE8">
      <w:pPr>
        <w:pStyle w:val="STPR2BulletsLevel1"/>
        <w:rPr>
          <w:color w:val="000000" w:themeColor="text1"/>
        </w:rPr>
      </w:pPr>
      <w:r w:rsidRPr="00856CA4">
        <w:rPr>
          <w:color w:val="000000" w:themeColor="text1"/>
        </w:rPr>
        <w:t>Office of National Statistics (ONS) (2021) Earnings and hours worked, place of residence by local authority: ASHE Table 8 – 2020 Revised dataset</w:t>
      </w:r>
    </w:p>
    <w:p w14:paraId="3CBD6737" w14:textId="2E81420B" w:rsidR="00AC0D4B" w:rsidRPr="00856CA4" w:rsidRDefault="00CF2C24" w:rsidP="00D56DE8">
      <w:pPr>
        <w:pStyle w:val="STPR2BulletsLevel1"/>
        <w:rPr>
          <w:rStyle w:val="Hyperlink"/>
          <w:color w:val="000000" w:themeColor="text1"/>
          <w:u w:val="none"/>
        </w:rPr>
      </w:pPr>
      <w:r w:rsidRPr="00856CA4">
        <w:rPr>
          <w:color w:val="000000" w:themeColor="text1"/>
        </w:rPr>
        <w:t>Scottish Government (Nov</w:t>
      </w:r>
      <w:r w:rsidR="00B400AA" w:rsidRPr="00856CA4">
        <w:rPr>
          <w:color w:val="000000" w:themeColor="text1"/>
        </w:rPr>
        <w:t>ember</w:t>
      </w:r>
      <w:r w:rsidRPr="00856CA4">
        <w:rPr>
          <w:color w:val="000000" w:themeColor="text1"/>
        </w:rPr>
        <w:t xml:space="preserve"> </w:t>
      </w:r>
      <w:r w:rsidR="00EF2BA2" w:rsidRPr="00856CA4">
        <w:rPr>
          <w:color w:val="000000" w:themeColor="text1"/>
        </w:rPr>
        <w:t>2022</w:t>
      </w:r>
      <w:r w:rsidRPr="00856CA4">
        <w:rPr>
          <w:color w:val="000000" w:themeColor="text1"/>
        </w:rPr>
        <w:t>) Scotland 2045: Our Fourth National Planning Framework</w:t>
      </w:r>
      <w:r w:rsidR="00C01242" w:rsidRPr="00856CA4">
        <w:rPr>
          <w:color w:val="000000" w:themeColor="text1"/>
        </w:rPr>
        <w:t xml:space="preserve"> Revised Draft</w:t>
      </w:r>
      <w:r w:rsidRPr="00856CA4">
        <w:rPr>
          <w:color w:val="000000" w:themeColor="text1"/>
        </w:rPr>
        <w:t xml:space="preserve"> </w:t>
      </w:r>
      <w:hyperlink r:id="rId38" w:history="1">
        <w:r w:rsidR="00160406" w:rsidRPr="00856CA4">
          <w:rPr>
            <w:rStyle w:val="Hyperlink"/>
            <w:color w:val="000000" w:themeColor="text1"/>
            <w:u w:val="none"/>
          </w:rPr>
          <w:t>https://www.transformingplanning.scot/national-planning-framework</w:t>
        </w:r>
      </w:hyperlink>
      <w:r w:rsidR="00160406" w:rsidRPr="00856CA4">
        <w:rPr>
          <w:rStyle w:val="Hyperlink"/>
          <w:color w:val="000000" w:themeColor="text1"/>
          <w:u w:val="none"/>
        </w:rPr>
        <w:t xml:space="preserve"> </w:t>
      </w:r>
    </w:p>
    <w:p w14:paraId="248A3BCF" w14:textId="16A83727" w:rsidR="00D36C90" w:rsidRPr="00856CA4" w:rsidRDefault="00D36C90" w:rsidP="00D56DE8">
      <w:pPr>
        <w:pStyle w:val="STPR2BulletsLevel1"/>
        <w:rPr>
          <w:rStyle w:val="Hyperlink"/>
          <w:color w:val="000000" w:themeColor="text1"/>
          <w:u w:val="none"/>
        </w:rPr>
      </w:pPr>
      <w:r w:rsidRPr="00856CA4">
        <w:rPr>
          <w:color w:val="000000" w:themeColor="text1"/>
        </w:rPr>
        <w:t>Scottish Government (Sep</w:t>
      </w:r>
      <w:r w:rsidR="00B400AA" w:rsidRPr="00856CA4">
        <w:rPr>
          <w:color w:val="000000" w:themeColor="text1"/>
        </w:rPr>
        <w:t>tember</w:t>
      </w:r>
      <w:r w:rsidRPr="00856CA4">
        <w:rPr>
          <w:color w:val="000000" w:themeColor="text1"/>
        </w:rPr>
        <w:t xml:space="preserve"> 2021) A Fairer, Greener Scotland: Programme for Government 2021-22 </w:t>
      </w:r>
      <w:hyperlink r:id="rId39" w:history="1">
        <w:r w:rsidRPr="00856CA4">
          <w:rPr>
            <w:rStyle w:val="Hyperlink"/>
            <w:color w:val="000000" w:themeColor="text1"/>
            <w:u w:val="none"/>
          </w:rPr>
          <w:t>https://www.gov.scot/publications/fairer-greener-scotland-programme-government-2021-22/documents/</w:t>
        </w:r>
      </w:hyperlink>
      <w:r w:rsidRPr="00856CA4">
        <w:rPr>
          <w:color w:val="000000" w:themeColor="text1"/>
        </w:rPr>
        <w:t xml:space="preserve"> </w:t>
      </w:r>
    </w:p>
    <w:p w14:paraId="18BA52F6" w14:textId="364115F2" w:rsidR="00CF2C24" w:rsidRPr="00856CA4" w:rsidRDefault="00CF2C24" w:rsidP="00D56DE8">
      <w:pPr>
        <w:pStyle w:val="STPR2BulletsLevel1"/>
        <w:rPr>
          <w:color w:val="000000" w:themeColor="text1"/>
        </w:rPr>
      </w:pPr>
      <w:r w:rsidRPr="00856CA4">
        <w:rPr>
          <w:color w:val="000000" w:themeColor="text1"/>
        </w:rPr>
        <w:t>Scottish Government (July 2021</w:t>
      </w:r>
      <w:r w:rsidR="0053033E" w:rsidRPr="00856CA4">
        <w:rPr>
          <w:color w:val="000000" w:themeColor="text1"/>
        </w:rPr>
        <w:t>a</w:t>
      </w:r>
      <w:r w:rsidRPr="00856CA4">
        <w:rPr>
          <w:color w:val="000000" w:themeColor="text1"/>
        </w:rPr>
        <w:t xml:space="preserve">) Cleaner Air for Scotland 2 Towards a Better Place for Everyone </w:t>
      </w:r>
      <w:hyperlink r:id="rId40" w:history="1">
        <w:r w:rsidRPr="00856CA4">
          <w:rPr>
            <w:rStyle w:val="Hyperlink"/>
            <w:color w:val="000000" w:themeColor="text1"/>
            <w:u w:val="none"/>
          </w:rPr>
          <w:t>https://www.gov.scot/publications/cleaner-air-scotland-2-towards-better-place-everyone/documents/</w:t>
        </w:r>
      </w:hyperlink>
      <w:r w:rsidRPr="00856CA4">
        <w:rPr>
          <w:color w:val="000000" w:themeColor="text1"/>
        </w:rPr>
        <w:t xml:space="preserve"> </w:t>
      </w:r>
    </w:p>
    <w:p w14:paraId="0869B0D9" w14:textId="71E69AFB" w:rsidR="00D36C90" w:rsidRPr="00856CA4" w:rsidRDefault="00D36C90" w:rsidP="00D56DE8">
      <w:pPr>
        <w:pStyle w:val="STPR2BulletsLevel1"/>
        <w:rPr>
          <w:color w:val="000000" w:themeColor="text1"/>
        </w:rPr>
      </w:pPr>
      <w:r w:rsidRPr="00856CA4">
        <w:rPr>
          <w:color w:val="000000" w:themeColor="text1"/>
        </w:rPr>
        <w:t>Scottish Government (Jul</w:t>
      </w:r>
      <w:r w:rsidR="00B400AA" w:rsidRPr="00856CA4">
        <w:rPr>
          <w:color w:val="000000" w:themeColor="text1"/>
        </w:rPr>
        <w:t>y</w:t>
      </w:r>
      <w:r w:rsidRPr="00856CA4">
        <w:rPr>
          <w:color w:val="000000" w:themeColor="text1"/>
        </w:rPr>
        <w:t xml:space="preserve"> 2021</w:t>
      </w:r>
      <w:r w:rsidR="0053033E" w:rsidRPr="00856CA4">
        <w:rPr>
          <w:color w:val="000000" w:themeColor="text1"/>
        </w:rPr>
        <w:t>b</w:t>
      </w:r>
      <w:r w:rsidRPr="00856CA4">
        <w:rPr>
          <w:color w:val="000000" w:themeColor="text1"/>
        </w:rPr>
        <w:t xml:space="preserve">) National Islands Plan Survey – Final Report </w:t>
      </w:r>
      <w:hyperlink r:id="rId41" w:history="1">
        <w:r w:rsidRPr="00856CA4">
          <w:rPr>
            <w:rStyle w:val="Hyperlink"/>
            <w:color w:val="000000" w:themeColor="text1"/>
            <w:u w:val="none"/>
          </w:rPr>
          <w:t>https://www.gov.scot/publications/national-islands-plan-survey-final-report/pages/2/</w:t>
        </w:r>
      </w:hyperlink>
      <w:r w:rsidRPr="00856CA4">
        <w:rPr>
          <w:color w:val="000000" w:themeColor="text1"/>
        </w:rPr>
        <w:t xml:space="preserve"> </w:t>
      </w:r>
    </w:p>
    <w:p w14:paraId="75D71595" w14:textId="6A3EDB23" w:rsidR="00CF2C24" w:rsidRPr="00856CA4" w:rsidRDefault="00CF2C24" w:rsidP="00D56DE8">
      <w:pPr>
        <w:pStyle w:val="STPR2BulletsLevel1"/>
        <w:rPr>
          <w:color w:val="000000" w:themeColor="text1"/>
        </w:rPr>
      </w:pPr>
      <w:r w:rsidRPr="00856CA4">
        <w:rPr>
          <w:color w:val="000000" w:themeColor="text1"/>
        </w:rPr>
        <w:t>Scottish Government (2021) A Scotland for The Future: The opportunities and challenges of Scotland’s changing population</w:t>
      </w:r>
      <w:r w:rsidR="00D36C90" w:rsidRPr="00856CA4">
        <w:rPr>
          <w:color w:val="000000" w:themeColor="text1"/>
        </w:rPr>
        <w:t xml:space="preserve"> </w:t>
      </w:r>
      <w:hyperlink r:id="rId42" w:history="1">
        <w:r w:rsidR="00D36C90" w:rsidRPr="00856CA4">
          <w:rPr>
            <w:rStyle w:val="Hyperlink"/>
            <w:color w:val="000000" w:themeColor="text1"/>
            <w:u w:val="none"/>
          </w:rPr>
          <w:t>https://www.gov.scot/publications/scotland-future-opportunities-challenges-scotlands-changing-population/</w:t>
        </w:r>
      </w:hyperlink>
      <w:r w:rsidR="00D36C90" w:rsidRPr="00856CA4">
        <w:rPr>
          <w:color w:val="000000" w:themeColor="text1"/>
        </w:rPr>
        <w:t xml:space="preserve"> </w:t>
      </w:r>
    </w:p>
    <w:p w14:paraId="38AC26F2" w14:textId="5A23B5B6" w:rsidR="004235C6" w:rsidRPr="00856CA4" w:rsidRDefault="004235C6" w:rsidP="00D56DE8">
      <w:pPr>
        <w:pStyle w:val="STPR2BulletsLevel1"/>
        <w:rPr>
          <w:rStyle w:val="Hyperlink"/>
          <w:color w:val="000000" w:themeColor="text1"/>
          <w:u w:val="none"/>
        </w:rPr>
      </w:pPr>
      <w:r w:rsidRPr="00856CA4">
        <w:rPr>
          <w:color w:val="000000" w:themeColor="text1"/>
        </w:rPr>
        <w:t>Scottish Government (Dec</w:t>
      </w:r>
      <w:r w:rsidR="00B400AA" w:rsidRPr="00856CA4">
        <w:rPr>
          <w:color w:val="000000" w:themeColor="text1"/>
        </w:rPr>
        <w:t>ember</w:t>
      </w:r>
      <w:r w:rsidRPr="00856CA4">
        <w:rPr>
          <w:color w:val="000000" w:themeColor="text1"/>
        </w:rPr>
        <w:t xml:space="preserve"> 2020</w:t>
      </w:r>
      <w:r w:rsidR="00D36C90" w:rsidRPr="00856CA4">
        <w:rPr>
          <w:color w:val="000000" w:themeColor="text1"/>
        </w:rPr>
        <w:t>a</w:t>
      </w:r>
      <w:r w:rsidRPr="00856CA4">
        <w:rPr>
          <w:color w:val="000000" w:themeColor="text1"/>
        </w:rPr>
        <w:t xml:space="preserve">) Update to the Climate Change Plan 2018-2035 </w:t>
      </w:r>
      <w:hyperlink r:id="rId43" w:history="1">
        <w:r w:rsidRPr="00856CA4">
          <w:rPr>
            <w:rStyle w:val="Hyperlink"/>
            <w:color w:val="000000" w:themeColor="text1"/>
            <w:u w:val="none"/>
          </w:rPr>
          <w:t>https://www.gov.scot/publications/securing-green-recovery-path-net-zero-update-climate-change-plan-20182032/documents/</w:t>
        </w:r>
      </w:hyperlink>
    </w:p>
    <w:p w14:paraId="37C6B600" w14:textId="118BBA68" w:rsidR="00D36C90" w:rsidRPr="00856CA4" w:rsidRDefault="00D36C90" w:rsidP="00D56DE8">
      <w:pPr>
        <w:pStyle w:val="STPR2BulletsLevel1"/>
        <w:rPr>
          <w:color w:val="000000" w:themeColor="text1"/>
        </w:rPr>
      </w:pPr>
      <w:r w:rsidRPr="00856CA4">
        <w:rPr>
          <w:color w:val="000000" w:themeColor="text1"/>
        </w:rPr>
        <w:t>Scottish Government (Dec</w:t>
      </w:r>
      <w:r w:rsidR="00B400AA" w:rsidRPr="00856CA4">
        <w:rPr>
          <w:color w:val="000000" w:themeColor="text1"/>
        </w:rPr>
        <w:t>ember</w:t>
      </w:r>
      <w:r w:rsidRPr="00856CA4">
        <w:rPr>
          <w:color w:val="000000" w:themeColor="text1"/>
        </w:rPr>
        <w:t xml:space="preserve"> 2020b) Island Communities Impact Assessments: guidance and toolkit </w:t>
      </w:r>
      <w:hyperlink r:id="rId44" w:history="1">
        <w:r w:rsidRPr="00856CA4">
          <w:rPr>
            <w:rStyle w:val="Hyperlink"/>
            <w:color w:val="000000" w:themeColor="text1"/>
            <w:u w:val="none"/>
          </w:rPr>
          <w:t>https://www.gov.scot/publications/island-communities-impact-assessments-guidance-toolkit/</w:t>
        </w:r>
      </w:hyperlink>
      <w:r w:rsidRPr="00856CA4">
        <w:rPr>
          <w:color w:val="000000" w:themeColor="text1"/>
        </w:rPr>
        <w:t xml:space="preserve"> </w:t>
      </w:r>
    </w:p>
    <w:p w14:paraId="7843AC75" w14:textId="395276E8" w:rsidR="004235C6" w:rsidRPr="00856CA4" w:rsidRDefault="004235C6" w:rsidP="00D56DE8">
      <w:pPr>
        <w:pStyle w:val="STPR2BulletsLevel1"/>
        <w:rPr>
          <w:color w:val="000000" w:themeColor="text1"/>
        </w:rPr>
      </w:pPr>
      <w:r w:rsidRPr="00856CA4">
        <w:rPr>
          <w:color w:val="000000" w:themeColor="text1"/>
        </w:rPr>
        <w:t>Scottish Government (Sep</w:t>
      </w:r>
      <w:r w:rsidR="00B400AA" w:rsidRPr="00856CA4">
        <w:rPr>
          <w:color w:val="000000" w:themeColor="text1"/>
        </w:rPr>
        <w:t>tember</w:t>
      </w:r>
      <w:r w:rsidRPr="00856CA4">
        <w:rPr>
          <w:color w:val="000000" w:themeColor="text1"/>
        </w:rPr>
        <w:t xml:space="preserve"> 2020) Protecting Scotland, Renewing Scotland: The Government's Programme for Scotland 2020-2021. </w:t>
      </w:r>
      <w:hyperlink r:id="rId45" w:history="1">
        <w:r w:rsidRPr="00856CA4">
          <w:rPr>
            <w:rStyle w:val="Hyperlink"/>
            <w:color w:val="000000" w:themeColor="text1"/>
            <w:u w:val="none"/>
          </w:rPr>
          <w:t>https://www.gov.scot/publications/protecting-scotland-renewing-scotland-governments-programme-scotland-2020-2021/documents/</w:t>
        </w:r>
      </w:hyperlink>
      <w:r w:rsidRPr="00856CA4">
        <w:rPr>
          <w:color w:val="000000" w:themeColor="text1"/>
        </w:rPr>
        <w:t xml:space="preserve"> </w:t>
      </w:r>
    </w:p>
    <w:p w14:paraId="324E7F5E" w14:textId="3278585E" w:rsidR="004235C6" w:rsidRPr="00856CA4" w:rsidRDefault="004235C6" w:rsidP="00D56DE8">
      <w:pPr>
        <w:pStyle w:val="STPR2BulletsLevel1"/>
        <w:rPr>
          <w:color w:val="000000" w:themeColor="text1"/>
        </w:rPr>
      </w:pPr>
      <w:r w:rsidRPr="00856CA4">
        <w:rPr>
          <w:color w:val="000000" w:themeColor="text1"/>
        </w:rPr>
        <w:t>Scottish Government (Jan</w:t>
      </w:r>
      <w:r w:rsidR="007D50AE" w:rsidRPr="00856CA4">
        <w:rPr>
          <w:color w:val="000000" w:themeColor="text1"/>
        </w:rPr>
        <w:t>uary</w:t>
      </w:r>
      <w:r w:rsidRPr="00856CA4">
        <w:rPr>
          <w:color w:val="000000" w:themeColor="text1"/>
        </w:rPr>
        <w:t xml:space="preserve"> 2020) The Scottish Index of Multiple Deprivation 2020 </w:t>
      </w:r>
      <w:hyperlink r:id="rId46" w:history="1">
        <w:r w:rsidRPr="00856CA4">
          <w:rPr>
            <w:rStyle w:val="Hyperlink"/>
            <w:color w:val="000000" w:themeColor="text1"/>
            <w:u w:val="none"/>
          </w:rPr>
          <w:t>https://www.gov.scot/publications/scottish-index-multiple-deprivation-2020/documents/</w:t>
        </w:r>
      </w:hyperlink>
      <w:r w:rsidRPr="00856CA4">
        <w:rPr>
          <w:color w:val="000000" w:themeColor="text1"/>
        </w:rPr>
        <w:t xml:space="preserve"> </w:t>
      </w:r>
    </w:p>
    <w:p w14:paraId="25DD7C79" w14:textId="77777777" w:rsidR="004235C6" w:rsidRPr="00856CA4" w:rsidRDefault="004235C6" w:rsidP="00D56DE8">
      <w:pPr>
        <w:pStyle w:val="STPR2BulletsLevel1"/>
        <w:rPr>
          <w:color w:val="000000" w:themeColor="text1"/>
        </w:rPr>
      </w:pPr>
      <w:r w:rsidRPr="00856CA4">
        <w:rPr>
          <w:color w:val="000000" w:themeColor="text1"/>
        </w:rPr>
        <w:t xml:space="preserve">Scottish Government (2019) The National Plan for Scotland’s Islands </w:t>
      </w:r>
      <w:hyperlink r:id="rId47" w:history="1">
        <w:r w:rsidRPr="00856CA4">
          <w:rPr>
            <w:rStyle w:val="Hyperlink"/>
            <w:color w:val="000000" w:themeColor="text1"/>
            <w:u w:val="none"/>
          </w:rPr>
          <w:t>https://www.gov.scot/publications/national-plan-scotlands-islands/</w:t>
        </w:r>
      </w:hyperlink>
      <w:r w:rsidRPr="00856CA4">
        <w:rPr>
          <w:color w:val="000000" w:themeColor="text1"/>
        </w:rPr>
        <w:t xml:space="preserve"> </w:t>
      </w:r>
    </w:p>
    <w:p w14:paraId="3CFD07DF" w14:textId="4A5598A2" w:rsidR="00BE3366" w:rsidRPr="00856CA4" w:rsidRDefault="00784B6B" w:rsidP="00D56DE8">
      <w:pPr>
        <w:pStyle w:val="STPR2BulletsLevel1"/>
        <w:rPr>
          <w:color w:val="000000" w:themeColor="text1"/>
        </w:rPr>
      </w:pPr>
      <w:r w:rsidRPr="00856CA4">
        <w:rPr>
          <w:color w:val="000000" w:themeColor="text1"/>
        </w:rPr>
        <w:lastRenderedPageBreak/>
        <w:t xml:space="preserve">Scottish Government (2015) </w:t>
      </w:r>
      <w:r w:rsidR="008617B9" w:rsidRPr="00856CA4">
        <w:rPr>
          <w:color w:val="000000" w:themeColor="text1"/>
        </w:rPr>
        <w:t>Inhabited islands analytical report</w:t>
      </w:r>
      <w:r w:rsidRPr="00856CA4">
        <w:rPr>
          <w:color w:val="000000" w:themeColor="text1"/>
        </w:rPr>
        <w:t xml:space="preserve"> - A report presenting key results relating to Scotland’s 93 inhabited islands, based on the results of the 2011</w:t>
      </w:r>
      <w:r w:rsidR="000425D0" w:rsidRPr="00856CA4">
        <w:rPr>
          <w:color w:val="000000" w:themeColor="text1"/>
        </w:rPr>
        <w:t> </w:t>
      </w:r>
      <w:r w:rsidRPr="00856CA4">
        <w:rPr>
          <w:color w:val="000000" w:themeColor="text1"/>
        </w:rPr>
        <w:t>Census.</w:t>
      </w:r>
    </w:p>
    <w:p w14:paraId="5223CEA7" w14:textId="50EE26BB" w:rsidR="004235C6" w:rsidRPr="00856CA4" w:rsidRDefault="004235C6" w:rsidP="00D56DE8">
      <w:pPr>
        <w:pStyle w:val="STPR2BulletsLevel1"/>
        <w:rPr>
          <w:color w:val="000000" w:themeColor="text1"/>
        </w:rPr>
      </w:pPr>
      <w:r w:rsidRPr="00856CA4">
        <w:rPr>
          <w:color w:val="000000" w:themeColor="text1"/>
        </w:rPr>
        <w:t xml:space="preserve">Scotland’s Rural College (SRUC) (2014) Rural Scotland in Focus - 2014. </w:t>
      </w:r>
      <w:hyperlink r:id="rId48" w:history="1">
        <w:r w:rsidRPr="00856CA4">
          <w:rPr>
            <w:rStyle w:val="Hyperlink"/>
            <w:color w:val="000000" w:themeColor="text1"/>
            <w:u w:val="none"/>
          </w:rPr>
          <w:t>https://pure.sruc.ac.uk/en/publications/rural-scotland-in-focus-2014</w:t>
        </w:r>
      </w:hyperlink>
      <w:r w:rsidRPr="00856CA4">
        <w:rPr>
          <w:color w:val="000000" w:themeColor="text1"/>
        </w:rPr>
        <w:t xml:space="preserve"> </w:t>
      </w:r>
    </w:p>
    <w:p w14:paraId="5B50B856" w14:textId="092A6D60" w:rsidR="00D36C90" w:rsidRPr="00856CA4" w:rsidRDefault="00D36C90" w:rsidP="00D56DE8">
      <w:pPr>
        <w:pStyle w:val="STPR2BulletsLevel1"/>
        <w:rPr>
          <w:color w:val="000000" w:themeColor="text1"/>
        </w:rPr>
      </w:pPr>
      <w:r w:rsidRPr="00856CA4">
        <w:rPr>
          <w:color w:val="000000" w:themeColor="text1"/>
        </w:rPr>
        <w:t xml:space="preserve">Transport Scotland (July 2020) Key Reported Road Casualties Scotland 2019 </w:t>
      </w:r>
      <w:hyperlink r:id="rId49" w:history="1">
        <w:r w:rsidRPr="00856CA4">
          <w:rPr>
            <w:rStyle w:val="Hyperlink"/>
            <w:color w:val="000000" w:themeColor="text1"/>
            <w:u w:val="none"/>
          </w:rPr>
          <w:t>https://www.transport.gov.scot/publication/key-reported-road-casualties-scotland-2019/</w:t>
        </w:r>
      </w:hyperlink>
    </w:p>
    <w:p w14:paraId="42BBB1F0" w14:textId="550EAC1D" w:rsidR="004235C6" w:rsidRPr="00856CA4" w:rsidRDefault="004235C6" w:rsidP="00D56DE8">
      <w:pPr>
        <w:pStyle w:val="STPR2BulletsLevel1"/>
        <w:rPr>
          <w:color w:val="000000" w:themeColor="text1"/>
        </w:rPr>
      </w:pPr>
      <w:r w:rsidRPr="00856CA4">
        <w:rPr>
          <w:color w:val="000000" w:themeColor="text1"/>
        </w:rPr>
        <w:t>Transport Scotland (Feb</w:t>
      </w:r>
      <w:r w:rsidR="007D50AE" w:rsidRPr="00856CA4">
        <w:rPr>
          <w:color w:val="000000" w:themeColor="text1"/>
        </w:rPr>
        <w:t>ruary</w:t>
      </w:r>
      <w:r w:rsidRPr="00856CA4">
        <w:rPr>
          <w:color w:val="000000" w:themeColor="text1"/>
        </w:rPr>
        <w:t xml:space="preserve"> 2020) National Transport Strategy (NTS2), </w:t>
      </w:r>
      <w:hyperlink r:id="rId50" w:history="1">
        <w:r w:rsidRPr="00856CA4">
          <w:rPr>
            <w:rStyle w:val="Hyperlink"/>
            <w:color w:val="000000" w:themeColor="text1"/>
            <w:u w:val="none"/>
          </w:rPr>
          <w:t>https://www.transport.gov.scot/publication/national-transport-strategy-2/</w:t>
        </w:r>
      </w:hyperlink>
      <w:r w:rsidRPr="00856CA4">
        <w:rPr>
          <w:color w:val="000000" w:themeColor="text1"/>
        </w:rPr>
        <w:t xml:space="preserve"> </w:t>
      </w:r>
    </w:p>
    <w:p w14:paraId="60A62728" w14:textId="649637E2" w:rsidR="00B02D36" w:rsidRDefault="00B02D36" w:rsidP="00784B6B">
      <w:pPr>
        <w:sectPr w:rsidR="00B02D36" w:rsidSect="00F110EE">
          <w:headerReference w:type="even" r:id="rId51"/>
          <w:headerReference w:type="default" r:id="rId52"/>
          <w:footerReference w:type="default" r:id="rId53"/>
          <w:headerReference w:type="first" r:id="rId54"/>
          <w:pgSz w:w="11906" w:h="16838" w:code="9"/>
          <w:pgMar w:top="1699" w:right="1138" w:bottom="1138" w:left="1138" w:header="454" w:footer="567" w:gutter="0"/>
          <w:cols w:space="720"/>
          <w:noEndnote/>
          <w:docGrid w:linePitch="299"/>
        </w:sectPr>
      </w:pPr>
    </w:p>
    <w:p w14:paraId="3AE4586F" w14:textId="5DAB7E5D" w:rsidR="00B02D36" w:rsidRDefault="00B02D36" w:rsidP="005725BB">
      <w:pPr>
        <w:pStyle w:val="Appendix"/>
      </w:pPr>
      <w:bookmarkStart w:id="2308" w:name="_Toc90310016"/>
      <w:bookmarkStart w:id="2309" w:name="_Ref121229102"/>
      <w:r>
        <w:lastRenderedPageBreak/>
        <w:t>Glossary</w:t>
      </w:r>
      <w:bookmarkEnd w:id="2308"/>
      <w:bookmarkEnd w:id="2309"/>
    </w:p>
    <w:p w14:paraId="380ECEA0" w14:textId="411DA363" w:rsidR="000425D0" w:rsidRDefault="00443094" w:rsidP="000425D0">
      <w:pPr>
        <w:pStyle w:val="AppendixHeading2"/>
        <w:rPr>
          <w:lang w:eastAsia="en-US"/>
        </w:rPr>
      </w:pPr>
      <w:r>
        <w:rPr>
          <w:lang w:eastAsia="en-US"/>
        </w:rPr>
        <w:t>Glossary</w:t>
      </w:r>
    </w:p>
    <w:p w14:paraId="2B19B282" w14:textId="0B27B920" w:rsidR="000425D0" w:rsidRPr="00443094" w:rsidRDefault="00443094" w:rsidP="000425D0">
      <w:pPr>
        <w:pStyle w:val="STPR2BodyText"/>
        <w:rPr>
          <w:b/>
          <w:bCs/>
          <w:lang w:eastAsia="en-US"/>
        </w:rPr>
      </w:pPr>
      <w:r w:rsidRPr="00443094">
        <w:rPr>
          <w:b/>
          <w:bCs/>
          <w:lang w:eastAsia="en-US"/>
        </w:rPr>
        <w:t>ACTIVE TRAVEL HUBS</w:t>
      </w:r>
    </w:p>
    <w:p w14:paraId="13E1EBAA" w14:textId="2419D17E" w:rsidR="000425D0" w:rsidRDefault="000425D0" w:rsidP="000425D0">
      <w:pPr>
        <w:pStyle w:val="STPR2BodyText"/>
        <w:rPr>
          <w:lang w:eastAsia="en-US"/>
        </w:rPr>
      </w:pPr>
      <w:r>
        <w:rPr>
          <w:lang w:eastAsia="en-US"/>
        </w:rPr>
        <w:t>Specific locations which support/provide a base for active travel initiatives in a local</w:t>
      </w:r>
      <w:r w:rsidR="00443094">
        <w:rPr>
          <w:lang w:eastAsia="en-US"/>
        </w:rPr>
        <w:t> </w:t>
      </w:r>
      <w:r>
        <w:rPr>
          <w:lang w:eastAsia="en-US"/>
        </w:rPr>
        <w:t>community.</w:t>
      </w:r>
    </w:p>
    <w:p w14:paraId="5D1A8257" w14:textId="186D9E94" w:rsidR="000425D0" w:rsidRPr="00443094" w:rsidRDefault="00443094" w:rsidP="000425D0">
      <w:pPr>
        <w:pStyle w:val="STPR2BodyText"/>
        <w:rPr>
          <w:b/>
          <w:bCs/>
          <w:lang w:eastAsia="en-US"/>
        </w:rPr>
      </w:pPr>
      <w:r w:rsidRPr="00443094">
        <w:rPr>
          <w:b/>
          <w:bCs/>
          <w:lang w:eastAsia="en-US"/>
        </w:rPr>
        <w:t>ASSESSMENT</w:t>
      </w:r>
    </w:p>
    <w:p w14:paraId="5D073C8A" w14:textId="77777777" w:rsidR="000425D0" w:rsidRDefault="000425D0" w:rsidP="000425D0">
      <w:pPr>
        <w:pStyle w:val="STPR2BodyText"/>
        <w:rPr>
          <w:lang w:eastAsia="en-US"/>
        </w:rPr>
      </w:pPr>
      <w:r>
        <w:rPr>
          <w:lang w:eastAsia="en-US"/>
        </w:rPr>
        <w:t>An umbrella term for description, analysis, and evaluation.</w:t>
      </w:r>
    </w:p>
    <w:p w14:paraId="79AA5A6A" w14:textId="2749CBF4" w:rsidR="000425D0" w:rsidRPr="00443094" w:rsidRDefault="00443094" w:rsidP="000425D0">
      <w:pPr>
        <w:pStyle w:val="STPR2BodyText"/>
        <w:rPr>
          <w:b/>
          <w:bCs/>
          <w:lang w:eastAsia="en-US"/>
        </w:rPr>
      </w:pPr>
      <w:r w:rsidRPr="00443094">
        <w:rPr>
          <w:b/>
          <w:bCs/>
          <w:lang w:eastAsia="en-US"/>
        </w:rPr>
        <w:t>AUTHORITY AREA</w:t>
      </w:r>
    </w:p>
    <w:p w14:paraId="175B7E02" w14:textId="77777777" w:rsidR="000425D0" w:rsidRDefault="000425D0" w:rsidP="000425D0">
      <w:pPr>
        <w:pStyle w:val="STPR2BodyText"/>
        <w:rPr>
          <w:lang w:eastAsia="en-US"/>
        </w:rPr>
      </w:pPr>
      <w:r>
        <w:rPr>
          <w:lang w:eastAsia="en-US"/>
        </w:rPr>
        <w:t>The area administered by a local authority for example, District Council, City Council or Unitary Authority.</w:t>
      </w:r>
    </w:p>
    <w:p w14:paraId="2BFDE2FA" w14:textId="3B0B25FA" w:rsidR="000425D0" w:rsidRPr="00443094" w:rsidRDefault="00443094" w:rsidP="000425D0">
      <w:pPr>
        <w:pStyle w:val="STPR2BodyText"/>
        <w:rPr>
          <w:b/>
          <w:bCs/>
          <w:lang w:eastAsia="en-US"/>
        </w:rPr>
      </w:pPr>
      <w:r w:rsidRPr="00443094">
        <w:rPr>
          <w:b/>
          <w:bCs/>
          <w:lang w:eastAsia="en-US"/>
        </w:rPr>
        <w:t>BASELINE</w:t>
      </w:r>
    </w:p>
    <w:p w14:paraId="45F958E7" w14:textId="7F89DD07" w:rsidR="000425D0" w:rsidRDefault="000425D0" w:rsidP="000425D0">
      <w:pPr>
        <w:pStyle w:val="STPR2BodyText"/>
        <w:rPr>
          <w:lang w:eastAsia="en-US"/>
        </w:rPr>
      </w:pPr>
      <w:r>
        <w:rPr>
          <w:lang w:eastAsia="en-US"/>
        </w:rPr>
        <w:t>The existing conditions which form the basis or start point of the environmental</w:t>
      </w:r>
      <w:r w:rsidR="00443094">
        <w:rPr>
          <w:lang w:eastAsia="en-US"/>
        </w:rPr>
        <w:t> </w:t>
      </w:r>
      <w:r>
        <w:rPr>
          <w:lang w:eastAsia="en-US"/>
        </w:rPr>
        <w:t>assessment.</w:t>
      </w:r>
    </w:p>
    <w:p w14:paraId="09D465B8" w14:textId="7D5C79DA" w:rsidR="000425D0" w:rsidRPr="00443094" w:rsidRDefault="00443094" w:rsidP="000425D0">
      <w:pPr>
        <w:pStyle w:val="STPR2BodyText"/>
        <w:rPr>
          <w:b/>
          <w:bCs/>
          <w:lang w:eastAsia="en-US"/>
        </w:rPr>
      </w:pPr>
      <w:r w:rsidRPr="00443094">
        <w:rPr>
          <w:b/>
          <w:bCs/>
          <w:lang w:eastAsia="en-US"/>
        </w:rPr>
        <w:t>COMMUNITY SEVERANCE</w:t>
      </w:r>
    </w:p>
    <w:p w14:paraId="344F087B" w14:textId="77777777" w:rsidR="000425D0" w:rsidRDefault="000425D0" w:rsidP="000425D0">
      <w:pPr>
        <w:pStyle w:val="STPR2BodyText"/>
        <w:rPr>
          <w:lang w:eastAsia="en-US"/>
        </w:rPr>
      </w:pPr>
      <w:r>
        <w:rPr>
          <w:lang w:eastAsia="en-US"/>
        </w:rPr>
        <w:t>Community severance is defined here as the separation of residents from facilities and services they use within their community caused by new or improved roads or by changes in traffic flows.</w:t>
      </w:r>
    </w:p>
    <w:p w14:paraId="570518D8" w14:textId="26A5FA0B" w:rsidR="000425D0" w:rsidRPr="00443094" w:rsidRDefault="00443094" w:rsidP="000425D0">
      <w:pPr>
        <w:pStyle w:val="STPR2BodyText"/>
        <w:rPr>
          <w:b/>
          <w:bCs/>
          <w:lang w:eastAsia="en-US"/>
        </w:rPr>
      </w:pPr>
      <w:r w:rsidRPr="00443094">
        <w:rPr>
          <w:b/>
          <w:bCs/>
          <w:lang w:eastAsia="en-US"/>
        </w:rPr>
        <w:t>CONSULTATION AUTHORITIES</w:t>
      </w:r>
    </w:p>
    <w:p w14:paraId="7996FF37" w14:textId="77777777" w:rsidR="000425D0" w:rsidRDefault="000425D0" w:rsidP="000425D0">
      <w:pPr>
        <w:pStyle w:val="STPR2BodyText"/>
        <w:rPr>
          <w:lang w:eastAsia="en-US"/>
        </w:rPr>
      </w:pPr>
      <w:r>
        <w:rPr>
          <w:lang w:eastAsia="en-US"/>
        </w:rPr>
        <w:t>Refers to the three statutory Consultation Authorities in Scotland: Historic Environment Scotland, NatureScot and the Scottish Environment Protection Agency.</w:t>
      </w:r>
    </w:p>
    <w:p w14:paraId="30C9DEA3" w14:textId="73B79C42" w:rsidR="000425D0" w:rsidRPr="00443094" w:rsidRDefault="00443094" w:rsidP="000425D0">
      <w:pPr>
        <w:pStyle w:val="STPR2BodyText"/>
        <w:rPr>
          <w:b/>
          <w:bCs/>
          <w:lang w:eastAsia="en-US"/>
        </w:rPr>
      </w:pPr>
      <w:r w:rsidRPr="00443094">
        <w:rPr>
          <w:b/>
          <w:bCs/>
          <w:lang w:eastAsia="en-US"/>
        </w:rPr>
        <w:t>DEMAND RESPONSIVE TRANSPORT</w:t>
      </w:r>
    </w:p>
    <w:p w14:paraId="4B6EDE38" w14:textId="50A79269" w:rsidR="000425D0" w:rsidRDefault="000425D0" w:rsidP="000425D0">
      <w:pPr>
        <w:pStyle w:val="STPR2BodyText"/>
        <w:rPr>
          <w:lang w:eastAsia="en-US"/>
        </w:rPr>
      </w:pPr>
      <w:r>
        <w:rPr>
          <w:lang w:eastAsia="en-US"/>
        </w:rPr>
        <w:t>A public transport service which does not operate to a timetable, but reacts to passenger</w:t>
      </w:r>
      <w:r w:rsidR="00443094">
        <w:rPr>
          <w:lang w:eastAsia="en-US"/>
        </w:rPr>
        <w:t> </w:t>
      </w:r>
      <w:r>
        <w:rPr>
          <w:lang w:eastAsia="en-US"/>
        </w:rPr>
        <w:t>demand.</w:t>
      </w:r>
    </w:p>
    <w:p w14:paraId="774FDD5C" w14:textId="612B3CB8" w:rsidR="000425D0" w:rsidRPr="00443094" w:rsidRDefault="00443094" w:rsidP="000425D0">
      <w:pPr>
        <w:pStyle w:val="STPR2BodyText"/>
        <w:rPr>
          <w:b/>
          <w:bCs/>
          <w:lang w:eastAsia="en-US"/>
        </w:rPr>
      </w:pPr>
      <w:r w:rsidRPr="00443094">
        <w:rPr>
          <w:b/>
          <w:bCs/>
          <w:lang w:eastAsia="en-US"/>
        </w:rPr>
        <w:t>MOBILITY AS A SERVICE</w:t>
      </w:r>
    </w:p>
    <w:p w14:paraId="4DEC1C84" w14:textId="77777777" w:rsidR="000425D0" w:rsidRDefault="000425D0" w:rsidP="000425D0">
      <w:pPr>
        <w:pStyle w:val="STPR2BodyText"/>
        <w:rPr>
          <w:lang w:eastAsia="en-US"/>
        </w:rPr>
      </w:pPr>
      <w:r>
        <w:rPr>
          <w:lang w:eastAsia="en-US"/>
        </w:rPr>
        <w:t>MaaS is a type of service that through a joint digital channel enables users to plan, book, and pay for multiple types of mobility services (for example bus and train journeys). The concept describes a shift away from privately-owned transport modes and towards mobility provided as a service. This is enabled by combining transportation services from public and private transportation providers through a unified gateway that creates and manages the trip, Users can pay per trip or a monthly fee for a limited distance. The key concept behind MaaS is to tailor the transport service to traveller needs.</w:t>
      </w:r>
    </w:p>
    <w:p w14:paraId="760EC4CC" w14:textId="5AE72D29" w:rsidR="000425D0" w:rsidRPr="00443094" w:rsidRDefault="00443094" w:rsidP="000425D0">
      <w:pPr>
        <w:pStyle w:val="STPR2BodyText"/>
        <w:rPr>
          <w:b/>
          <w:bCs/>
          <w:lang w:eastAsia="en-US"/>
        </w:rPr>
      </w:pPr>
      <w:r w:rsidRPr="00443094">
        <w:rPr>
          <w:b/>
          <w:bCs/>
          <w:lang w:eastAsia="en-US"/>
        </w:rPr>
        <w:t>MITIGATION</w:t>
      </w:r>
    </w:p>
    <w:p w14:paraId="2FA0C5F0" w14:textId="77777777" w:rsidR="000425D0" w:rsidRDefault="000425D0" w:rsidP="000425D0">
      <w:pPr>
        <w:pStyle w:val="STPR2BodyText"/>
        <w:rPr>
          <w:lang w:eastAsia="en-US"/>
        </w:rPr>
      </w:pPr>
      <w:r>
        <w:rPr>
          <w:lang w:eastAsia="en-US"/>
        </w:rPr>
        <w:t>Measure to avoid, reduce or offset potential adverse impacts.</w:t>
      </w:r>
    </w:p>
    <w:p w14:paraId="45D65D88" w14:textId="18FAAEB3" w:rsidR="000425D0" w:rsidRPr="00443094" w:rsidRDefault="00443094" w:rsidP="00443094">
      <w:pPr>
        <w:pStyle w:val="STPR2BodyText"/>
        <w:keepNext/>
        <w:keepLines/>
        <w:rPr>
          <w:b/>
          <w:bCs/>
          <w:lang w:eastAsia="en-US"/>
        </w:rPr>
      </w:pPr>
      <w:r w:rsidRPr="00443094">
        <w:rPr>
          <w:b/>
          <w:bCs/>
          <w:lang w:eastAsia="en-US"/>
        </w:rPr>
        <w:lastRenderedPageBreak/>
        <w:t>NATIONAL TRANSPORT STRATEGY 2</w:t>
      </w:r>
    </w:p>
    <w:p w14:paraId="4BCEFFF9" w14:textId="77777777" w:rsidR="000425D0" w:rsidRDefault="000425D0" w:rsidP="000425D0">
      <w:pPr>
        <w:pStyle w:val="STPR2BodyText"/>
        <w:rPr>
          <w:lang w:eastAsia="en-US"/>
        </w:rPr>
      </w:pPr>
      <w:r>
        <w:rPr>
          <w:lang w:eastAsia="en-US"/>
        </w:rPr>
        <w:t>Sets out a strategic framework for the whole transport system in Scotland, from which future investment decisions are made.</w:t>
      </w:r>
    </w:p>
    <w:p w14:paraId="5F3EDDEE" w14:textId="5E30ED52" w:rsidR="000425D0" w:rsidRPr="00443094" w:rsidRDefault="00443094" w:rsidP="000425D0">
      <w:pPr>
        <w:pStyle w:val="STPR2BodyText"/>
        <w:rPr>
          <w:b/>
          <w:bCs/>
          <w:lang w:eastAsia="en-US"/>
        </w:rPr>
      </w:pPr>
      <w:r w:rsidRPr="00443094">
        <w:rPr>
          <w:b/>
          <w:bCs/>
          <w:lang w:eastAsia="en-US"/>
        </w:rPr>
        <w:t>NON-MOTORISED USERS</w:t>
      </w:r>
    </w:p>
    <w:p w14:paraId="09D4D193" w14:textId="77777777" w:rsidR="000425D0" w:rsidRDefault="000425D0" w:rsidP="000425D0">
      <w:pPr>
        <w:pStyle w:val="STPR2BodyText"/>
        <w:rPr>
          <w:lang w:eastAsia="en-US"/>
        </w:rPr>
      </w:pPr>
      <w:r>
        <w:rPr>
          <w:lang w:eastAsia="en-US"/>
        </w:rPr>
        <w:t>Pedestrians, cyclists and equestrians.</w:t>
      </w:r>
    </w:p>
    <w:p w14:paraId="4478AD46" w14:textId="7AD13F1A" w:rsidR="000425D0" w:rsidRPr="00443094" w:rsidRDefault="00443094" w:rsidP="000425D0">
      <w:pPr>
        <w:pStyle w:val="STPR2BodyText"/>
        <w:rPr>
          <w:b/>
          <w:bCs/>
          <w:lang w:eastAsia="en-US"/>
        </w:rPr>
      </w:pPr>
      <w:r w:rsidRPr="00443094">
        <w:rPr>
          <w:b/>
          <w:bCs/>
          <w:lang w:eastAsia="en-US"/>
        </w:rPr>
        <w:t>PLACE</w:t>
      </w:r>
    </w:p>
    <w:p w14:paraId="649C2B19" w14:textId="77777777" w:rsidR="000425D0" w:rsidRDefault="000425D0" w:rsidP="000425D0">
      <w:pPr>
        <w:pStyle w:val="STPR2BodyText"/>
        <w:rPr>
          <w:lang w:eastAsia="en-US"/>
        </w:rPr>
      </w:pPr>
      <w:r>
        <w:rPr>
          <w:lang w:eastAsia="en-US"/>
        </w:rPr>
        <w:t xml:space="preserve">The Place Principle recognises that: Place is where people, location and resources combine to create a sense of identity and purpose and is at the heart of addressing the needs and realising the full potential of communities. Places are shaped by the way resources, services and assets are directed and used by the people who live in and invest in them. A more joined-up, collaborative, and participative approach to services, land and buildings, across all sectors within a place, enables better outcomes for everyone and increased opportunities for people and communities to shape their own lives. </w:t>
      </w:r>
    </w:p>
    <w:p w14:paraId="562E41A9" w14:textId="76590C43" w:rsidR="000425D0" w:rsidRPr="00443094" w:rsidRDefault="00443094" w:rsidP="000425D0">
      <w:pPr>
        <w:pStyle w:val="STPR2BodyText"/>
        <w:rPr>
          <w:b/>
          <w:bCs/>
          <w:lang w:eastAsia="en-US"/>
        </w:rPr>
      </w:pPr>
      <w:r w:rsidRPr="00443094">
        <w:rPr>
          <w:b/>
          <w:bCs/>
          <w:lang w:eastAsia="en-US"/>
        </w:rPr>
        <w:t>PUBLIC TRANSPORT INTERCHANGE</w:t>
      </w:r>
    </w:p>
    <w:p w14:paraId="4799D998" w14:textId="77777777" w:rsidR="000425D0" w:rsidRDefault="000425D0" w:rsidP="000425D0">
      <w:pPr>
        <w:pStyle w:val="STPR2BodyText"/>
        <w:rPr>
          <w:lang w:eastAsia="en-US"/>
        </w:rPr>
      </w:pPr>
      <w:r>
        <w:rPr>
          <w:lang w:eastAsia="en-US"/>
        </w:rPr>
        <w:t>Places which allow for the interchange between one or more different (public/sustainable) mode of transport.</w:t>
      </w:r>
    </w:p>
    <w:p w14:paraId="743D76F4" w14:textId="430D8722" w:rsidR="000425D0" w:rsidRPr="00443094" w:rsidRDefault="00443094" w:rsidP="000425D0">
      <w:pPr>
        <w:pStyle w:val="STPR2BodyText"/>
        <w:rPr>
          <w:b/>
          <w:bCs/>
          <w:lang w:eastAsia="en-US"/>
        </w:rPr>
      </w:pPr>
      <w:r w:rsidRPr="00443094">
        <w:rPr>
          <w:b/>
          <w:bCs/>
          <w:lang w:eastAsia="en-US"/>
        </w:rPr>
        <w:t>SCOPING REPORT</w:t>
      </w:r>
    </w:p>
    <w:p w14:paraId="75096D91" w14:textId="77777777" w:rsidR="000425D0" w:rsidRDefault="000425D0" w:rsidP="000425D0">
      <w:pPr>
        <w:pStyle w:val="STPR2BodyText"/>
        <w:rPr>
          <w:lang w:eastAsia="en-US"/>
        </w:rPr>
      </w:pPr>
      <w:r>
        <w:rPr>
          <w:lang w:eastAsia="en-US"/>
        </w:rPr>
        <w:t>Scoping Reports provide sufficient information about the potential environmental effects to allow the Consultation Authorities to provide an informed view regarding the environmental topics to be included in the SEA. Scoping Reports also provide a proposed methodology to be used for assessing potential environmental effects.</w:t>
      </w:r>
    </w:p>
    <w:p w14:paraId="05BD487E" w14:textId="1DE4C07E" w:rsidR="000425D0" w:rsidRPr="00443094" w:rsidRDefault="00443094" w:rsidP="000425D0">
      <w:pPr>
        <w:pStyle w:val="STPR2BodyText"/>
        <w:rPr>
          <w:b/>
          <w:bCs/>
          <w:lang w:eastAsia="en-US"/>
        </w:rPr>
      </w:pPr>
      <w:r w:rsidRPr="00443094">
        <w:rPr>
          <w:b/>
          <w:bCs/>
          <w:lang w:eastAsia="en-US"/>
        </w:rPr>
        <w:t>SCOTTISH TRANSPORT APPRAISAL GUIDANCE (STAG)</w:t>
      </w:r>
    </w:p>
    <w:p w14:paraId="4992C424" w14:textId="77777777" w:rsidR="000425D0" w:rsidRDefault="000425D0" w:rsidP="000425D0">
      <w:pPr>
        <w:pStyle w:val="STPR2BodyText"/>
        <w:rPr>
          <w:lang w:eastAsia="en-US"/>
        </w:rPr>
      </w:pPr>
      <w:r>
        <w:rPr>
          <w:lang w:eastAsia="en-US"/>
        </w:rPr>
        <w:t xml:space="preserve">Transport Scotland’s formal option appraisal toolkit and methodology to guide the development and assessment of transport options in Scotland. STAG provides an evidence-based and objective-led framework for: identifying transport problems and/or opportunities in a study area; setting objectives to address the transport problems/opportunities and identifying and appraising options in a consistent manner with the potential to meet the objectives. STAG is integral to the investment decision making process at the Strategic Business Case stage. The four stages of STAG are: Initial Appraisal Case for Change (formerly Pre-Appraisal), Preliminary Options Appraisal (formerly Part 1), Detailed Options Appraisal (formerly Part 2) and Post-Appraisal (Monitoring and Evaluation). </w:t>
      </w:r>
    </w:p>
    <w:p w14:paraId="1E7B8607" w14:textId="2D116D09" w:rsidR="000425D0" w:rsidRPr="00443094" w:rsidRDefault="00443094" w:rsidP="000425D0">
      <w:pPr>
        <w:pStyle w:val="STPR2BodyText"/>
        <w:rPr>
          <w:b/>
          <w:bCs/>
          <w:lang w:eastAsia="en-US"/>
        </w:rPr>
      </w:pPr>
      <w:r w:rsidRPr="00443094">
        <w:rPr>
          <w:b/>
          <w:bCs/>
          <w:lang w:eastAsia="en-US"/>
        </w:rPr>
        <w:t>SEVERANCE</w:t>
      </w:r>
    </w:p>
    <w:p w14:paraId="03D17212" w14:textId="77777777" w:rsidR="000425D0" w:rsidRDefault="000425D0" w:rsidP="000425D0">
      <w:pPr>
        <w:pStyle w:val="STPR2BodyText"/>
        <w:rPr>
          <w:lang w:eastAsia="en-US"/>
        </w:rPr>
      </w:pPr>
      <w:r>
        <w:rPr>
          <w:lang w:eastAsia="en-US"/>
        </w:rPr>
        <w:t>The separation of communities from facilities and services used within their community. Alternatively, in relation to agricultural land, the division of land into separate areas, potentially affecting access or availability for agricultural use.</w:t>
      </w:r>
    </w:p>
    <w:p w14:paraId="1511C082" w14:textId="539F2E24" w:rsidR="000425D0" w:rsidRPr="00443094" w:rsidRDefault="00443094" w:rsidP="000425D0">
      <w:pPr>
        <w:pStyle w:val="STPR2BodyText"/>
        <w:rPr>
          <w:b/>
          <w:bCs/>
          <w:lang w:eastAsia="en-US"/>
        </w:rPr>
      </w:pPr>
      <w:r w:rsidRPr="00443094">
        <w:rPr>
          <w:b/>
          <w:bCs/>
          <w:lang w:eastAsia="en-US"/>
        </w:rPr>
        <w:t>STAKEHOLDER</w:t>
      </w:r>
    </w:p>
    <w:p w14:paraId="6512F5E5" w14:textId="77777777" w:rsidR="000425D0" w:rsidRDefault="000425D0" w:rsidP="000425D0">
      <w:pPr>
        <w:pStyle w:val="STPR2BodyText"/>
        <w:rPr>
          <w:lang w:eastAsia="en-US"/>
        </w:rPr>
      </w:pPr>
      <w:r>
        <w:rPr>
          <w:lang w:eastAsia="en-US"/>
        </w:rPr>
        <w:t>A person or group that has an investment, share or interest in something.</w:t>
      </w:r>
    </w:p>
    <w:p w14:paraId="237034A6" w14:textId="2703B561" w:rsidR="000425D0" w:rsidRPr="00443094" w:rsidRDefault="00443094" w:rsidP="00443094">
      <w:pPr>
        <w:pStyle w:val="STPR2BodyText"/>
        <w:keepNext/>
        <w:keepLines/>
        <w:rPr>
          <w:b/>
          <w:bCs/>
          <w:lang w:eastAsia="en-US"/>
        </w:rPr>
      </w:pPr>
      <w:r w:rsidRPr="00443094">
        <w:rPr>
          <w:b/>
          <w:bCs/>
          <w:lang w:eastAsia="en-US"/>
        </w:rPr>
        <w:lastRenderedPageBreak/>
        <w:t>STRATEGIC ENVIRONMENTAL ASSESSMENT (SEA)</w:t>
      </w:r>
    </w:p>
    <w:p w14:paraId="22A091B5" w14:textId="77777777" w:rsidR="000425D0" w:rsidRDefault="000425D0" w:rsidP="000425D0">
      <w:pPr>
        <w:pStyle w:val="STPR2BodyText"/>
        <w:rPr>
          <w:lang w:eastAsia="en-US"/>
        </w:rPr>
      </w:pPr>
      <w:r>
        <w:rPr>
          <w:lang w:eastAsia="en-US"/>
        </w:rPr>
        <w:t>The process by which information about the environmental effects of proposed plans, policies and programmes are evaluated.</w:t>
      </w:r>
    </w:p>
    <w:p w14:paraId="05029896" w14:textId="6B75CD61" w:rsidR="000425D0" w:rsidRPr="00443094" w:rsidRDefault="00443094" w:rsidP="000425D0">
      <w:pPr>
        <w:pStyle w:val="STPR2BodyText"/>
        <w:rPr>
          <w:b/>
          <w:bCs/>
          <w:lang w:eastAsia="en-US"/>
        </w:rPr>
      </w:pPr>
      <w:r w:rsidRPr="00443094">
        <w:rPr>
          <w:b/>
          <w:bCs/>
          <w:lang w:eastAsia="en-US"/>
        </w:rPr>
        <w:t>STRATEGIC TRANSPORT PROJECTS REVIEW (STPR2)</w:t>
      </w:r>
    </w:p>
    <w:p w14:paraId="4FA45F13" w14:textId="77777777" w:rsidR="000425D0" w:rsidRDefault="000425D0" w:rsidP="000425D0">
      <w:pPr>
        <w:pStyle w:val="STPR2BodyText"/>
        <w:rPr>
          <w:lang w:eastAsia="en-US"/>
        </w:rPr>
      </w:pPr>
      <w:r>
        <w:rPr>
          <w:lang w:eastAsia="en-US"/>
        </w:rPr>
        <w:t xml:space="preserve">A two-year review of the Scottish transport network being undertaken by Transport Scotland. It aims to identify and prioritise road, rail and other interventions of national significance, which will be taken forward to improve the network. Through selecting which transport projects of national significance should be progressed, the STPR2 would also affect regional and local transport networks. </w:t>
      </w:r>
    </w:p>
    <w:p w14:paraId="6FE038A9" w14:textId="679DDA34" w:rsidR="000425D0" w:rsidRPr="00443094" w:rsidRDefault="00443094" w:rsidP="000425D0">
      <w:pPr>
        <w:pStyle w:val="STPR2BodyText"/>
        <w:rPr>
          <w:b/>
          <w:bCs/>
          <w:lang w:eastAsia="en-US"/>
        </w:rPr>
      </w:pPr>
      <w:r w:rsidRPr="00443094">
        <w:rPr>
          <w:b/>
          <w:bCs/>
          <w:lang w:eastAsia="en-US"/>
        </w:rPr>
        <w:t>STATUTORY ASSESSMENTS</w:t>
      </w:r>
    </w:p>
    <w:p w14:paraId="07EAA6A8" w14:textId="77777777" w:rsidR="000425D0" w:rsidRDefault="000425D0" w:rsidP="000425D0">
      <w:pPr>
        <w:pStyle w:val="STPR2BodyText"/>
        <w:rPr>
          <w:lang w:eastAsia="en-US"/>
        </w:rPr>
      </w:pPr>
      <w:r>
        <w:rPr>
          <w:lang w:eastAsia="en-US"/>
        </w:rPr>
        <w:t>A number of statutory assessments are being undertaken for STPR2. These comprise an Equalities Impact Assessment, Fairer Scotland Duty Assessment, Child Rights and Wellbeing Impact Assessment, and Island Communities Impact Assessment. A Strategic Environmental Assessment is also being undertaken to assess and mitigate the transport impacts of options identified through STPR2. The methods for these assessments have informed the Appraisal Framework for STPR2 and visa-versa.</w:t>
      </w:r>
    </w:p>
    <w:p w14:paraId="500826DD" w14:textId="3C846541" w:rsidR="000425D0" w:rsidRPr="00443094" w:rsidRDefault="00443094" w:rsidP="000425D0">
      <w:pPr>
        <w:pStyle w:val="STPR2BodyText"/>
        <w:rPr>
          <w:b/>
          <w:bCs/>
          <w:lang w:eastAsia="en-US"/>
        </w:rPr>
      </w:pPr>
      <w:r w:rsidRPr="00443094">
        <w:rPr>
          <w:b/>
          <w:bCs/>
          <w:lang w:eastAsia="en-US"/>
        </w:rPr>
        <w:t>TRANSPORT PLANNING OBJECTIVES (TPOS)</w:t>
      </w:r>
    </w:p>
    <w:p w14:paraId="171B983E" w14:textId="2F9C7588" w:rsidR="000425D0" w:rsidRPr="000425D0" w:rsidRDefault="000425D0" w:rsidP="000425D0">
      <w:pPr>
        <w:pStyle w:val="STPR2BodyText"/>
        <w:rPr>
          <w:lang w:eastAsia="en-US"/>
        </w:rPr>
      </w:pPr>
      <w:r>
        <w:rPr>
          <w:lang w:eastAsia="en-US"/>
        </w:rPr>
        <w:t>These seek to capture the essence of the evidence-based problem to be addressed or opportunity being sought. STPR2 has five national TPOs which are common to all regions and which reflect the evidence set out within the Case for Change reports. Where appropriate, each region has considered the specific regional aspects in supporting the development of SMART (Specific, Measurable, Attainable, Relevant and Timed) sub</w:t>
      </w:r>
      <w:r w:rsidR="00443094">
        <w:rPr>
          <w:lang w:eastAsia="en-US"/>
        </w:rPr>
        <w:noBreakHyphen/>
      </w:r>
      <w:r>
        <w:rPr>
          <w:lang w:eastAsia="en-US"/>
        </w:rPr>
        <w:t>objectives.</w:t>
      </w:r>
    </w:p>
    <w:p w14:paraId="31645A6A" w14:textId="04BB56BB" w:rsidR="00992B2C" w:rsidRDefault="00992B2C" w:rsidP="005725BB">
      <w:pPr>
        <w:pStyle w:val="Appendix"/>
      </w:pPr>
      <w:bookmarkStart w:id="2310" w:name="_Toc90310017"/>
      <w:bookmarkStart w:id="2311" w:name="_Ref121229116"/>
      <w:bookmarkStart w:id="2312" w:name="_Ref121235005"/>
      <w:r>
        <w:lastRenderedPageBreak/>
        <w:t>Equality</w:t>
      </w:r>
      <w:r w:rsidR="00AD45C5">
        <w:t xml:space="preserve"> </w:t>
      </w:r>
      <w:r w:rsidR="00791B4C">
        <w:t>Topics</w:t>
      </w:r>
      <w:r w:rsidR="00AD45C5">
        <w:t>,</w:t>
      </w:r>
      <w:r>
        <w:t xml:space="preserve"> Objectives and</w:t>
      </w:r>
      <w:r w:rsidR="007253CE">
        <w:t xml:space="preserve"> </w:t>
      </w:r>
      <w:r>
        <w:t>Guidance</w:t>
      </w:r>
      <w:r w:rsidR="00443094">
        <w:t> </w:t>
      </w:r>
      <w:r>
        <w:t>Questions</w:t>
      </w:r>
      <w:bookmarkEnd w:id="2310"/>
      <w:bookmarkEnd w:id="2311"/>
      <w:bookmarkEnd w:id="2312"/>
    </w:p>
    <w:p w14:paraId="00621F62" w14:textId="5D1DC503" w:rsidR="00443094" w:rsidRPr="00443094" w:rsidRDefault="00443094" w:rsidP="00443094">
      <w:pPr>
        <w:pStyle w:val="STPR2BodyText"/>
        <w:rPr>
          <w:b/>
          <w:bCs/>
          <w:lang w:eastAsia="en-US"/>
        </w:rPr>
      </w:pPr>
      <w:r w:rsidRPr="00443094">
        <w:rPr>
          <w:b/>
          <w:bCs/>
          <w:lang w:eastAsia="en-US"/>
        </w:rPr>
        <w:t>POPULATION</w:t>
      </w:r>
    </w:p>
    <w:p w14:paraId="4F5AACF8" w14:textId="77777777" w:rsidR="00443094" w:rsidRDefault="00443094" w:rsidP="00443094">
      <w:pPr>
        <w:pStyle w:val="STPR2BodyText"/>
        <w:rPr>
          <w:lang w:eastAsia="en-US"/>
        </w:rPr>
      </w:pPr>
      <w:r>
        <w:rPr>
          <w:lang w:eastAsia="en-US"/>
        </w:rPr>
        <w:t xml:space="preserve">EqIA Objective </w:t>
      </w:r>
    </w:p>
    <w:p w14:paraId="64AA930A" w14:textId="77777777" w:rsidR="00443094" w:rsidRDefault="00443094" w:rsidP="00443094">
      <w:pPr>
        <w:pStyle w:val="STPR2BodyText"/>
        <w:rPr>
          <w:lang w:eastAsia="en-US"/>
        </w:rPr>
      </w:pPr>
      <w:r w:rsidRPr="00443094">
        <w:t>Promote</w:t>
      </w:r>
      <w:r>
        <w:rPr>
          <w:lang w:eastAsia="en-US"/>
        </w:rPr>
        <w:t xml:space="preserve"> greater equality of opportunity for all of Scotland’s residents in order to promote a fairer, more inclusive society. </w:t>
      </w:r>
    </w:p>
    <w:p w14:paraId="7ED7D2E7" w14:textId="77777777" w:rsidR="00443094" w:rsidRDefault="00443094" w:rsidP="00443094">
      <w:pPr>
        <w:pStyle w:val="STPR2BodyText"/>
        <w:rPr>
          <w:lang w:eastAsia="en-US"/>
        </w:rPr>
      </w:pPr>
      <w:r>
        <w:rPr>
          <w:lang w:eastAsia="en-US"/>
        </w:rPr>
        <w:t>Guide Questions – Will the option/ intervention/ package….</w:t>
      </w:r>
    </w:p>
    <w:p w14:paraId="38C2D3D1" w14:textId="211FC80F" w:rsidR="00443094" w:rsidRDefault="00443094" w:rsidP="00443094">
      <w:pPr>
        <w:pStyle w:val="STPR2BulletsLevel1"/>
        <w:rPr>
          <w:lang w:eastAsia="en-US"/>
        </w:rPr>
      </w:pPr>
      <w:r>
        <w:rPr>
          <w:lang w:eastAsia="en-US"/>
        </w:rPr>
        <w:t>Result in any likely differential or disproportionate effects on persons with protected characteristics as specified in the Equality Act 2010 (Age, Disability, Gender reassignment, Marriage and civil partnership, Pregnancy and maternity, Race, Sex, Sexual orientation)?</w:t>
      </w:r>
    </w:p>
    <w:p w14:paraId="2544C1FC" w14:textId="1C2B1CDD" w:rsidR="00443094" w:rsidRDefault="00443094" w:rsidP="00443094">
      <w:pPr>
        <w:pStyle w:val="STPR2BulletsLevel1"/>
        <w:rPr>
          <w:lang w:eastAsia="en-US"/>
        </w:rPr>
      </w:pPr>
      <w:r>
        <w:rPr>
          <w:lang w:eastAsia="en-US"/>
        </w:rPr>
        <w:t xml:space="preserve">Provide enhanced capacity on the transport system to accommodate areas that will experience a growing population? </w:t>
      </w:r>
    </w:p>
    <w:p w14:paraId="59D297D8" w14:textId="471433E9" w:rsidR="00443094" w:rsidRDefault="00443094" w:rsidP="00443094">
      <w:pPr>
        <w:pStyle w:val="STPR2BulletsLevel1"/>
        <w:rPr>
          <w:lang w:eastAsia="en-US"/>
        </w:rPr>
      </w:pPr>
      <w:r>
        <w:rPr>
          <w:lang w:eastAsia="en-US"/>
        </w:rPr>
        <w:t>Support more geographically widespread population growth, particularly in areas of</w:t>
      </w:r>
      <w:r w:rsidR="004553B2">
        <w:rPr>
          <w:lang w:eastAsia="en-US"/>
        </w:rPr>
        <w:t> </w:t>
      </w:r>
      <w:r>
        <w:rPr>
          <w:lang w:eastAsia="en-US"/>
        </w:rPr>
        <w:t>depopulation?</w:t>
      </w:r>
    </w:p>
    <w:p w14:paraId="7F181541" w14:textId="105B4EF8" w:rsidR="00443094" w:rsidRDefault="00443094" w:rsidP="00443094">
      <w:pPr>
        <w:pStyle w:val="STPR2BulletsLevel1"/>
        <w:rPr>
          <w:lang w:eastAsia="en-US"/>
        </w:rPr>
      </w:pPr>
      <w:r>
        <w:rPr>
          <w:lang w:eastAsia="en-US"/>
        </w:rPr>
        <w:t>Support changing demographics by providing appropriate transport facilities to meet the diverse needs of different communities?</w:t>
      </w:r>
    </w:p>
    <w:p w14:paraId="59F44C02" w14:textId="4D027BA3" w:rsidR="00443094" w:rsidRDefault="00443094" w:rsidP="00443094">
      <w:pPr>
        <w:pStyle w:val="STPR2BulletsLevel1"/>
        <w:rPr>
          <w:lang w:eastAsia="en-US"/>
        </w:rPr>
      </w:pPr>
      <w:r>
        <w:rPr>
          <w:lang w:eastAsia="en-US"/>
        </w:rPr>
        <w:t>Support the removal of barriers to travel and the improvement of access to travel for disabled people?</w:t>
      </w:r>
    </w:p>
    <w:p w14:paraId="0C14CA10" w14:textId="77AE4030" w:rsidR="00443094" w:rsidRDefault="00443094" w:rsidP="00443094">
      <w:pPr>
        <w:pStyle w:val="STPR2BulletsLevel1"/>
        <w:rPr>
          <w:lang w:eastAsia="en-US"/>
        </w:rPr>
      </w:pPr>
      <w:r>
        <w:rPr>
          <w:lang w:eastAsia="en-US"/>
        </w:rPr>
        <w:t xml:space="preserve">Reduce the likelihood of transport-related road accidents and casualties? </w:t>
      </w:r>
    </w:p>
    <w:p w14:paraId="1498796B" w14:textId="46B54A9E" w:rsidR="00443094" w:rsidRPr="00443094" w:rsidRDefault="00443094" w:rsidP="00443094">
      <w:pPr>
        <w:pStyle w:val="STPR2BodyText"/>
        <w:rPr>
          <w:b/>
          <w:bCs/>
          <w:lang w:eastAsia="en-US"/>
        </w:rPr>
      </w:pPr>
      <w:r w:rsidRPr="00443094">
        <w:rPr>
          <w:b/>
          <w:bCs/>
          <w:lang w:eastAsia="en-US"/>
        </w:rPr>
        <w:t>DEPRIVATION</w:t>
      </w:r>
    </w:p>
    <w:p w14:paraId="3876BACA" w14:textId="77777777" w:rsidR="00443094" w:rsidRDefault="00443094" w:rsidP="00443094">
      <w:pPr>
        <w:pStyle w:val="STPR2BodyText"/>
        <w:rPr>
          <w:lang w:eastAsia="en-US"/>
        </w:rPr>
      </w:pPr>
      <w:r>
        <w:rPr>
          <w:lang w:eastAsia="en-US"/>
        </w:rPr>
        <w:t>EqIA Objective</w:t>
      </w:r>
    </w:p>
    <w:p w14:paraId="3DE8A4B6" w14:textId="77777777" w:rsidR="00443094" w:rsidRDefault="00443094" w:rsidP="00443094">
      <w:pPr>
        <w:pStyle w:val="STPR2BodyText"/>
        <w:rPr>
          <w:lang w:eastAsia="en-US"/>
        </w:rPr>
      </w:pPr>
      <w:r>
        <w:rPr>
          <w:lang w:eastAsia="en-US"/>
        </w:rPr>
        <w:t>Deliver an accessible and affordable transport system reduces inequalities of outcome resulting from multiple deprivation and supports the regeneration of disadvantaged or deprived areas.</w:t>
      </w:r>
    </w:p>
    <w:p w14:paraId="21039EFA" w14:textId="77777777" w:rsidR="00443094" w:rsidRDefault="00443094" w:rsidP="00443094">
      <w:pPr>
        <w:pStyle w:val="STPR2BodyText"/>
        <w:rPr>
          <w:lang w:eastAsia="en-US"/>
        </w:rPr>
      </w:pPr>
      <w:r>
        <w:rPr>
          <w:lang w:eastAsia="en-US"/>
        </w:rPr>
        <w:t>Guide Questions – Will the option/ intervention/ package….</w:t>
      </w:r>
    </w:p>
    <w:p w14:paraId="22F6B3E4" w14:textId="6AE93217" w:rsidR="00443094" w:rsidRDefault="00443094" w:rsidP="00443094">
      <w:pPr>
        <w:pStyle w:val="STPR2BulletsLevel1"/>
        <w:rPr>
          <w:lang w:eastAsia="en-US"/>
        </w:rPr>
      </w:pPr>
      <w:r>
        <w:rPr>
          <w:lang w:eastAsia="en-US"/>
        </w:rPr>
        <w:t>Help to reduce disparities in outcomes between the most and the least deprived areas?</w:t>
      </w:r>
    </w:p>
    <w:p w14:paraId="6D5FE7D9" w14:textId="49775237" w:rsidR="00443094" w:rsidRDefault="00443094" w:rsidP="00443094">
      <w:pPr>
        <w:pStyle w:val="STPR2BulletsLevel1"/>
        <w:rPr>
          <w:lang w:eastAsia="en-US"/>
        </w:rPr>
      </w:pPr>
      <w:r>
        <w:rPr>
          <w:lang w:eastAsia="en-US"/>
        </w:rPr>
        <w:t>Help to revitalise local economies by tackling unemployment and economic inactivity and promoting investment in deprived areas?</w:t>
      </w:r>
    </w:p>
    <w:p w14:paraId="134E6E9D" w14:textId="0A28080E" w:rsidR="00443094" w:rsidRDefault="00443094" w:rsidP="00443094">
      <w:pPr>
        <w:pStyle w:val="STPR2BulletsLevel1"/>
        <w:rPr>
          <w:lang w:eastAsia="en-US"/>
        </w:rPr>
      </w:pPr>
      <w:r>
        <w:rPr>
          <w:lang w:eastAsia="en-US"/>
        </w:rPr>
        <w:t>Support transport initiatives (including improved access) in deprived areas?</w:t>
      </w:r>
    </w:p>
    <w:p w14:paraId="42F63D66" w14:textId="22EFA0AB" w:rsidR="00443094" w:rsidRDefault="00443094" w:rsidP="00443094">
      <w:pPr>
        <w:pStyle w:val="STPR2BulletsLevel1"/>
        <w:rPr>
          <w:lang w:eastAsia="en-US"/>
        </w:rPr>
      </w:pPr>
      <w:r>
        <w:rPr>
          <w:lang w:eastAsia="en-US"/>
        </w:rPr>
        <w:t>Support the regeneration of disadvantaged or deprived areas?</w:t>
      </w:r>
    </w:p>
    <w:p w14:paraId="7B9E4D04" w14:textId="6016A135" w:rsidR="00443094" w:rsidRDefault="00443094" w:rsidP="00443094">
      <w:pPr>
        <w:pStyle w:val="STPR2BulletsLevel1"/>
        <w:rPr>
          <w:lang w:eastAsia="en-US"/>
        </w:rPr>
      </w:pPr>
      <w:r>
        <w:rPr>
          <w:lang w:eastAsia="en-US"/>
        </w:rPr>
        <w:t>Support individuals and households to access basic goods and services?</w:t>
      </w:r>
    </w:p>
    <w:p w14:paraId="02FD7FED" w14:textId="51F93D7F" w:rsidR="00443094" w:rsidRDefault="00443094" w:rsidP="00443094">
      <w:pPr>
        <w:pStyle w:val="STPR2BulletsLevel1"/>
        <w:rPr>
          <w:lang w:eastAsia="en-US"/>
        </w:rPr>
      </w:pPr>
      <w:r>
        <w:rPr>
          <w:lang w:eastAsia="en-US"/>
        </w:rPr>
        <w:t>Help enable access to employment, training and key services in deprived areas?</w:t>
      </w:r>
    </w:p>
    <w:p w14:paraId="5221691C" w14:textId="13348701" w:rsidR="00443094" w:rsidRDefault="00443094" w:rsidP="00443094">
      <w:pPr>
        <w:pStyle w:val="STPR2BulletsLevel1"/>
        <w:rPr>
          <w:lang w:eastAsia="en-US"/>
        </w:rPr>
      </w:pPr>
      <w:r>
        <w:rPr>
          <w:lang w:eastAsia="en-US"/>
        </w:rPr>
        <w:t>Increase public transport accessibility, to enable access to employment, training and key services?</w:t>
      </w:r>
    </w:p>
    <w:p w14:paraId="66CA31FC" w14:textId="6C7837F5" w:rsidR="00443094" w:rsidRDefault="00443094" w:rsidP="00443094">
      <w:pPr>
        <w:pStyle w:val="STPR2BulletsLevel1"/>
        <w:rPr>
          <w:lang w:eastAsia="en-US"/>
        </w:rPr>
      </w:pPr>
      <w:r>
        <w:rPr>
          <w:lang w:eastAsia="en-US"/>
        </w:rPr>
        <w:t>Reduce cost related barriers to accessing and use of all transport modes?</w:t>
      </w:r>
    </w:p>
    <w:p w14:paraId="75EC8715" w14:textId="4C6FC513" w:rsidR="00443094" w:rsidRDefault="00443094" w:rsidP="00443094">
      <w:pPr>
        <w:pStyle w:val="STPR2BulletsLevel1"/>
        <w:rPr>
          <w:lang w:eastAsia="en-US"/>
        </w:rPr>
      </w:pPr>
      <w:r>
        <w:rPr>
          <w:lang w:eastAsia="en-US"/>
        </w:rPr>
        <w:t>Reduce the impacts of climate change on the most vulnerable groups?</w:t>
      </w:r>
    </w:p>
    <w:p w14:paraId="0E07181C" w14:textId="37332F81" w:rsidR="00443094" w:rsidRPr="00443094" w:rsidRDefault="00443094" w:rsidP="004553B2">
      <w:pPr>
        <w:pStyle w:val="STPR2BodyText"/>
        <w:keepNext/>
        <w:keepLines/>
        <w:rPr>
          <w:b/>
          <w:bCs/>
          <w:lang w:eastAsia="en-US"/>
        </w:rPr>
      </w:pPr>
      <w:r w:rsidRPr="00443094">
        <w:rPr>
          <w:b/>
          <w:bCs/>
          <w:lang w:eastAsia="en-US"/>
        </w:rPr>
        <w:lastRenderedPageBreak/>
        <w:t>EMPLOYMENT</w:t>
      </w:r>
    </w:p>
    <w:p w14:paraId="413497CE" w14:textId="77777777" w:rsidR="00443094" w:rsidRDefault="00443094" w:rsidP="004553B2">
      <w:pPr>
        <w:pStyle w:val="STPR2BodyText"/>
        <w:keepNext/>
        <w:keepLines/>
        <w:rPr>
          <w:lang w:eastAsia="en-US"/>
        </w:rPr>
      </w:pPr>
      <w:r>
        <w:rPr>
          <w:lang w:eastAsia="en-US"/>
        </w:rPr>
        <w:t>EqIA Objective</w:t>
      </w:r>
    </w:p>
    <w:p w14:paraId="19B08511" w14:textId="77777777" w:rsidR="00443094" w:rsidRDefault="00443094" w:rsidP="004553B2">
      <w:pPr>
        <w:pStyle w:val="STPR2BodyText"/>
        <w:keepNext/>
        <w:keepLines/>
        <w:rPr>
          <w:lang w:eastAsia="en-US"/>
        </w:rPr>
      </w:pPr>
      <w:r>
        <w:rPr>
          <w:lang w:eastAsia="en-US"/>
        </w:rPr>
        <w:t>Deliver an effective and integrated transport system that improves access to employment and economic opportunities for all.</w:t>
      </w:r>
    </w:p>
    <w:p w14:paraId="23ED9EBD" w14:textId="77777777" w:rsidR="00443094" w:rsidRDefault="00443094" w:rsidP="00443094">
      <w:pPr>
        <w:pStyle w:val="STPR2BodyText"/>
        <w:rPr>
          <w:lang w:eastAsia="en-US"/>
        </w:rPr>
      </w:pPr>
      <w:r>
        <w:rPr>
          <w:lang w:eastAsia="en-US"/>
        </w:rPr>
        <w:t>Guide Questions – Will the option/ intervention/ package….</w:t>
      </w:r>
    </w:p>
    <w:p w14:paraId="6DEF9006" w14:textId="1CF177E6" w:rsidR="00443094" w:rsidRDefault="00443094" w:rsidP="00443094">
      <w:pPr>
        <w:pStyle w:val="STPR2BulletsLevel1"/>
        <w:rPr>
          <w:lang w:eastAsia="en-US"/>
        </w:rPr>
      </w:pPr>
      <w:r>
        <w:rPr>
          <w:lang w:eastAsia="en-US"/>
        </w:rPr>
        <w:t xml:space="preserve">Increase access to suitable transport infrastructure and provision that meets the demands of a changing workforce? </w:t>
      </w:r>
    </w:p>
    <w:p w14:paraId="1A752E71" w14:textId="46E2C0F3" w:rsidR="00443094" w:rsidRDefault="00443094" w:rsidP="00443094">
      <w:pPr>
        <w:pStyle w:val="STPR2BulletsLevel1"/>
        <w:rPr>
          <w:lang w:eastAsia="en-US"/>
        </w:rPr>
      </w:pPr>
      <w:r>
        <w:rPr>
          <w:lang w:eastAsia="en-US"/>
        </w:rPr>
        <w:t>Provide employment opportunities in the most deprived areas, particularly to disadvantaged groups?</w:t>
      </w:r>
    </w:p>
    <w:p w14:paraId="1C836D0F" w14:textId="3108EED5" w:rsidR="00443094" w:rsidRDefault="00443094" w:rsidP="00443094">
      <w:pPr>
        <w:pStyle w:val="STPR2BulletsLevel1"/>
        <w:rPr>
          <w:lang w:eastAsia="en-US"/>
        </w:rPr>
      </w:pPr>
      <w:r>
        <w:rPr>
          <w:lang w:eastAsia="en-US"/>
        </w:rPr>
        <w:t xml:space="preserve">Address structural disadvantages relating to employment deprivation that disproportionally impacts socio-economically disadvantaged groups, including older people. disabled people, women and ethnic minorities? </w:t>
      </w:r>
    </w:p>
    <w:p w14:paraId="78FBA147" w14:textId="39DD603D" w:rsidR="00443094" w:rsidRDefault="00443094" w:rsidP="00443094">
      <w:pPr>
        <w:pStyle w:val="STPR2BulletsLevel1"/>
        <w:rPr>
          <w:lang w:eastAsia="en-US"/>
        </w:rPr>
      </w:pPr>
      <w:r>
        <w:rPr>
          <w:lang w:eastAsia="en-US"/>
        </w:rPr>
        <w:t>Enable young people, particularly NEETs, to access employment?</w:t>
      </w:r>
    </w:p>
    <w:p w14:paraId="68670FE9" w14:textId="006A4EF1" w:rsidR="00443094" w:rsidRDefault="00443094" w:rsidP="00443094">
      <w:pPr>
        <w:pStyle w:val="STPR2BulletsLevel1"/>
        <w:rPr>
          <w:lang w:eastAsia="en-US"/>
        </w:rPr>
      </w:pPr>
      <w:r>
        <w:rPr>
          <w:lang w:eastAsia="en-US"/>
        </w:rPr>
        <w:t>Enable older people and people with physical and mental health conditions and disabilities to stay in employment?</w:t>
      </w:r>
    </w:p>
    <w:p w14:paraId="54DA45DE" w14:textId="245DC3F1" w:rsidR="00443094" w:rsidRDefault="00443094" w:rsidP="00443094">
      <w:pPr>
        <w:pStyle w:val="STPR2BulletsLevel1"/>
        <w:rPr>
          <w:lang w:eastAsia="en-US"/>
        </w:rPr>
      </w:pPr>
      <w:r>
        <w:rPr>
          <w:lang w:eastAsia="en-US"/>
        </w:rPr>
        <w:t>Increase access to employment opportunities for individuals with limited resources, in deprived areas in rural/remote communities?</w:t>
      </w:r>
    </w:p>
    <w:p w14:paraId="54B748E3" w14:textId="0F83E44A" w:rsidR="00443094" w:rsidRPr="00443094" w:rsidRDefault="00443094" w:rsidP="00443094">
      <w:pPr>
        <w:pStyle w:val="STPR2BodyText"/>
        <w:rPr>
          <w:b/>
          <w:bCs/>
          <w:lang w:eastAsia="en-US"/>
        </w:rPr>
      </w:pPr>
      <w:r w:rsidRPr="00443094">
        <w:rPr>
          <w:b/>
          <w:bCs/>
          <w:lang w:eastAsia="en-US"/>
        </w:rPr>
        <w:t>INCOME AND WEALTH</w:t>
      </w:r>
    </w:p>
    <w:p w14:paraId="1674143E" w14:textId="13D79B0F" w:rsidR="00443094" w:rsidRDefault="00443094" w:rsidP="00443094">
      <w:pPr>
        <w:pStyle w:val="STPR2BodyText"/>
        <w:rPr>
          <w:lang w:eastAsia="en-US"/>
        </w:rPr>
      </w:pPr>
      <w:r>
        <w:rPr>
          <w:lang w:eastAsia="en-US"/>
        </w:rPr>
        <w:t>EqIA Objective</w:t>
      </w:r>
    </w:p>
    <w:p w14:paraId="7E3957F3" w14:textId="77777777" w:rsidR="00443094" w:rsidRDefault="00443094" w:rsidP="00443094">
      <w:pPr>
        <w:pStyle w:val="STPR2BodyText"/>
        <w:rPr>
          <w:lang w:eastAsia="en-US"/>
        </w:rPr>
      </w:pPr>
      <w:r>
        <w:rPr>
          <w:lang w:eastAsia="en-US"/>
        </w:rPr>
        <w:t>Deliver an effective and integrated transport system which promotes economic opportunity for all.</w:t>
      </w:r>
    </w:p>
    <w:p w14:paraId="78F005C7" w14:textId="77777777" w:rsidR="00443094" w:rsidRDefault="00443094" w:rsidP="00443094">
      <w:pPr>
        <w:pStyle w:val="STPR2BodyText"/>
        <w:rPr>
          <w:lang w:eastAsia="en-US"/>
        </w:rPr>
      </w:pPr>
      <w:r>
        <w:rPr>
          <w:lang w:eastAsia="en-US"/>
        </w:rPr>
        <w:t>Guide Questions – Will the option/ intervention/ package….</w:t>
      </w:r>
    </w:p>
    <w:p w14:paraId="2B1A90EA" w14:textId="246362F2" w:rsidR="00443094" w:rsidRDefault="00443094" w:rsidP="00443094">
      <w:pPr>
        <w:pStyle w:val="STPR2BulletsLevel1"/>
        <w:rPr>
          <w:lang w:eastAsia="en-US"/>
        </w:rPr>
      </w:pPr>
      <w:r>
        <w:rPr>
          <w:lang w:eastAsia="en-US"/>
        </w:rPr>
        <w:t>Support a diverse and resilient economy that provides opportunities for all and promote regeneration?</w:t>
      </w:r>
    </w:p>
    <w:p w14:paraId="353630F5" w14:textId="5205C934" w:rsidR="00443094" w:rsidRDefault="00443094" w:rsidP="00443094">
      <w:pPr>
        <w:pStyle w:val="STPR2BulletsLevel1"/>
        <w:rPr>
          <w:lang w:eastAsia="en-US"/>
        </w:rPr>
      </w:pPr>
      <w:r>
        <w:rPr>
          <w:lang w:eastAsia="en-US"/>
        </w:rPr>
        <w:t>Help to narrow the gaps between economic growth rates for different areas by ensuring that transport does not act as a barrier to opportunity?</w:t>
      </w:r>
    </w:p>
    <w:p w14:paraId="7B00F992" w14:textId="797995B9" w:rsidR="00443094" w:rsidRDefault="00443094" w:rsidP="00443094">
      <w:pPr>
        <w:pStyle w:val="STPR2BulletsLevel1"/>
        <w:rPr>
          <w:lang w:eastAsia="en-US"/>
        </w:rPr>
      </w:pPr>
      <w:r>
        <w:rPr>
          <w:lang w:eastAsia="en-US"/>
        </w:rPr>
        <w:t>Help to reduce levels of absolute and relative income poverty?</w:t>
      </w:r>
    </w:p>
    <w:p w14:paraId="6F735CAF" w14:textId="4195045F" w:rsidR="00443094" w:rsidRDefault="00443094" w:rsidP="00443094">
      <w:pPr>
        <w:pStyle w:val="STPR2BulletsLevel1"/>
        <w:rPr>
          <w:lang w:eastAsia="en-US"/>
        </w:rPr>
      </w:pPr>
      <w:r>
        <w:rPr>
          <w:lang w:eastAsia="en-US"/>
        </w:rPr>
        <w:t xml:space="preserve">Help to reduce inequality in the distribution of household wealth? </w:t>
      </w:r>
    </w:p>
    <w:p w14:paraId="37B78F26" w14:textId="1C6A0AC3" w:rsidR="00443094" w:rsidRDefault="00443094" w:rsidP="00443094">
      <w:pPr>
        <w:pStyle w:val="STPR2BulletsLevel1"/>
        <w:rPr>
          <w:lang w:eastAsia="en-US"/>
        </w:rPr>
      </w:pPr>
      <w:r>
        <w:rPr>
          <w:lang w:eastAsia="en-US"/>
        </w:rPr>
        <w:t>Address structural disadvantages relating to income deprivation that disproportionally impacts socio-economically disadvantaged groups, including disabled people, women and specific ethnic groups?</w:t>
      </w:r>
    </w:p>
    <w:p w14:paraId="17FB7C19" w14:textId="5C283A6C" w:rsidR="00443094" w:rsidRPr="00443094" w:rsidRDefault="00443094" w:rsidP="00443094">
      <w:pPr>
        <w:pStyle w:val="STPR2BodyText"/>
        <w:rPr>
          <w:b/>
          <w:bCs/>
          <w:lang w:eastAsia="en-US"/>
        </w:rPr>
      </w:pPr>
      <w:r w:rsidRPr="00443094">
        <w:rPr>
          <w:b/>
          <w:bCs/>
          <w:lang w:eastAsia="en-US"/>
        </w:rPr>
        <w:t>EDUCATION AND SKILLS</w:t>
      </w:r>
    </w:p>
    <w:p w14:paraId="25D49603" w14:textId="77777777" w:rsidR="00443094" w:rsidRDefault="00443094" w:rsidP="00443094">
      <w:pPr>
        <w:pStyle w:val="STPR2BodyText"/>
        <w:rPr>
          <w:lang w:eastAsia="en-US"/>
        </w:rPr>
      </w:pPr>
      <w:r>
        <w:rPr>
          <w:lang w:eastAsia="en-US"/>
        </w:rPr>
        <w:t>EqIA Objective</w:t>
      </w:r>
    </w:p>
    <w:p w14:paraId="678BBD24" w14:textId="77777777" w:rsidR="00443094" w:rsidRDefault="00443094" w:rsidP="00443094">
      <w:pPr>
        <w:pStyle w:val="STPR2BodyText"/>
        <w:rPr>
          <w:lang w:eastAsia="en-US"/>
        </w:rPr>
      </w:pPr>
      <w:r>
        <w:rPr>
          <w:lang w:eastAsia="en-US"/>
        </w:rPr>
        <w:t>Enhance education and training opportunities across Scotland and reduce socio-economic and geographic disparities in educational attainment.</w:t>
      </w:r>
    </w:p>
    <w:p w14:paraId="76E3F5ED" w14:textId="77777777" w:rsidR="00443094" w:rsidRDefault="00443094" w:rsidP="00443094">
      <w:pPr>
        <w:pStyle w:val="STPR2BodyText"/>
        <w:rPr>
          <w:lang w:eastAsia="en-US"/>
        </w:rPr>
      </w:pPr>
      <w:r>
        <w:rPr>
          <w:lang w:eastAsia="en-US"/>
        </w:rPr>
        <w:t>Guide Questions – Will the option/ intervention/ package….</w:t>
      </w:r>
    </w:p>
    <w:p w14:paraId="225E7BDC" w14:textId="26B81B9E" w:rsidR="00443094" w:rsidRDefault="00443094" w:rsidP="00443094">
      <w:pPr>
        <w:pStyle w:val="STPR2BulletsLevel1"/>
        <w:rPr>
          <w:lang w:eastAsia="en-US"/>
        </w:rPr>
      </w:pPr>
      <w:r>
        <w:rPr>
          <w:lang w:eastAsia="en-US"/>
        </w:rPr>
        <w:t>Enhance access to and opportunities for education and lifelong learning, particularly for those facing socio-economic disadvantage?</w:t>
      </w:r>
    </w:p>
    <w:p w14:paraId="1DC27D04" w14:textId="70816EEE" w:rsidR="00443094" w:rsidRDefault="00443094" w:rsidP="00443094">
      <w:pPr>
        <w:pStyle w:val="STPR2BulletsLevel1"/>
        <w:rPr>
          <w:lang w:eastAsia="en-US"/>
        </w:rPr>
      </w:pPr>
      <w:r>
        <w:rPr>
          <w:lang w:eastAsia="en-US"/>
        </w:rPr>
        <w:t>Support increased provision and access of education and training opportunities in remote / rural areas, including island communities?</w:t>
      </w:r>
    </w:p>
    <w:p w14:paraId="4942D0FA" w14:textId="55DC3667" w:rsidR="00443094" w:rsidRPr="00443094" w:rsidRDefault="00443094" w:rsidP="00443094">
      <w:pPr>
        <w:pStyle w:val="STPR2BodyText"/>
        <w:rPr>
          <w:b/>
          <w:bCs/>
          <w:lang w:eastAsia="en-US"/>
        </w:rPr>
      </w:pPr>
      <w:r w:rsidRPr="00443094">
        <w:rPr>
          <w:b/>
          <w:bCs/>
          <w:lang w:eastAsia="en-US"/>
        </w:rPr>
        <w:lastRenderedPageBreak/>
        <w:t>HEALTH AND HEALTH INEQUALITY</w:t>
      </w:r>
    </w:p>
    <w:p w14:paraId="2357EE73" w14:textId="77777777" w:rsidR="00443094" w:rsidRDefault="00443094" w:rsidP="00443094">
      <w:pPr>
        <w:pStyle w:val="STPR2BodyText"/>
        <w:rPr>
          <w:lang w:eastAsia="en-US"/>
        </w:rPr>
      </w:pPr>
      <w:r>
        <w:rPr>
          <w:lang w:eastAsia="en-US"/>
        </w:rPr>
        <w:t>EqIA Objective</w:t>
      </w:r>
    </w:p>
    <w:p w14:paraId="7F636D44" w14:textId="77777777" w:rsidR="00443094" w:rsidRDefault="00443094" w:rsidP="00443094">
      <w:pPr>
        <w:pStyle w:val="STPR2BodyText"/>
        <w:rPr>
          <w:lang w:eastAsia="en-US"/>
        </w:rPr>
      </w:pPr>
      <w:r>
        <w:rPr>
          <w:lang w:eastAsia="en-US"/>
        </w:rPr>
        <w:t>Maintain, or provide opportunities to improve, human health for all demographic groups and communities across Scotland and minimise health inequalities.</w:t>
      </w:r>
    </w:p>
    <w:p w14:paraId="2463D273" w14:textId="77777777" w:rsidR="00443094" w:rsidRDefault="00443094" w:rsidP="00443094">
      <w:pPr>
        <w:pStyle w:val="STPR2BodyText"/>
        <w:rPr>
          <w:lang w:eastAsia="en-US"/>
        </w:rPr>
      </w:pPr>
      <w:r>
        <w:rPr>
          <w:lang w:eastAsia="en-US"/>
        </w:rPr>
        <w:t>Guide Questions – Will the option/ intervention/ package….</w:t>
      </w:r>
    </w:p>
    <w:p w14:paraId="248D4C49" w14:textId="581CFC1E" w:rsidR="00443094" w:rsidRDefault="00443094" w:rsidP="00443094">
      <w:pPr>
        <w:pStyle w:val="STPR2BulletsLevel1"/>
        <w:rPr>
          <w:lang w:eastAsia="en-US"/>
        </w:rPr>
      </w:pPr>
      <w:r>
        <w:rPr>
          <w:lang w:eastAsia="en-US"/>
        </w:rPr>
        <w:t>Ensure that the provision of transport infrastructure is managed and delivered to meet local population and demographic change. This includes providing infrastructure that maximises accessibility for all and connects residents in both urban and rural areas to key services.</w:t>
      </w:r>
    </w:p>
    <w:p w14:paraId="5BB4636F" w14:textId="2C4D2229" w:rsidR="00443094" w:rsidRDefault="00443094" w:rsidP="00443094">
      <w:pPr>
        <w:pStyle w:val="STPR2BulletsLevel1"/>
        <w:rPr>
          <w:lang w:eastAsia="en-US"/>
        </w:rPr>
      </w:pPr>
      <w:r>
        <w:rPr>
          <w:lang w:eastAsia="en-US"/>
        </w:rPr>
        <w:t>Improve access to healthcare, in particular for those with protected characteristics and demographic groups facing structural inequalities?</w:t>
      </w:r>
    </w:p>
    <w:p w14:paraId="32578E23" w14:textId="776C8DE8" w:rsidR="00443094" w:rsidRDefault="00443094" w:rsidP="00443094">
      <w:pPr>
        <w:pStyle w:val="STPR2BulletsLevel1"/>
        <w:rPr>
          <w:lang w:eastAsia="en-US"/>
        </w:rPr>
      </w:pPr>
      <w:r>
        <w:rPr>
          <w:lang w:eastAsia="en-US"/>
        </w:rPr>
        <w:t>Reduce car dependencies and provide opportunities to improve physical and mental health, in particular through active travel and increased access to public transport?</w:t>
      </w:r>
    </w:p>
    <w:p w14:paraId="63F4B55F" w14:textId="7A3C3F07" w:rsidR="00443094" w:rsidRDefault="00443094" w:rsidP="00443094">
      <w:pPr>
        <w:pStyle w:val="STPR2BulletsLevel1"/>
        <w:rPr>
          <w:lang w:eastAsia="en-US"/>
        </w:rPr>
      </w:pPr>
      <w:r>
        <w:rPr>
          <w:lang w:eastAsia="en-US"/>
        </w:rPr>
        <w:t>Improve accessibility to open spaces, and sports facilities for physical recreation, in particular for those facing socio-economic disadvantage?</w:t>
      </w:r>
    </w:p>
    <w:p w14:paraId="3DDEE37D" w14:textId="7209E155" w:rsidR="00443094" w:rsidRDefault="00443094" w:rsidP="00443094">
      <w:pPr>
        <w:pStyle w:val="STPR2BulletsLevel1"/>
        <w:rPr>
          <w:lang w:eastAsia="en-US"/>
        </w:rPr>
      </w:pPr>
      <w:r>
        <w:rPr>
          <w:lang w:eastAsia="en-US"/>
        </w:rPr>
        <w:t>Reduce exposure to air pollution, particularly for the most vulnerable?</w:t>
      </w:r>
    </w:p>
    <w:p w14:paraId="2ACA146B" w14:textId="2E88353E" w:rsidR="00443094" w:rsidRDefault="00443094" w:rsidP="00443094">
      <w:pPr>
        <w:pStyle w:val="STPR2BulletsLevel1"/>
        <w:rPr>
          <w:lang w:eastAsia="en-US"/>
        </w:rPr>
      </w:pPr>
      <w:r>
        <w:rPr>
          <w:lang w:eastAsia="en-US"/>
        </w:rPr>
        <w:t>Reduce inequalities of access to clean air, particularly for those in deprived</w:t>
      </w:r>
      <w:r w:rsidR="00DC4CAC">
        <w:rPr>
          <w:lang w:eastAsia="en-US"/>
        </w:rPr>
        <w:t> </w:t>
      </w:r>
      <w:r>
        <w:rPr>
          <w:lang w:eastAsia="en-US"/>
        </w:rPr>
        <w:t>communities?</w:t>
      </w:r>
    </w:p>
    <w:p w14:paraId="257E16D4" w14:textId="4315DBB9" w:rsidR="00443094" w:rsidRDefault="00443094" w:rsidP="00443094">
      <w:pPr>
        <w:pStyle w:val="STPR2BulletsLevel1"/>
        <w:rPr>
          <w:lang w:eastAsia="en-US"/>
        </w:rPr>
      </w:pPr>
      <w:r>
        <w:rPr>
          <w:lang w:eastAsia="en-US"/>
        </w:rPr>
        <w:t>Promote the provision of safe pedestrian and cycle access links, in particular for those facing socio-economic disadvantage?</w:t>
      </w:r>
    </w:p>
    <w:p w14:paraId="713E8134" w14:textId="27DF8005" w:rsidR="00443094" w:rsidRPr="00443094" w:rsidRDefault="00443094" w:rsidP="00443094">
      <w:pPr>
        <w:pStyle w:val="STPR2BodyText"/>
        <w:rPr>
          <w:b/>
          <w:bCs/>
          <w:lang w:eastAsia="en-US"/>
        </w:rPr>
      </w:pPr>
      <w:r w:rsidRPr="00443094">
        <w:rPr>
          <w:b/>
          <w:bCs/>
          <w:lang w:eastAsia="en-US"/>
        </w:rPr>
        <w:t>TRANSPORT ACCESSIBILITY AND CONNECTIVITY</w:t>
      </w:r>
    </w:p>
    <w:p w14:paraId="05EF9EF5" w14:textId="77777777" w:rsidR="00443094" w:rsidRDefault="00443094" w:rsidP="00443094">
      <w:pPr>
        <w:pStyle w:val="STPR2BodyText"/>
        <w:rPr>
          <w:lang w:eastAsia="en-US"/>
        </w:rPr>
      </w:pPr>
      <w:r>
        <w:rPr>
          <w:lang w:eastAsia="en-US"/>
        </w:rPr>
        <w:t>EqIA Objective</w:t>
      </w:r>
    </w:p>
    <w:p w14:paraId="54B1C23E" w14:textId="77777777" w:rsidR="00443094" w:rsidRDefault="00443094" w:rsidP="00443094">
      <w:pPr>
        <w:pStyle w:val="STPR2BodyText"/>
        <w:rPr>
          <w:lang w:eastAsia="en-US"/>
        </w:rPr>
      </w:pPr>
      <w:r>
        <w:rPr>
          <w:lang w:eastAsia="en-US"/>
        </w:rPr>
        <w:t>Ensure the provision of adequate and affordable transport infrastructure, services and facilities to meet identified population and economic needs and minimise barriers to travel for all people, in particular those facing socio-economic disadvantage.</w:t>
      </w:r>
    </w:p>
    <w:p w14:paraId="4275A8ED" w14:textId="77777777" w:rsidR="00443094" w:rsidRDefault="00443094" w:rsidP="00443094">
      <w:pPr>
        <w:pStyle w:val="STPR2BodyText"/>
        <w:rPr>
          <w:lang w:eastAsia="en-US"/>
        </w:rPr>
      </w:pPr>
      <w:r>
        <w:rPr>
          <w:lang w:eastAsia="en-US"/>
        </w:rPr>
        <w:t>Guide Questions – Will the option/ intervention/ package….</w:t>
      </w:r>
    </w:p>
    <w:p w14:paraId="36DE7539" w14:textId="303F6C71" w:rsidR="00443094" w:rsidRDefault="00443094" w:rsidP="00443094">
      <w:pPr>
        <w:pStyle w:val="STPR2BulletsLevel1"/>
        <w:rPr>
          <w:lang w:eastAsia="en-US"/>
        </w:rPr>
      </w:pPr>
      <w:r>
        <w:rPr>
          <w:lang w:eastAsia="en-US"/>
        </w:rPr>
        <w:t>Support the provision of adequate transport infrastructure, services and facilities to meet identified population and economic needs, in particular disabled people and those facing socio-economic disadvantage?</w:t>
      </w:r>
    </w:p>
    <w:p w14:paraId="0F43DF7B" w14:textId="532C93C6" w:rsidR="00443094" w:rsidRDefault="00443094" w:rsidP="00443094">
      <w:pPr>
        <w:pStyle w:val="STPR2BulletsLevel1"/>
        <w:rPr>
          <w:lang w:eastAsia="en-US"/>
        </w:rPr>
      </w:pPr>
      <w:r>
        <w:rPr>
          <w:lang w:eastAsia="en-US"/>
        </w:rPr>
        <w:t>Support all individuals and households, including protected characteristics, in accessing basic goods and services?</w:t>
      </w:r>
    </w:p>
    <w:p w14:paraId="39E12802" w14:textId="3B43B7DB" w:rsidR="00443094" w:rsidRDefault="00443094" w:rsidP="00443094">
      <w:pPr>
        <w:pStyle w:val="STPR2BulletsLevel1"/>
        <w:rPr>
          <w:lang w:eastAsia="en-US"/>
        </w:rPr>
      </w:pPr>
      <w:r>
        <w:rPr>
          <w:lang w:eastAsia="en-US"/>
        </w:rPr>
        <w:t xml:space="preserve">Provide affordable access to public services and key amenities for all? </w:t>
      </w:r>
    </w:p>
    <w:p w14:paraId="0DC8A2A8" w14:textId="1AEEE00C" w:rsidR="00443094" w:rsidRDefault="00443094" w:rsidP="00443094">
      <w:pPr>
        <w:pStyle w:val="STPR2BulletsLevel1"/>
        <w:rPr>
          <w:lang w:eastAsia="en-US"/>
        </w:rPr>
      </w:pPr>
      <w:r>
        <w:rPr>
          <w:lang w:eastAsia="en-US"/>
        </w:rPr>
        <w:t xml:space="preserve">Reduce cost related barriers to accessing and use of all transport modes? </w:t>
      </w:r>
    </w:p>
    <w:p w14:paraId="6514B6E9" w14:textId="3E8E65BA" w:rsidR="00443094" w:rsidRDefault="00443094" w:rsidP="00443094">
      <w:pPr>
        <w:pStyle w:val="STPR2BulletsLevel1"/>
        <w:rPr>
          <w:lang w:eastAsia="en-US"/>
        </w:rPr>
      </w:pPr>
      <w:r>
        <w:rPr>
          <w:lang w:eastAsia="en-US"/>
        </w:rPr>
        <w:t>Support access to active travel and public transport particularly amongst children and young people?</w:t>
      </w:r>
    </w:p>
    <w:p w14:paraId="66B9E51B" w14:textId="0F24BEE5" w:rsidR="00443094" w:rsidRDefault="00443094" w:rsidP="00443094">
      <w:pPr>
        <w:pStyle w:val="STPR2BulletsLevel1"/>
        <w:rPr>
          <w:lang w:eastAsia="en-US"/>
        </w:rPr>
      </w:pPr>
      <w:r>
        <w:rPr>
          <w:lang w:eastAsia="en-US"/>
        </w:rPr>
        <w:t>Support access to transport, particularly public transport, in rural and remote areas, including island communities?</w:t>
      </w:r>
    </w:p>
    <w:p w14:paraId="04971C32" w14:textId="006AA1F8" w:rsidR="00443094" w:rsidRDefault="00443094" w:rsidP="00443094">
      <w:pPr>
        <w:pStyle w:val="STPR2BulletsLevel1"/>
        <w:rPr>
          <w:lang w:eastAsia="en-US"/>
        </w:rPr>
      </w:pPr>
      <w:r>
        <w:rPr>
          <w:lang w:eastAsia="en-US"/>
        </w:rPr>
        <w:t>Improve connectivity between rural and urban areas and key services?</w:t>
      </w:r>
    </w:p>
    <w:p w14:paraId="34216668" w14:textId="0F7DB03F" w:rsidR="00443094" w:rsidRDefault="00443094" w:rsidP="00443094">
      <w:pPr>
        <w:pStyle w:val="STPR2BulletsLevel1"/>
        <w:rPr>
          <w:lang w:eastAsia="en-US"/>
        </w:rPr>
      </w:pPr>
      <w:r>
        <w:rPr>
          <w:lang w:eastAsia="en-US"/>
        </w:rPr>
        <w:t>Improve accessibility to open spaces and the outdoor environment, in particular for those facing socio-economic disadvantage?</w:t>
      </w:r>
    </w:p>
    <w:p w14:paraId="00627F1F" w14:textId="2DDEF17D" w:rsidR="00443094" w:rsidRDefault="00443094" w:rsidP="00443094">
      <w:pPr>
        <w:pStyle w:val="STPR2BulletsLevel1"/>
        <w:rPr>
          <w:lang w:eastAsia="en-US"/>
        </w:rPr>
      </w:pPr>
      <w:r>
        <w:rPr>
          <w:lang w:eastAsia="en-US"/>
        </w:rPr>
        <w:t>Support the regeneration of disadvantaged or deprived areas?</w:t>
      </w:r>
    </w:p>
    <w:p w14:paraId="5DB38BD8" w14:textId="68D50639" w:rsidR="00443094" w:rsidRPr="00443094" w:rsidRDefault="00443094" w:rsidP="00DC4CAC">
      <w:pPr>
        <w:pStyle w:val="STPR2BodyText"/>
        <w:keepNext/>
        <w:keepLines/>
        <w:rPr>
          <w:b/>
          <w:bCs/>
          <w:lang w:eastAsia="en-US"/>
        </w:rPr>
      </w:pPr>
      <w:r w:rsidRPr="00443094">
        <w:rPr>
          <w:b/>
          <w:bCs/>
          <w:lang w:eastAsia="en-US"/>
        </w:rPr>
        <w:lastRenderedPageBreak/>
        <w:t>SAFETY AND SECURITY</w:t>
      </w:r>
    </w:p>
    <w:p w14:paraId="4C08D787" w14:textId="77777777" w:rsidR="00443094" w:rsidRDefault="00443094" w:rsidP="00443094">
      <w:pPr>
        <w:pStyle w:val="STPR2BodyText"/>
        <w:rPr>
          <w:lang w:eastAsia="en-US"/>
        </w:rPr>
      </w:pPr>
      <w:r>
        <w:rPr>
          <w:lang w:eastAsia="en-US"/>
        </w:rPr>
        <w:t>EqIA Objective</w:t>
      </w:r>
    </w:p>
    <w:p w14:paraId="0A413A27" w14:textId="77777777" w:rsidR="00443094" w:rsidRDefault="00443094" w:rsidP="00443094">
      <w:pPr>
        <w:pStyle w:val="STPR2BodyText"/>
        <w:rPr>
          <w:lang w:eastAsia="en-US"/>
        </w:rPr>
      </w:pPr>
      <w:r>
        <w:rPr>
          <w:lang w:eastAsia="en-US"/>
        </w:rPr>
        <w:t>Improve the safety, security and health of people by reducing the risk of death, injury or illness arising from transport, and by promoting travel modes that are beneficial to health.</w:t>
      </w:r>
    </w:p>
    <w:p w14:paraId="0360910F" w14:textId="77777777" w:rsidR="00443094" w:rsidRDefault="00443094" w:rsidP="00443094">
      <w:pPr>
        <w:pStyle w:val="STPR2BodyText"/>
        <w:rPr>
          <w:lang w:eastAsia="en-US"/>
        </w:rPr>
      </w:pPr>
      <w:r>
        <w:rPr>
          <w:lang w:eastAsia="en-US"/>
        </w:rPr>
        <w:t>Guide Questions – Will the option/ intervention/ package….</w:t>
      </w:r>
    </w:p>
    <w:p w14:paraId="2AA9AA57" w14:textId="68929AAA" w:rsidR="00443094" w:rsidRDefault="00443094" w:rsidP="00443094">
      <w:pPr>
        <w:pStyle w:val="STPR2BulletsLevel1"/>
        <w:rPr>
          <w:lang w:eastAsia="en-US"/>
        </w:rPr>
      </w:pPr>
      <w:r>
        <w:rPr>
          <w:lang w:eastAsia="en-US"/>
        </w:rPr>
        <w:t>Develop safe and convenient transport networks, including safe pedestrian and cycle access links, to help improve overall access?</w:t>
      </w:r>
    </w:p>
    <w:p w14:paraId="49F8A6CB" w14:textId="37B7FA2B" w:rsidR="00443094" w:rsidRDefault="00443094" w:rsidP="00443094">
      <w:pPr>
        <w:pStyle w:val="STPR2BulletsLevel1"/>
        <w:rPr>
          <w:lang w:eastAsia="en-US"/>
        </w:rPr>
      </w:pPr>
      <w:r>
        <w:rPr>
          <w:lang w:eastAsia="en-US"/>
        </w:rPr>
        <w:t>Reduce the likelihood of transport-related road accidents and casualties, particularly for children and young people in deprived areas?</w:t>
      </w:r>
    </w:p>
    <w:p w14:paraId="632395C2" w14:textId="7B4806AE" w:rsidR="00443094" w:rsidRPr="00443094" w:rsidRDefault="00443094" w:rsidP="00443094">
      <w:pPr>
        <w:pStyle w:val="STPR2BodyText"/>
        <w:rPr>
          <w:b/>
          <w:bCs/>
          <w:lang w:eastAsia="en-US"/>
        </w:rPr>
      </w:pPr>
      <w:r w:rsidRPr="00443094">
        <w:rPr>
          <w:b/>
          <w:bCs/>
          <w:lang w:eastAsia="en-US"/>
        </w:rPr>
        <w:t>CHILDREN AND YOUNG PEOPLE</w:t>
      </w:r>
    </w:p>
    <w:p w14:paraId="67350F69" w14:textId="77777777" w:rsidR="00443094" w:rsidRDefault="00443094" w:rsidP="00443094">
      <w:pPr>
        <w:pStyle w:val="STPR2BodyText"/>
        <w:rPr>
          <w:lang w:eastAsia="en-US"/>
        </w:rPr>
      </w:pPr>
      <w:r>
        <w:rPr>
          <w:lang w:eastAsia="en-US"/>
        </w:rPr>
        <w:t>EqIA Objective</w:t>
      </w:r>
    </w:p>
    <w:p w14:paraId="799D2A79" w14:textId="77777777" w:rsidR="00443094" w:rsidRDefault="00443094" w:rsidP="00443094">
      <w:pPr>
        <w:pStyle w:val="STPR2BodyText"/>
        <w:rPr>
          <w:lang w:eastAsia="en-US"/>
        </w:rPr>
      </w:pPr>
      <w:r>
        <w:rPr>
          <w:lang w:eastAsia="en-US"/>
        </w:rPr>
        <w:t>Safeguard the rights of children and allow young people to reach their full potential. (This objective provides coverage of child rights and wellbeing duties).</w:t>
      </w:r>
    </w:p>
    <w:p w14:paraId="1D73636A" w14:textId="77777777" w:rsidR="00443094" w:rsidRDefault="00443094" w:rsidP="00443094">
      <w:pPr>
        <w:pStyle w:val="STPR2BodyText"/>
        <w:rPr>
          <w:lang w:eastAsia="en-US"/>
        </w:rPr>
      </w:pPr>
      <w:r>
        <w:rPr>
          <w:lang w:eastAsia="en-US"/>
        </w:rPr>
        <w:t>Guide Questions – Will the option/ intervention/ package….</w:t>
      </w:r>
    </w:p>
    <w:p w14:paraId="6EB98BEF" w14:textId="0FB7B3CF" w:rsidR="00443094" w:rsidRPr="00DC4CAC" w:rsidRDefault="00443094" w:rsidP="00DC4CAC">
      <w:pPr>
        <w:pStyle w:val="STPR2BulletsLevel1"/>
      </w:pPr>
      <w:r>
        <w:rPr>
          <w:lang w:eastAsia="en-US"/>
        </w:rPr>
        <w:t xml:space="preserve">How </w:t>
      </w:r>
      <w:r w:rsidRPr="00DC4CAC">
        <w:t>does the intervention relate to, promote, or inhibit the provisions of the UNCRC, other relevant international treaties and standards, or domestic law?</w:t>
      </w:r>
    </w:p>
    <w:p w14:paraId="5F3A3307" w14:textId="29C188B6" w:rsidR="00443094" w:rsidRPr="00DC4CAC" w:rsidRDefault="00443094" w:rsidP="00DC4CAC">
      <w:pPr>
        <w:pStyle w:val="STPR2BulletsLevel1"/>
      </w:pPr>
      <w:r w:rsidRPr="00DC4CAC">
        <w:t>Have children and young people been consulted on the intervention?</w:t>
      </w:r>
    </w:p>
    <w:p w14:paraId="56C48043" w14:textId="3CCB6946" w:rsidR="00443094" w:rsidRPr="00DC4CAC" w:rsidRDefault="00443094" w:rsidP="00DC4CAC">
      <w:pPr>
        <w:pStyle w:val="STPR2BulletsLevel1"/>
      </w:pPr>
      <w:r w:rsidRPr="00DC4CAC">
        <w:t>What impact will or might the intervention have on the rights of children and young people?</w:t>
      </w:r>
    </w:p>
    <w:p w14:paraId="4B7979AF" w14:textId="0AA93EC1" w:rsidR="00443094" w:rsidRPr="00DC4CAC" w:rsidRDefault="00443094" w:rsidP="00DC4CAC">
      <w:pPr>
        <w:pStyle w:val="STPR2BulletsLevel1"/>
      </w:pPr>
      <w:r w:rsidRPr="00DC4CAC">
        <w:t>Will the rights of one group of children in particular be affected, and to what extent?</w:t>
      </w:r>
    </w:p>
    <w:p w14:paraId="0E3E0545" w14:textId="587A6638" w:rsidR="00443094" w:rsidRPr="00DC4CAC" w:rsidRDefault="00443094" w:rsidP="00DC4CAC">
      <w:pPr>
        <w:pStyle w:val="STPR2BulletsLevel1"/>
      </w:pPr>
      <w:r w:rsidRPr="00DC4CAC">
        <w:t>Are there competing interests between the groups of children, or between children and other groups, who would be affected by the intervention?</w:t>
      </w:r>
    </w:p>
    <w:p w14:paraId="7C5CE19C" w14:textId="2F786F4C" w:rsidR="00443094" w:rsidRPr="00DC4CAC" w:rsidRDefault="00443094" w:rsidP="00DC4CAC">
      <w:pPr>
        <w:pStyle w:val="STPR2BulletsLevel1"/>
      </w:pPr>
      <w:r w:rsidRPr="00DC4CAC">
        <w:t>Is the intervention the best way of achieving its aims, taking into account children’s</w:t>
      </w:r>
      <w:r w:rsidR="00DC4CAC" w:rsidRPr="00DC4CAC">
        <w:t> </w:t>
      </w:r>
      <w:r w:rsidRPr="00DC4CAC">
        <w:t>rights?</w:t>
      </w:r>
    </w:p>
    <w:p w14:paraId="12480AB2" w14:textId="320E15AB" w:rsidR="00443094" w:rsidRPr="00DC4CAC" w:rsidRDefault="00443094" w:rsidP="00DC4CAC">
      <w:pPr>
        <w:pStyle w:val="STPR2BulletsLevel1"/>
      </w:pPr>
      <w:r w:rsidRPr="00DC4CAC">
        <w:t>Will the intervention contribute to the implementation of Transport Scotland’s corporate parent duties under Section 58 of the Children and Young People (Scotland) Act 2014?</w:t>
      </w:r>
    </w:p>
    <w:p w14:paraId="70CF0D3A" w14:textId="5923A356" w:rsidR="00443094" w:rsidRPr="00DC4CAC" w:rsidRDefault="00443094" w:rsidP="00DC4CAC">
      <w:pPr>
        <w:pStyle w:val="STPR2BulletsLevel1"/>
      </w:pPr>
      <w:r w:rsidRPr="00DC4CAC">
        <w:t>Will the intervention protect and enhance access to high quality community facilities, public services and key amenities for children and young people?</w:t>
      </w:r>
    </w:p>
    <w:p w14:paraId="523B5D9C" w14:textId="7882D9C2" w:rsidR="00443094" w:rsidRDefault="00443094" w:rsidP="00DC4CAC">
      <w:pPr>
        <w:pStyle w:val="STPR2BulletsLevel1"/>
        <w:rPr>
          <w:lang w:eastAsia="en-US"/>
        </w:rPr>
      </w:pPr>
      <w:r w:rsidRPr="00DC4CAC">
        <w:t>Will the intervention improve access using active travel and public transport to educational</w:t>
      </w:r>
      <w:r>
        <w:rPr>
          <w:lang w:eastAsia="en-US"/>
        </w:rPr>
        <w:t>, social and economic opportunities for children and young people?</w:t>
      </w:r>
    </w:p>
    <w:p w14:paraId="4A83071B" w14:textId="5950DBAE" w:rsidR="00443094" w:rsidRPr="00443094" w:rsidRDefault="00443094" w:rsidP="00443094">
      <w:pPr>
        <w:pStyle w:val="STPR2BodyText"/>
        <w:rPr>
          <w:b/>
          <w:bCs/>
          <w:lang w:eastAsia="en-US"/>
        </w:rPr>
      </w:pPr>
      <w:r w:rsidRPr="00443094">
        <w:rPr>
          <w:b/>
          <w:bCs/>
          <w:lang w:eastAsia="en-US"/>
        </w:rPr>
        <w:t>ISLAND COMMUNITIES</w:t>
      </w:r>
    </w:p>
    <w:p w14:paraId="1FB4840E" w14:textId="77777777" w:rsidR="00443094" w:rsidRDefault="00443094" w:rsidP="00443094">
      <w:pPr>
        <w:pStyle w:val="STPR2BodyText"/>
        <w:rPr>
          <w:lang w:eastAsia="en-US"/>
        </w:rPr>
      </w:pPr>
      <w:r>
        <w:rPr>
          <w:lang w:eastAsia="en-US"/>
        </w:rPr>
        <w:t>EqIA Objective</w:t>
      </w:r>
    </w:p>
    <w:p w14:paraId="6B3AE07B" w14:textId="42FE63CC" w:rsidR="00443094" w:rsidRDefault="00443094" w:rsidP="00443094">
      <w:pPr>
        <w:pStyle w:val="STPR2BodyText"/>
        <w:rPr>
          <w:lang w:eastAsia="en-US"/>
        </w:rPr>
      </w:pPr>
      <w:r>
        <w:rPr>
          <w:lang w:eastAsia="en-US"/>
        </w:rPr>
        <w:t>Increase the economic prosperity of and address the unique challenges faced by island</w:t>
      </w:r>
      <w:r w:rsidR="00DC4CAC">
        <w:rPr>
          <w:lang w:eastAsia="en-US"/>
        </w:rPr>
        <w:t> </w:t>
      </w:r>
      <w:r>
        <w:rPr>
          <w:lang w:eastAsia="en-US"/>
        </w:rPr>
        <w:t>communities.</w:t>
      </w:r>
    </w:p>
    <w:p w14:paraId="4CC2AEE4" w14:textId="77777777" w:rsidR="00443094" w:rsidRDefault="00443094" w:rsidP="00443094">
      <w:pPr>
        <w:pStyle w:val="STPR2BodyText"/>
        <w:rPr>
          <w:lang w:eastAsia="en-US"/>
        </w:rPr>
      </w:pPr>
      <w:r>
        <w:rPr>
          <w:lang w:eastAsia="en-US"/>
        </w:rPr>
        <w:t>Guide Questions – Will the option/ intervention/ package….</w:t>
      </w:r>
    </w:p>
    <w:p w14:paraId="63BC435B" w14:textId="7A03E64B" w:rsidR="00443094" w:rsidRDefault="00443094" w:rsidP="00443094">
      <w:pPr>
        <w:pStyle w:val="STPR2BulletsLevel1"/>
        <w:rPr>
          <w:lang w:eastAsia="en-US"/>
        </w:rPr>
      </w:pPr>
      <w:r>
        <w:rPr>
          <w:lang w:eastAsia="en-US"/>
        </w:rPr>
        <w:t>Protect and increase the economic prosperity of island communities?</w:t>
      </w:r>
    </w:p>
    <w:p w14:paraId="4870F4CA" w14:textId="5395AF6C" w:rsidR="00443094" w:rsidRDefault="00443094" w:rsidP="00443094">
      <w:pPr>
        <w:pStyle w:val="STPR2BulletsLevel1"/>
        <w:rPr>
          <w:lang w:eastAsia="en-US"/>
        </w:rPr>
      </w:pPr>
      <w:r>
        <w:rPr>
          <w:lang w:eastAsia="en-US"/>
        </w:rPr>
        <w:t>Effectively address the unique transport challenges faced by island communities?</w:t>
      </w:r>
    </w:p>
    <w:p w14:paraId="306BD774" w14:textId="7A4EEF2F" w:rsidR="00443094" w:rsidRDefault="00443094" w:rsidP="00443094">
      <w:pPr>
        <w:pStyle w:val="STPR2BulletsLevel1"/>
        <w:rPr>
          <w:lang w:eastAsia="en-US"/>
        </w:rPr>
      </w:pPr>
      <w:r>
        <w:rPr>
          <w:lang w:eastAsia="en-US"/>
        </w:rPr>
        <w:t>Effectively address the unique economic challenges faced by island communities?</w:t>
      </w:r>
    </w:p>
    <w:p w14:paraId="34355076" w14:textId="0799BC22" w:rsidR="00443094" w:rsidRDefault="00443094" w:rsidP="00443094">
      <w:pPr>
        <w:pStyle w:val="STPR2BulletsLevel1"/>
        <w:rPr>
          <w:lang w:eastAsia="en-US"/>
        </w:rPr>
      </w:pPr>
      <w:r>
        <w:rPr>
          <w:lang w:eastAsia="en-US"/>
        </w:rPr>
        <w:t>Effectively address the unique social challenges faced by island communities?</w:t>
      </w:r>
    </w:p>
    <w:p w14:paraId="12438429" w14:textId="51A781C8" w:rsidR="00443094" w:rsidRPr="00443094" w:rsidRDefault="00443094" w:rsidP="00443094">
      <w:pPr>
        <w:pStyle w:val="STPR2BulletsLevel1"/>
        <w:rPr>
          <w:lang w:eastAsia="en-US"/>
        </w:rPr>
      </w:pPr>
      <w:r>
        <w:rPr>
          <w:lang w:eastAsia="en-US"/>
        </w:rPr>
        <w:t>Protect and enhance quality of life for island residents?</w:t>
      </w:r>
    </w:p>
    <w:p w14:paraId="0DA76A6B" w14:textId="5E4FEFC8" w:rsidR="00F673FB" w:rsidRDefault="00F673FB" w:rsidP="00A955D9">
      <w:pPr>
        <w:sectPr w:rsidR="00F673FB" w:rsidSect="000425D0">
          <w:headerReference w:type="even" r:id="rId55"/>
          <w:headerReference w:type="default" r:id="rId56"/>
          <w:footerReference w:type="default" r:id="rId57"/>
          <w:headerReference w:type="first" r:id="rId58"/>
          <w:pgSz w:w="11906" w:h="16838" w:code="9"/>
          <w:pgMar w:top="1699" w:right="1138" w:bottom="1138" w:left="1138" w:header="454" w:footer="567" w:gutter="0"/>
          <w:cols w:space="720"/>
          <w:noEndnote/>
          <w:docGrid w:linePitch="299"/>
        </w:sectPr>
      </w:pPr>
    </w:p>
    <w:p w14:paraId="27B0D1FF" w14:textId="77777777" w:rsidR="00307E47" w:rsidRPr="00E645D5" w:rsidRDefault="00307E47" w:rsidP="00D56DE8">
      <w:pPr>
        <w:pStyle w:val="STPR2BodyText"/>
      </w:pPr>
    </w:p>
    <w:bookmarkEnd w:id="0"/>
    <w:p w14:paraId="4574E0DA" w14:textId="77777777" w:rsidR="003E6F26" w:rsidRPr="00E645D5" w:rsidRDefault="003E6F26" w:rsidP="00D56DE8">
      <w:pPr>
        <w:pStyle w:val="STPR2BodyText"/>
      </w:pPr>
    </w:p>
    <w:sectPr w:rsidR="003E6F26" w:rsidRPr="00E645D5" w:rsidSect="006829F4">
      <w:headerReference w:type="even" r:id="rId59"/>
      <w:headerReference w:type="default" r:id="rId60"/>
      <w:footerReference w:type="default" r:id="rId61"/>
      <w:headerReference w:type="first" r:id="rId62"/>
      <w:pgSz w:w="11906" w:h="16838" w:code="9"/>
      <w:pgMar w:top="1701" w:right="1134" w:bottom="1134" w:left="1134" w:header="454" w:footer="56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50AFC" w14:textId="77777777" w:rsidR="00293A74" w:rsidRDefault="00293A74" w:rsidP="006F1601">
      <w:pPr>
        <w:spacing w:after="0" w:line="240" w:lineRule="auto"/>
      </w:pPr>
      <w:r>
        <w:separator/>
      </w:r>
    </w:p>
  </w:endnote>
  <w:endnote w:type="continuationSeparator" w:id="0">
    <w:p w14:paraId="142122E5" w14:textId="77777777" w:rsidR="00293A74" w:rsidRDefault="00293A74" w:rsidP="006F1601">
      <w:pPr>
        <w:spacing w:after="0" w:line="240" w:lineRule="auto"/>
      </w:pPr>
      <w:r>
        <w:continuationSeparator/>
      </w:r>
    </w:p>
  </w:endnote>
  <w:endnote w:type="continuationNotice" w:id="1">
    <w:p w14:paraId="1C0F8855" w14:textId="77777777" w:rsidR="00293A74" w:rsidRDefault="00293A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Jacobs Chronos">
    <w:altName w:val="Calibri"/>
    <w:charset w:val="00"/>
    <w:family w:val="swiss"/>
    <w:pitch w:val="variable"/>
    <w:sig w:usb0="A00000EF" w:usb1="0000E0EB" w:usb2="00000008"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112"/>
      <w:gridCol w:w="1277"/>
      <w:gridCol w:w="4241"/>
    </w:tblGrid>
    <w:tr w:rsidR="00F110EE" w14:paraId="4B5AC916" w14:textId="77777777" w:rsidTr="00D54AA7">
      <w:tc>
        <w:tcPr>
          <w:tcW w:w="2135" w:type="pct"/>
        </w:tcPr>
        <w:p w14:paraId="6BB51954" w14:textId="77777777" w:rsidR="00F110EE" w:rsidRPr="00F110EE" w:rsidRDefault="00F110EE" w:rsidP="00F110EE">
          <w:pPr>
            <w:pStyle w:val="Footer"/>
            <w:rPr>
              <w:szCs w:val="24"/>
            </w:rPr>
          </w:pPr>
          <w:r w:rsidRPr="00F110EE">
            <w:rPr>
              <w:szCs w:val="24"/>
            </w:rPr>
            <w:t>Strategic Transport Projects Review (STPR2) Consultancy Support Services Contract</w:t>
          </w:r>
        </w:p>
      </w:tc>
      <w:tc>
        <w:tcPr>
          <w:tcW w:w="663" w:type="pct"/>
          <w:vAlign w:val="center"/>
        </w:tcPr>
        <w:p w14:paraId="1D99AB1F" w14:textId="7269CDCF" w:rsidR="00F110EE" w:rsidRDefault="00F110EE" w:rsidP="00F110EE">
          <w:pPr>
            <w:pStyle w:val="Footer"/>
          </w:pPr>
          <w:r>
            <w:t xml:space="preserve">Page </w:t>
          </w: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2B4684A0" w14:textId="77777777" w:rsidR="00F110EE" w:rsidRDefault="00F110EE" w:rsidP="00F110EE">
          <w:pPr>
            <w:pStyle w:val="Footer"/>
          </w:pPr>
          <w:r>
            <w:rPr>
              <w:noProof/>
            </w:rPr>
            <w:drawing>
              <wp:anchor distT="0" distB="0" distL="114300" distR="114300" simplePos="0" relativeHeight="251662336" behindDoc="1" locked="0" layoutInCell="1" allowOverlap="0" wp14:anchorId="00261D2C" wp14:editId="5139CE77">
                <wp:simplePos x="4206240" y="9809018"/>
                <wp:positionH relativeFrom="margin">
                  <wp:align>right</wp:align>
                </wp:positionH>
                <wp:positionV relativeFrom="paragraph">
                  <wp:posOffset>0</wp:posOffset>
                </wp:positionV>
                <wp:extent cx="1618488" cy="182880"/>
                <wp:effectExtent l="0" t="0" r="1270" b="7620"/>
                <wp:wrapTight wrapText="bothSides">
                  <wp:wrapPolygon edited="0">
                    <wp:start x="1017" y="0"/>
                    <wp:lineTo x="254" y="13500"/>
                    <wp:lineTo x="509" y="20250"/>
                    <wp:lineTo x="21363" y="20250"/>
                    <wp:lineTo x="21363" y="2250"/>
                    <wp:lineTo x="8647" y="0"/>
                    <wp:lineTo x="1017" y="0"/>
                  </wp:wrapPolygon>
                </wp:wrapTight>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stretch>
                          <a:fillRect/>
                        </a:stretch>
                      </pic:blipFill>
                      <pic:spPr>
                        <a:xfrm>
                          <a:off x="0" y="0"/>
                          <a:ext cx="1618488"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74E13E76" w14:textId="77777777" w:rsidR="00F110EE" w:rsidRPr="00C9463F" w:rsidRDefault="00F110EE" w:rsidP="00F110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112"/>
      <w:gridCol w:w="1277"/>
      <w:gridCol w:w="4241"/>
    </w:tblGrid>
    <w:tr w:rsidR="00F110EE" w14:paraId="13340FC9" w14:textId="77777777" w:rsidTr="00D54AA7">
      <w:tc>
        <w:tcPr>
          <w:tcW w:w="2135" w:type="pct"/>
        </w:tcPr>
        <w:p w14:paraId="624EC88A" w14:textId="77777777" w:rsidR="00F110EE" w:rsidRPr="00F110EE" w:rsidRDefault="00F110EE" w:rsidP="00F110EE">
          <w:pPr>
            <w:pStyle w:val="Footer"/>
            <w:rPr>
              <w:szCs w:val="24"/>
            </w:rPr>
          </w:pPr>
          <w:r w:rsidRPr="00F110EE">
            <w:rPr>
              <w:szCs w:val="24"/>
            </w:rPr>
            <w:t>Strategic Transport Projects Review (STPR2) Consultancy Support Services Contract</w:t>
          </w:r>
        </w:p>
      </w:tc>
      <w:tc>
        <w:tcPr>
          <w:tcW w:w="663" w:type="pct"/>
          <w:vAlign w:val="center"/>
        </w:tcPr>
        <w:p w14:paraId="03704A6D" w14:textId="77777777" w:rsidR="00F110EE" w:rsidRDefault="00F110EE" w:rsidP="00F110EE">
          <w:pPr>
            <w:pStyle w:val="Footer"/>
          </w:pPr>
          <w:r>
            <w:t xml:space="preserve">Page </w:t>
          </w: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05E3E77B" w14:textId="77777777" w:rsidR="00F110EE" w:rsidRDefault="00F110EE" w:rsidP="00F110EE">
          <w:pPr>
            <w:pStyle w:val="Footer"/>
          </w:pPr>
          <w:r>
            <w:rPr>
              <w:noProof/>
            </w:rPr>
            <w:drawing>
              <wp:anchor distT="0" distB="0" distL="114300" distR="114300" simplePos="0" relativeHeight="251664384" behindDoc="1" locked="0" layoutInCell="1" allowOverlap="0" wp14:anchorId="09A1A13E" wp14:editId="18B37C80">
                <wp:simplePos x="4206240" y="9809018"/>
                <wp:positionH relativeFrom="margin">
                  <wp:align>right</wp:align>
                </wp:positionH>
                <wp:positionV relativeFrom="paragraph">
                  <wp:posOffset>0</wp:posOffset>
                </wp:positionV>
                <wp:extent cx="1618488" cy="182880"/>
                <wp:effectExtent l="0" t="0" r="1270" b="7620"/>
                <wp:wrapTight wrapText="bothSides">
                  <wp:wrapPolygon edited="0">
                    <wp:start x="1017" y="0"/>
                    <wp:lineTo x="254" y="13500"/>
                    <wp:lineTo x="509" y="20250"/>
                    <wp:lineTo x="21363" y="20250"/>
                    <wp:lineTo x="21363" y="2250"/>
                    <wp:lineTo x="8647" y="0"/>
                    <wp:lineTo x="1017" y="0"/>
                  </wp:wrapPolygon>
                </wp:wrapTight>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stretch>
                          <a:fillRect/>
                        </a:stretch>
                      </pic:blipFill>
                      <pic:spPr>
                        <a:xfrm>
                          <a:off x="0" y="0"/>
                          <a:ext cx="1618488"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4F4E4B0A" w14:textId="77777777" w:rsidR="00F110EE" w:rsidRPr="00C9463F" w:rsidRDefault="00F110EE" w:rsidP="00F110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978"/>
      <w:gridCol w:w="1857"/>
      <w:gridCol w:w="6166"/>
    </w:tblGrid>
    <w:tr w:rsidR="00BB3BA4" w14:paraId="2B5ECAF2" w14:textId="77777777" w:rsidTr="00D54AA7">
      <w:tc>
        <w:tcPr>
          <w:tcW w:w="2135" w:type="pct"/>
        </w:tcPr>
        <w:p w14:paraId="3924698A" w14:textId="77777777" w:rsidR="00BB3BA4" w:rsidRPr="00F110EE" w:rsidRDefault="00BB3BA4" w:rsidP="00F110EE">
          <w:pPr>
            <w:pStyle w:val="Footer"/>
            <w:rPr>
              <w:szCs w:val="24"/>
            </w:rPr>
          </w:pPr>
          <w:r w:rsidRPr="00F110EE">
            <w:rPr>
              <w:szCs w:val="24"/>
            </w:rPr>
            <w:t>Strategic Transport Projects Review (STPR2) Consultancy Support Services Contract</w:t>
          </w:r>
        </w:p>
      </w:tc>
      <w:tc>
        <w:tcPr>
          <w:tcW w:w="663" w:type="pct"/>
          <w:vAlign w:val="center"/>
        </w:tcPr>
        <w:p w14:paraId="44F1B6DD" w14:textId="77777777" w:rsidR="00BB3BA4" w:rsidRDefault="00BB3BA4" w:rsidP="00F110EE">
          <w:pPr>
            <w:pStyle w:val="Footer"/>
          </w:pPr>
          <w:r>
            <w:t xml:space="preserve">Page </w:t>
          </w: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08010D10" w14:textId="77777777" w:rsidR="00BB3BA4" w:rsidRDefault="00BB3BA4" w:rsidP="00F110EE">
          <w:pPr>
            <w:pStyle w:val="Footer"/>
          </w:pPr>
          <w:r>
            <w:rPr>
              <w:noProof/>
            </w:rPr>
            <w:drawing>
              <wp:anchor distT="0" distB="0" distL="114300" distR="114300" simplePos="0" relativeHeight="251668480" behindDoc="1" locked="0" layoutInCell="1" allowOverlap="0" wp14:anchorId="04C9C1B2" wp14:editId="4B187340">
                <wp:simplePos x="4206240" y="9809018"/>
                <wp:positionH relativeFrom="margin">
                  <wp:align>right</wp:align>
                </wp:positionH>
                <wp:positionV relativeFrom="paragraph">
                  <wp:posOffset>0</wp:posOffset>
                </wp:positionV>
                <wp:extent cx="1618488" cy="182880"/>
                <wp:effectExtent l="0" t="0" r="1270" b="7620"/>
                <wp:wrapTight wrapText="bothSides">
                  <wp:wrapPolygon edited="0">
                    <wp:start x="1017" y="0"/>
                    <wp:lineTo x="254" y="13500"/>
                    <wp:lineTo x="509" y="20250"/>
                    <wp:lineTo x="21363" y="20250"/>
                    <wp:lineTo x="21363" y="2250"/>
                    <wp:lineTo x="8647" y="0"/>
                    <wp:lineTo x="1017" y="0"/>
                  </wp:wrapPolygon>
                </wp:wrapTight>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stretch>
                          <a:fillRect/>
                        </a:stretch>
                      </pic:blipFill>
                      <pic:spPr>
                        <a:xfrm>
                          <a:off x="0" y="0"/>
                          <a:ext cx="1618488"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6E9C7F3A" w14:textId="77777777" w:rsidR="00BB3BA4" w:rsidRPr="00C9463F" w:rsidRDefault="00BB3BA4" w:rsidP="00F110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112"/>
      <w:gridCol w:w="1277"/>
      <w:gridCol w:w="4241"/>
    </w:tblGrid>
    <w:tr w:rsidR="00BB3BA4" w14:paraId="2919702C" w14:textId="77777777" w:rsidTr="00D54AA7">
      <w:tc>
        <w:tcPr>
          <w:tcW w:w="2135" w:type="pct"/>
        </w:tcPr>
        <w:p w14:paraId="63EACFE0" w14:textId="77777777" w:rsidR="00BB3BA4" w:rsidRPr="00F110EE" w:rsidRDefault="00BB3BA4" w:rsidP="00F110EE">
          <w:pPr>
            <w:pStyle w:val="Footer"/>
            <w:rPr>
              <w:szCs w:val="24"/>
            </w:rPr>
          </w:pPr>
          <w:r w:rsidRPr="00F110EE">
            <w:rPr>
              <w:szCs w:val="24"/>
            </w:rPr>
            <w:t>Strategic Transport Projects Review (STPR2) Consultancy Support Services Contract</w:t>
          </w:r>
        </w:p>
      </w:tc>
      <w:tc>
        <w:tcPr>
          <w:tcW w:w="663" w:type="pct"/>
          <w:vAlign w:val="center"/>
        </w:tcPr>
        <w:p w14:paraId="4235A2EF" w14:textId="77777777" w:rsidR="00BB3BA4" w:rsidRDefault="00BB3BA4" w:rsidP="00F110EE">
          <w:pPr>
            <w:pStyle w:val="Footer"/>
          </w:pPr>
          <w:r>
            <w:t xml:space="preserve">Page </w:t>
          </w: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1EB88D82" w14:textId="77777777" w:rsidR="00BB3BA4" w:rsidRDefault="00BB3BA4" w:rsidP="00F110EE">
          <w:pPr>
            <w:pStyle w:val="Footer"/>
          </w:pPr>
          <w:r>
            <w:rPr>
              <w:noProof/>
            </w:rPr>
            <w:drawing>
              <wp:anchor distT="0" distB="0" distL="114300" distR="114300" simplePos="0" relativeHeight="251670528" behindDoc="1" locked="0" layoutInCell="1" allowOverlap="0" wp14:anchorId="6CB79AD8" wp14:editId="5ABC4907">
                <wp:simplePos x="4206240" y="9809018"/>
                <wp:positionH relativeFrom="margin">
                  <wp:align>right</wp:align>
                </wp:positionH>
                <wp:positionV relativeFrom="paragraph">
                  <wp:posOffset>0</wp:posOffset>
                </wp:positionV>
                <wp:extent cx="1618488" cy="182880"/>
                <wp:effectExtent l="0" t="0" r="1270" b="7620"/>
                <wp:wrapTight wrapText="bothSides">
                  <wp:wrapPolygon edited="0">
                    <wp:start x="1017" y="0"/>
                    <wp:lineTo x="254" y="13500"/>
                    <wp:lineTo x="509" y="20250"/>
                    <wp:lineTo x="21363" y="20250"/>
                    <wp:lineTo x="21363" y="2250"/>
                    <wp:lineTo x="8647" y="0"/>
                    <wp:lineTo x="1017" y="0"/>
                  </wp:wrapPolygon>
                </wp:wrapTight>
                <wp:docPr id="893550786" name="Picture 893550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stretch>
                          <a:fillRect/>
                        </a:stretch>
                      </pic:blipFill>
                      <pic:spPr>
                        <a:xfrm>
                          <a:off x="0" y="0"/>
                          <a:ext cx="1618488"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4FF10773" w14:textId="77777777" w:rsidR="00BB3BA4" w:rsidRPr="00C9463F" w:rsidRDefault="00BB3BA4" w:rsidP="00F110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978"/>
      <w:gridCol w:w="1857"/>
      <w:gridCol w:w="6166"/>
    </w:tblGrid>
    <w:tr w:rsidR="00BB3BA4" w14:paraId="333ABC00" w14:textId="77777777" w:rsidTr="00D54AA7">
      <w:tc>
        <w:tcPr>
          <w:tcW w:w="2135" w:type="pct"/>
        </w:tcPr>
        <w:p w14:paraId="402FD627" w14:textId="77777777" w:rsidR="00BB3BA4" w:rsidRPr="00F110EE" w:rsidRDefault="00BB3BA4" w:rsidP="00F110EE">
          <w:pPr>
            <w:pStyle w:val="Footer"/>
            <w:rPr>
              <w:szCs w:val="24"/>
            </w:rPr>
          </w:pPr>
          <w:r w:rsidRPr="00F110EE">
            <w:rPr>
              <w:szCs w:val="24"/>
            </w:rPr>
            <w:t>Strategic Transport Projects Review (STPR2) Consultancy Support Services Contract</w:t>
          </w:r>
        </w:p>
      </w:tc>
      <w:tc>
        <w:tcPr>
          <w:tcW w:w="663" w:type="pct"/>
          <w:vAlign w:val="center"/>
        </w:tcPr>
        <w:p w14:paraId="06375D21" w14:textId="77777777" w:rsidR="00BB3BA4" w:rsidRDefault="00BB3BA4" w:rsidP="00F110EE">
          <w:pPr>
            <w:pStyle w:val="Footer"/>
          </w:pPr>
          <w:r>
            <w:t xml:space="preserve">Page </w:t>
          </w: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14FC6EFE" w14:textId="77777777" w:rsidR="00BB3BA4" w:rsidRDefault="00BB3BA4" w:rsidP="00F110EE">
          <w:pPr>
            <w:pStyle w:val="Footer"/>
          </w:pPr>
          <w:r>
            <w:rPr>
              <w:noProof/>
            </w:rPr>
            <w:drawing>
              <wp:anchor distT="0" distB="0" distL="114300" distR="114300" simplePos="0" relativeHeight="251672576" behindDoc="1" locked="0" layoutInCell="1" allowOverlap="0" wp14:anchorId="2C938D58" wp14:editId="33A24282">
                <wp:simplePos x="4206240" y="9809018"/>
                <wp:positionH relativeFrom="margin">
                  <wp:align>right</wp:align>
                </wp:positionH>
                <wp:positionV relativeFrom="paragraph">
                  <wp:posOffset>0</wp:posOffset>
                </wp:positionV>
                <wp:extent cx="1618488" cy="182880"/>
                <wp:effectExtent l="0" t="0" r="1270" b="7620"/>
                <wp:wrapTight wrapText="bothSides">
                  <wp:wrapPolygon edited="0">
                    <wp:start x="1017" y="0"/>
                    <wp:lineTo x="254" y="13500"/>
                    <wp:lineTo x="509" y="20250"/>
                    <wp:lineTo x="21363" y="20250"/>
                    <wp:lineTo x="21363" y="2250"/>
                    <wp:lineTo x="8647" y="0"/>
                    <wp:lineTo x="1017" y="0"/>
                  </wp:wrapPolygon>
                </wp:wrapTight>
                <wp:docPr id="893550788" name="Picture 893550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stretch>
                          <a:fillRect/>
                        </a:stretch>
                      </pic:blipFill>
                      <pic:spPr>
                        <a:xfrm>
                          <a:off x="0" y="0"/>
                          <a:ext cx="1618488"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6F4B088A" w14:textId="77777777" w:rsidR="00BB3BA4" w:rsidRPr="00C9463F" w:rsidRDefault="00BB3BA4" w:rsidP="00F110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112"/>
      <w:gridCol w:w="1277"/>
      <w:gridCol w:w="4241"/>
    </w:tblGrid>
    <w:tr w:rsidR="00BB3BA4" w14:paraId="37AA4CF8" w14:textId="77777777" w:rsidTr="00D54AA7">
      <w:tc>
        <w:tcPr>
          <w:tcW w:w="2135" w:type="pct"/>
        </w:tcPr>
        <w:p w14:paraId="02E6FA27" w14:textId="77777777" w:rsidR="00BB3BA4" w:rsidRPr="00F110EE" w:rsidRDefault="00BB3BA4" w:rsidP="00F110EE">
          <w:pPr>
            <w:pStyle w:val="Footer"/>
            <w:rPr>
              <w:szCs w:val="24"/>
            </w:rPr>
          </w:pPr>
          <w:r w:rsidRPr="00F110EE">
            <w:rPr>
              <w:szCs w:val="24"/>
            </w:rPr>
            <w:t>Strategic Transport Projects Review (STPR2) Consultancy Support Services Contract</w:t>
          </w:r>
        </w:p>
      </w:tc>
      <w:tc>
        <w:tcPr>
          <w:tcW w:w="663" w:type="pct"/>
          <w:vAlign w:val="center"/>
        </w:tcPr>
        <w:p w14:paraId="721759E5" w14:textId="77777777" w:rsidR="00BB3BA4" w:rsidRDefault="00BB3BA4" w:rsidP="00F110EE">
          <w:pPr>
            <w:pStyle w:val="Footer"/>
          </w:pPr>
          <w:r>
            <w:t xml:space="preserve">Page </w:t>
          </w: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04E09B16" w14:textId="77777777" w:rsidR="00BB3BA4" w:rsidRDefault="00BB3BA4" w:rsidP="00F110EE">
          <w:pPr>
            <w:pStyle w:val="Footer"/>
          </w:pPr>
          <w:r>
            <w:rPr>
              <w:noProof/>
            </w:rPr>
            <w:drawing>
              <wp:anchor distT="0" distB="0" distL="114300" distR="114300" simplePos="0" relativeHeight="251674624" behindDoc="1" locked="0" layoutInCell="1" allowOverlap="0" wp14:anchorId="0C827B48" wp14:editId="04C03FE4">
                <wp:simplePos x="4206240" y="9809018"/>
                <wp:positionH relativeFrom="margin">
                  <wp:align>right</wp:align>
                </wp:positionH>
                <wp:positionV relativeFrom="paragraph">
                  <wp:posOffset>0</wp:posOffset>
                </wp:positionV>
                <wp:extent cx="1618488" cy="182880"/>
                <wp:effectExtent l="0" t="0" r="1270" b="7620"/>
                <wp:wrapTight wrapText="bothSides">
                  <wp:wrapPolygon edited="0">
                    <wp:start x="1017" y="0"/>
                    <wp:lineTo x="254" y="13500"/>
                    <wp:lineTo x="509" y="20250"/>
                    <wp:lineTo x="21363" y="20250"/>
                    <wp:lineTo x="21363" y="2250"/>
                    <wp:lineTo x="8647" y="0"/>
                    <wp:lineTo x="1017" y="0"/>
                  </wp:wrapPolygon>
                </wp:wrapTight>
                <wp:docPr id="893550790" name="Picture 8935507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stretch>
                          <a:fillRect/>
                        </a:stretch>
                      </pic:blipFill>
                      <pic:spPr>
                        <a:xfrm>
                          <a:off x="0" y="0"/>
                          <a:ext cx="1618488"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1B57A5DB" w14:textId="77777777" w:rsidR="00BB3BA4" w:rsidRPr="00C9463F" w:rsidRDefault="00BB3BA4" w:rsidP="00F110E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112"/>
      <w:gridCol w:w="1277"/>
      <w:gridCol w:w="4241"/>
    </w:tblGrid>
    <w:tr w:rsidR="00D56DE8" w14:paraId="77FC910A" w14:textId="77777777" w:rsidTr="00D54AA7">
      <w:tc>
        <w:tcPr>
          <w:tcW w:w="2135" w:type="pct"/>
        </w:tcPr>
        <w:p w14:paraId="7B60CFCA" w14:textId="77777777" w:rsidR="00D56DE8" w:rsidRPr="00F110EE" w:rsidRDefault="00D56DE8" w:rsidP="00D56DE8">
          <w:pPr>
            <w:pStyle w:val="Footer"/>
            <w:rPr>
              <w:szCs w:val="24"/>
            </w:rPr>
          </w:pPr>
          <w:r w:rsidRPr="00F110EE">
            <w:rPr>
              <w:szCs w:val="24"/>
            </w:rPr>
            <w:t>Strategic Transport Projects Review (STPR2) Consultancy Support Services Contract</w:t>
          </w:r>
        </w:p>
      </w:tc>
      <w:tc>
        <w:tcPr>
          <w:tcW w:w="663" w:type="pct"/>
          <w:vAlign w:val="center"/>
        </w:tcPr>
        <w:p w14:paraId="4C1084A6" w14:textId="77777777" w:rsidR="00D56DE8" w:rsidRDefault="00D56DE8" w:rsidP="00D56DE8">
          <w:pPr>
            <w:pStyle w:val="Footer"/>
          </w:pPr>
          <w:r>
            <w:t xml:space="preserve">Page </w:t>
          </w:r>
          <w:r>
            <w:fldChar w:fldCharType="begin"/>
          </w:r>
          <w:r>
            <w:instrText xml:space="preserve"> PAGE   \* MERGEFORMAT </w:instrText>
          </w:r>
          <w:r>
            <w:fldChar w:fldCharType="separate"/>
          </w:r>
          <w:r>
            <w:t>3</w:t>
          </w:r>
          <w:r>
            <w:rPr>
              <w:noProof/>
            </w:rPr>
            <w:fldChar w:fldCharType="end"/>
          </w:r>
        </w:p>
      </w:tc>
      <w:tc>
        <w:tcPr>
          <w:tcW w:w="2202" w:type="pct"/>
          <w:vAlign w:val="center"/>
        </w:tcPr>
        <w:p w14:paraId="30BDAF58" w14:textId="77777777" w:rsidR="00D56DE8" w:rsidRDefault="00D56DE8" w:rsidP="00D56DE8">
          <w:pPr>
            <w:pStyle w:val="Footer"/>
          </w:pPr>
          <w:r>
            <w:rPr>
              <w:noProof/>
            </w:rPr>
            <w:drawing>
              <wp:anchor distT="0" distB="0" distL="114300" distR="114300" simplePos="0" relativeHeight="251666432" behindDoc="1" locked="0" layoutInCell="1" allowOverlap="0" wp14:anchorId="73328DA4" wp14:editId="7570B3AD">
                <wp:simplePos x="4206240" y="9809018"/>
                <wp:positionH relativeFrom="margin">
                  <wp:align>right</wp:align>
                </wp:positionH>
                <wp:positionV relativeFrom="paragraph">
                  <wp:posOffset>0</wp:posOffset>
                </wp:positionV>
                <wp:extent cx="1618488" cy="182880"/>
                <wp:effectExtent l="0" t="0" r="1270" b="7620"/>
                <wp:wrapTight wrapText="bothSides">
                  <wp:wrapPolygon edited="0">
                    <wp:start x="1017" y="0"/>
                    <wp:lineTo x="254" y="13500"/>
                    <wp:lineTo x="509" y="20250"/>
                    <wp:lineTo x="21363" y="20250"/>
                    <wp:lineTo x="21363" y="2250"/>
                    <wp:lineTo x="8647" y="0"/>
                    <wp:lineTo x="1017" y="0"/>
                  </wp:wrapPolygon>
                </wp:wrapTight>
                <wp:docPr id="893550792" name="Picture 893550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stretch>
                          <a:fillRect/>
                        </a:stretch>
                      </pic:blipFill>
                      <pic:spPr>
                        <a:xfrm>
                          <a:off x="0" y="0"/>
                          <a:ext cx="1618488"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2F55372D" w14:textId="77777777" w:rsidR="00D56DE8" w:rsidRPr="00C9463F" w:rsidRDefault="00D56DE8" w:rsidP="00D56DE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CF0DB" w14:textId="77777777" w:rsidR="00F72DA8" w:rsidRPr="00307E47" w:rsidRDefault="00F72DA8" w:rsidP="0030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80EDB" w14:textId="77777777" w:rsidR="00293A74" w:rsidRDefault="00293A74" w:rsidP="006F1601">
      <w:pPr>
        <w:spacing w:after="0" w:line="240" w:lineRule="auto"/>
      </w:pPr>
      <w:r>
        <w:separator/>
      </w:r>
    </w:p>
  </w:footnote>
  <w:footnote w:type="continuationSeparator" w:id="0">
    <w:p w14:paraId="784FA275" w14:textId="77777777" w:rsidR="00293A74" w:rsidRDefault="00293A74" w:rsidP="006F1601">
      <w:pPr>
        <w:spacing w:after="0" w:line="240" w:lineRule="auto"/>
      </w:pPr>
      <w:r>
        <w:continuationSeparator/>
      </w:r>
    </w:p>
  </w:footnote>
  <w:footnote w:type="continuationNotice" w:id="1">
    <w:p w14:paraId="1C02B1EA" w14:textId="77777777" w:rsidR="00293A74" w:rsidRDefault="00293A74">
      <w:pPr>
        <w:spacing w:after="0" w:line="240" w:lineRule="auto"/>
      </w:pPr>
    </w:p>
  </w:footnote>
  <w:footnote w:id="2">
    <w:p w14:paraId="5FECDB0B" w14:textId="3113F582" w:rsidR="00F72DA8" w:rsidRDefault="00F72DA8" w:rsidP="00606AD8">
      <w:pPr>
        <w:pStyle w:val="FootnoteText"/>
        <w:spacing w:after="40"/>
      </w:pPr>
      <w:r>
        <w:rPr>
          <w:rStyle w:val="FootnoteReference"/>
        </w:rPr>
        <w:footnoteRef/>
      </w:r>
      <w:r>
        <w:t xml:space="preserve">  Islands (Scotland) Act 2018, Section 2(1) defines a</w:t>
      </w:r>
      <w:r w:rsidR="000940A3">
        <w:t>n</w:t>
      </w:r>
      <w:r>
        <w:t xml:space="preserve"> island as a naturally formed area of land that is “(a) surrounded on all sides by the sea (ignoring artificial structures such as bridges), and (b) above water at high tide.”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FD861" w14:textId="78C22BC7" w:rsidR="00721FE7" w:rsidRDefault="00721FE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BB9C1" w14:textId="17251B6A" w:rsidR="00721FE7" w:rsidRDefault="00721FE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6419"/>
      <w:gridCol w:w="3211"/>
    </w:tblGrid>
    <w:tr w:rsidR="00CC5A7C" w14:paraId="69C1513D" w14:textId="77777777" w:rsidTr="00D54AA7">
      <w:tc>
        <w:tcPr>
          <w:tcW w:w="3333" w:type="pct"/>
          <w:vAlign w:val="center"/>
        </w:tcPr>
        <w:p w14:paraId="71B662F5" w14:textId="77777777" w:rsidR="00CC5A7C" w:rsidRPr="00AC7FD5" w:rsidRDefault="00CC5A7C" w:rsidP="00CC5A7C">
          <w:pPr>
            <w:pStyle w:val="Header"/>
            <w:ind w:left="-103"/>
          </w:pPr>
          <w:bookmarkStart w:id="2313" w:name="_Hlk121230704"/>
          <w:bookmarkStart w:id="2314" w:name="_Hlk121230705"/>
          <w:bookmarkStart w:id="2315" w:name="_Hlk121230734"/>
          <w:bookmarkStart w:id="2316" w:name="_Hlk121230735"/>
          <w:r w:rsidRPr="00CC5A7C">
            <w:t>STPR2 ICIA Report</w:t>
          </w:r>
        </w:p>
      </w:tc>
      <w:tc>
        <w:tcPr>
          <w:tcW w:w="1667" w:type="pct"/>
        </w:tcPr>
        <w:p w14:paraId="7CFF5087" w14:textId="77777777" w:rsidR="00CC5A7C" w:rsidRDefault="00CC5A7C" w:rsidP="00CC5A7C">
          <w:pPr>
            <w:pStyle w:val="Header"/>
            <w:jc w:val="right"/>
          </w:pPr>
          <w:r>
            <w:rPr>
              <w:noProof/>
            </w:rPr>
            <w:drawing>
              <wp:inline distT="0" distB="0" distL="0" distR="0" wp14:anchorId="682B1B76" wp14:editId="58C965F1">
                <wp:extent cx="1564640" cy="719455"/>
                <wp:effectExtent l="0" t="0" r="0" b="4445"/>
                <wp:docPr id="89355079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56774A" w14:textId="77CC32C1" w:rsidR="00CC5A7C" w:rsidRPr="00AC7FD5" w:rsidRDefault="00F110EE" w:rsidP="00CC5A7C">
    <w:pPr>
      <w:pStyle w:val="Header"/>
      <w:rPr>
        <w:sz w:val="2"/>
        <w:szCs w:val="2"/>
      </w:rPr>
    </w:pPr>
    <w:r>
      <w:rPr>
        <w:sz w:val="2"/>
        <w:szCs w:val="2"/>
      </w:rPr>
      <w:t>1q</w:t>
    </w:r>
    <w:r>
      <w:rPr>
        <w:sz w:val="2"/>
        <w:szCs w:val="2"/>
      </w:rPr>
      <w:tab/>
      <w:t>``````````````````````````````````````````````````````</w:t>
    </w:r>
    <w:bookmarkEnd w:id="2313"/>
    <w:bookmarkEnd w:id="2314"/>
    <w:bookmarkEnd w:id="2315"/>
    <w:bookmarkEnd w:id="2316"/>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C51D5" w14:textId="266F4E8C" w:rsidR="00721FE7" w:rsidRDefault="00721FE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E132B" w14:textId="47FBFFBB" w:rsidR="00721FE7" w:rsidRDefault="00721FE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8D11" w14:textId="298E9090" w:rsidR="00F72DA8" w:rsidRPr="00307E47" w:rsidRDefault="00F72DA8" w:rsidP="00307E47">
    <w:pPr>
      <w:pStyle w:val="Header"/>
    </w:pPr>
    <w:r>
      <w:rPr>
        <w:noProof/>
      </w:rPr>
      <w:drawing>
        <wp:anchor distT="0" distB="0" distL="114300" distR="114300" simplePos="0" relativeHeight="251658240" behindDoc="1" locked="0" layoutInCell="1" allowOverlap="1" wp14:anchorId="5FE44A16" wp14:editId="4F42D586">
          <wp:simplePos x="0" y="0"/>
          <wp:positionH relativeFrom="page">
            <wp:align>left</wp:align>
          </wp:positionH>
          <wp:positionV relativeFrom="paragraph">
            <wp:posOffset>-292195</wp:posOffset>
          </wp:positionV>
          <wp:extent cx="7560000" cy="10695176"/>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5176"/>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CDDDA" w14:textId="6CF9D8B8" w:rsidR="00721FE7" w:rsidRDefault="00721F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6419"/>
      <w:gridCol w:w="3211"/>
    </w:tblGrid>
    <w:tr w:rsidR="00F110EE" w14:paraId="193B14E4" w14:textId="77777777" w:rsidTr="00D54AA7">
      <w:tc>
        <w:tcPr>
          <w:tcW w:w="3333" w:type="pct"/>
          <w:vAlign w:val="center"/>
        </w:tcPr>
        <w:p w14:paraId="6FC400A9" w14:textId="77777777" w:rsidR="00F110EE" w:rsidRPr="00AC7FD5" w:rsidRDefault="00F110EE" w:rsidP="00F110EE">
          <w:pPr>
            <w:pStyle w:val="Header"/>
            <w:ind w:left="-103"/>
          </w:pPr>
          <w:r w:rsidRPr="00CC5A7C">
            <w:t>STPR2 ICIA Report</w:t>
          </w:r>
        </w:p>
      </w:tc>
      <w:tc>
        <w:tcPr>
          <w:tcW w:w="1667" w:type="pct"/>
        </w:tcPr>
        <w:p w14:paraId="4D5A389F" w14:textId="77777777" w:rsidR="00F110EE" w:rsidRDefault="00F110EE" w:rsidP="00F110EE">
          <w:pPr>
            <w:pStyle w:val="Header"/>
            <w:jc w:val="right"/>
          </w:pPr>
          <w:r>
            <w:rPr>
              <w:noProof/>
            </w:rPr>
            <w:drawing>
              <wp:inline distT="0" distB="0" distL="0" distR="0" wp14:anchorId="4851067C" wp14:editId="677290F8">
                <wp:extent cx="1564640" cy="719455"/>
                <wp:effectExtent l="0" t="0" r="0" b="4445"/>
                <wp:docPr id="2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9D1C3D" w14:textId="77777777" w:rsidR="00F110EE" w:rsidRPr="00AC7FD5" w:rsidRDefault="00F110EE" w:rsidP="00F110EE">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AA0E6" w14:textId="584C0E01" w:rsidR="00721FE7" w:rsidRDefault="00721F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6425"/>
      <w:gridCol w:w="3213"/>
    </w:tblGrid>
    <w:tr w:rsidR="00BB3BA4" w14:paraId="6F8D6218" w14:textId="77777777" w:rsidTr="00D54AA7">
      <w:tc>
        <w:tcPr>
          <w:tcW w:w="3333" w:type="pct"/>
          <w:vAlign w:val="center"/>
        </w:tcPr>
        <w:p w14:paraId="631BAEB3" w14:textId="77777777" w:rsidR="00BB3BA4" w:rsidRPr="00AC7FD5" w:rsidRDefault="00BB3BA4" w:rsidP="00F110EE">
          <w:pPr>
            <w:pStyle w:val="Header"/>
            <w:ind w:left="-103"/>
          </w:pPr>
          <w:r w:rsidRPr="00CC5A7C">
            <w:t>STPR2 ICIA Report</w:t>
          </w:r>
        </w:p>
      </w:tc>
      <w:tc>
        <w:tcPr>
          <w:tcW w:w="1667" w:type="pct"/>
        </w:tcPr>
        <w:p w14:paraId="3809EB1C" w14:textId="77777777" w:rsidR="00BB3BA4" w:rsidRDefault="00BB3BA4" w:rsidP="00F110EE">
          <w:pPr>
            <w:pStyle w:val="Header"/>
            <w:jc w:val="right"/>
          </w:pPr>
          <w:r>
            <w:rPr>
              <w:noProof/>
            </w:rPr>
            <w:drawing>
              <wp:inline distT="0" distB="0" distL="0" distR="0" wp14:anchorId="77609050" wp14:editId="4E8D4266">
                <wp:extent cx="1564640" cy="719455"/>
                <wp:effectExtent l="0" t="0" r="0" b="4445"/>
                <wp:docPr id="3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F91327" w14:textId="77777777" w:rsidR="00BB3BA4" w:rsidRPr="00AC7FD5" w:rsidRDefault="00BB3BA4" w:rsidP="00F110EE">
    <w:pPr>
      <w:pStyle w:val="Heade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6419"/>
      <w:gridCol w:w="3211"/>
    </w:tblGrid>
    <w:tr w:rsidR="00BB3BA4" w14:paraId="21D7BD3A" w14:textId="77777777" w:rsidTr="00D54AA7">
      <w:tc>
        <w:tcPr>
          <w:tcW w:w="3333" w:type="pct"/>
          <w:vAlign w:val="center"/>
        </w:tcPr>
        <w:p w14:paraId="4E394DB7" w14:textId="77777777" w:rsidR="00BB3BA4" w:rsidRPr="00AC7FD5" w:rsidRDefault="00BB3BA4" w:rsidP="00F110EE">
          <w:pPr>
            <w:pStyle w:val="Header"/>
            <w:ind w:left="-103"/>
          </w:pPr>
          <w:r w:rsidRPr="00CC5A7C">
            <w:t>STPR2 ICIA Report</w:t>
          </w:r>
        </w:p>
      </w:tc>
      <w:tc>
        <w:tcPr>
          <w:tcW w:w="1667" w:type="pct"/>
        </w:tcPr>
        <w:p w14:paraId="07675294" w14:textId="77777777" w:rsidR="00BB3BA4" w:rsidRDefault="00BB3BA4" w:rsidP="00F110EE">
          <w:pPr>
            <w:pStyle w:val="Header"/>
            <w:jc w:val="right"/>
          </w:pPr>
          <w:r>
            <w:rPr>
              <w:noProof/>
            </w:rPr>
            <w:drawing>
              <wp:inline distT="0" distB="0" distL="0" distR="0" wp14:anchorId="7CDC0C4F" wp14:editId="20D1348D">
                <wp:extent cx="1564640" cy="719455"/>
                <wp:effectExtent l="0" t="0" r="0" b="4445"/>
                <wp:docPr id="89355078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831C28" w14:textId="77777777" w:rsidR="00BB3BA4" w:rsidRPr="00AC7FD5" w:rsidRDefault="00BB3BA4" w:rsidP="00F110EE">
    <w:pPr>
      <w:pStyle w:val="Heade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6425"/>
      <w:gridCol w:w="3213"/>
    </w:tblGrid>
    <w:tr w:rsidR="00BB3BA4" w14:paraId="33F9FB3C" w14:textId="77777777" w:rsidTr="00D54AA7">
      <w:tc>
        <w:tcPr>
          <w:tcW w:w="3333" w:type="pct"/>
          <w:vAlign w:val="center"/>
        </w:tcPr>
        <w:p w14:paraId="5862BE24" w14:textId="77777777" w:rsidR="00BB3BA4" w:rsidRPr="00AC7FD5" w:rsidRDefault="00BB3BA4" w:rsidP="00F110EE">
          <w:pPr>
            <w:pStyle w:val="Header"/>
            <w:ind w:left="-103"/>
          </w:pPr>
          <w:r w:rsidRPr="00CC5A7C">
            <w:t>STPR2 ICIA Report</w:t>
          </w:r>
        </w:p>
      </w:tc>
      <w:tc>
        <w:tcPr>
          <w:tcW w:w="1667" w:type="pct"/>
        </w:tcPr>
        <w:p w14:paraId="5F2545F7" w14:textId="77777777" w:rsidR="00BB3BA4" w:rsidRDefault="00BB3BA4" w:rsidP="00F110EE">
          <w:pPr>
            <w:pStyle w:val="Header"/>
            <w:jc w:val="right"/>
          </w:pPr>
          <w:r>
            <w:rPr>
              <w:noProof/>
            </w:rPr>
            <w:drawing>
              <wp:inline distT="0" distB="0" distL="0" distR="0" wp14:anchorId="4F9C8F07" wp14:editId="4427E6B8">
                <wp:extent cx="1564640" cy="719455"/>
                <wp:effectExtent l="0" t="0" r="0" b="4445"/>
                <wp:docPr id="89355078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27F2DC" w14:textId="77777777" w:rsidR="00BB3BA4" w:rsidRPr="00AC7FD5" w:rsidRDefault="00BB3BA4" w:rsidP="00F110EE">
    <w:pPr>
      <w:pStyle w:val="Heade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6F65" w14:textId="5FB67934" w:rsidR="00721FE7" w:rsidRDefault="00721FE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6425"/>
      <w:gridCol w:w="3213"/>
    </w:tblGrid>
    <w:tr w:rsidR="00BB3BA4" w14:paraId="628FB9DC" w14:textId="77777777" w:rsidTr="00D54AA7">
      <w:tc>
        <w:tcPr>
          <w:tcW w:w="3333" w:type="pct"/>
          <w:vAlign w:val="center"/>
        </w:tcPr>
        <w:p w14:paraId="2824385A" w14:textId="77777777" w:rsidR="00BB3BA4" w:rsidRPr="00AC7FD5" w:rsidRDefault="00BB3BA4" w:rsidP="00F110EE">
          <w:pPr>
            <w:pStyle w:val="Header"/>
            <w:ind w:left="-103"/>
          </w:pPr>
          <w:r w:rsidRPr="00CC5A7C">
            <w:t>STPR2 ICIA Report</w:t>
          </w:r>
        </w:p>
      </w:tc>
      <w:tc>
        <w:tcPr>
          <w:tcW w:w="1667" w:type="pct"/>
        </w:tcPr>
        <w:p w14:paraId="109295F6" w14:textId="77777777" w:rsidR="00BB3BA4" w:rsidRDefault="00BB3BA4" w:rsidP="00F110EE">
          <w:pPr>
            <w:pStyle w:val="Header"/>
            <w:jc w:val="right"/>
          </w:pPr>
          <w:r>
            <w:rPr>
              <w:noProof/>
            </w:rPr>
            <w:drawing>
              <wp:inline distT="0" distB="0" distL="0" distR="0" wp14:anchorId="4E89E9C5" wp14:editId="1BD9FA84">
                <wp:extent cx="1564640" cy="719455"/>
                <wp:effectExtent l="0" t="0" r="0" b="4445"/>
                <wp:docPr id="89355078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DA0F4E" w14:textId="77777777" w:rsidR="00BB3BA4" w:rsidRPr="00AC7FD5" w:rsidRDefault="00BB3BA4" w:rsidP="00F110EE">
    <w:pPr>
      <w:pStyle w:val="Header"/>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5DFD" w14:textId="460C44C1" w:rsidR="00721FE7" w:rsidRDefault="00721F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A35"/>
    <w:multiLevelType w:val="hybridMultilevel"/>
    <w:tmpl w:val="998073DC"/>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56557"/>
    <w:multiLevelType w:val="multilevel"/>
    <w:tmpl w:val="057E25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95F71"/>
    <w:multiLevelType w:val="multilevel"/>
    <w:tmpl w:val="795C3C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84495"/>
    <w:multiLevelType w:val="hybridMultilevel"/>
    <w:tmpl w:val="889A1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1C67AE"/>
    <w:multiLevelType w:val="multilevel"/>
    <w:tmpl w:val="42AE7FFA"/>
    <w:lvl w:ilvl="0">
      <w:start w:val="1"/>
      <w:numFmt w:val="upperLetter"/>
      <w:pStyle w:val="STPR2AppendicesHeading1"/>
      <w:lvlText w:val="Appendix %1:"/>
      <w:lvlJc w:val="left"/>
      <w:pPr>
        <w:tabs>
          <w:tab w:val="num" w:pos="2160"/>
        </w:tabs>
        <w:ind w:left="2160" w:hanging="2160"/>
      </w:pPr>
      <w:rPr>
        <w:rFonts w:hint="default"/>
      </w:rPr>
    </w:lvl>
    <w:lvl w:ilvl="1">
      <w:start w:val="1"/>
      <w:numFmt w:val="decimal"/>
      <w:lvlText w:val="%1.%2."/>
      <w:lvlJc w:val="left"/>
      <w:pPr>
        <w:tabs>
          <w:tab w:val="num" w:pos="720"/>
        </w:tabs>
        <w:ind w:left="720" w:hanging="720"/>
      </w:pPr>
      <w:rPr>
        <w:rFonts w:ascii="Arial" w:hAnsi="Arial" w:hint="default"/>
        <w:b/>
        <w:bCs/>
        <w:color w:val="414144"/>
        <w:sz w:val="28"/>
        <w:szCs w:val="28"/>
      </w:rPr>
    </w:lvl>
    <w:lvl w:ilvl="2">
      <w:start w:val="1"/>
      <w:numFmt w:val="decimal"/>
      <w:lvlText w:val="%1.%2.%3."/>
      <w:lvlJc w:val="left"/>
      <w:pPr>
        <w:tabs>
          <w:tab w:val="num" w:pos="864"/>
        </w:tabs>
        <w:ind w:left="864" w:hanging="864"/>
      </w:pPr>
      <w:rPr>
        <w:rFonts w:ascii="Arial" w:hAnsi="Arial" w:cs="Arial" w:hint="default"/>
      </w:rPr>
    </w:lvl>
    <w:lvl w:ilvl="3">
      <w:start w:val="1"/>
      <w:numFmt w:val="decimal"/>
      <w:lvlText w:val="%1.%2.%3.%4."/>
      <w:lvlJc w:val="left"/>
      <w:pPr>
        <w:tabs>
          <w:tab w:val="num" w:pos="360"/>
        </w:tabs>
        <w:ind w:left="360" w:hanging="360"/>
      </w:pPr>
      <w:rPr>
        <w:rFonts w:hint="default"/>
      </w:rPr>
    </w:lvl>
    <w:lvl w:ilvl="4">
      <w:start w:val="1"/>
      <w:numFmt w:val="decimal"/>
      <w:lvlText w:val="%1.%2.%3.%4.%5."/>
      <w:lvlJc w:val="left"/>
      <w:pPr>
        <w:tabs>
          <w:tab w:val="num" w:pos="360"/>
        </w:tabs>
        <w:ind w:left="360" w:hanging="36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1993DB0"/>
    <w:multiLevelType w:val="multilevel"/>
    <w:tmpl w:val="EEEA1EC8"/>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864"/>
        </w:tabs>
        <w:ind w:left="864" w:hanging="864"/>
      </w:pPr>
      <w:rPr>
        <w:rFonts w:hint="default"/>
        <w:color w:val="626266"/>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4E4FCC"/>
    <w:multiLevelType w:val="hybridMultilevel"/>
    <w:tmpl w:val="8F5C3E8E"/>
    <w:styleLink w:val="JacobsBulletList1"/>
    <w:lvl w:ilvl="0" w:tplc="FC920EC0">
      <w:start w:val="1"/>
      <w:numFmt w:val="bullet"/>
      <w:pStyle w:val="Para0bullet"/>
      <w:lvlText w:val=""/>
      <w:lvlJc w:val="left"/>
      <w:pPr>
        <w:ind w:left="425" w:hanging="425"/>
      </w:pPr>
      <w:rPr>
        <w:rFonts w:ascii="Symbol" w:hAnsi="Symbol" w:hint="default"/>
        <w:color w:val="auto"/>
        <w:sz w:val="18"/>
      </w:rPr>
    </w:lvl>
    <w:lvl w:ilvl="1" w:tplc="5352CF9C">
      <w:start w:val="1"/>
      <w:numFmt w:val="bullet"/>
      <w:pStyle w:val="Para1narrowarrow"/>
      <w:lvlText w:val="-"/>
      <w:lvlJc w:val="left"/>
      <w:pPr>
        <w:ind w:left="851" w:hanging="426"/>
      </w:pPr>
      <w:rPr>
        <w:rFonts w:ascii="Arial" w:hAnsi="Arial" w:hint="default"/>
        <w:color w:val="000000" w:themeColor="text1"/>
        <w:sz w:val="18"/>
      </w:rPr>
    </w:lvl>
    <w:lvl w:ilvl="2" w:tplc="44FCC6DA">
      <w:start w:val="1"/>
      <w:numFmt w:val="none"/>
      <w:lvlRestart w:val="0"/>
      <w:lvlText w:val=""/>
      <w:lvlJc w:val="left"/>
      <w:pPr>
        <w:ind w:left="851" w:hanging="426"/>
      </w:pPr>
      <w:rPr>
        <w:rFonts w:hint="default"/>
      </w:rPr>
    </w:lvl>
    <w:lvl w:ilvl="3" w:tplc="12546396">
      <w:start w:val="1"/>
      <w:numFmt w:val="none"/>
      <w:lvlRestart w:val="0"/>
      <w:lvlText w:val=""/>
      <w:lvlJc w:val="left"/>
      <w:pPr>
        <w:ind w:left="851" w:hanging="426"/>
      </w:pPr>
      <w:rPr>
        <w:rFonts w:hint="default"/>
      </w:rPr>
    </w:lvl>
    <w:lvl w:ilvl="4" w:tplc="D05862EA">
      <w:start w:val="1"/>
      <w:numFmt w:val="none"/>
      <w:lvlRestart w:val="0"/>
      <w:lvlText w:val=""/>
      <w:lvlJc w:val="left"/>
      <w:pPr>
        <w:ind w:left="851" w:hanging="426"/>
      </w:pPr>
      <w:rPr>
        <w:rFonts w:hint="default"/>
      </w:rPr>
    </w:lvl>
    <w:lvl w:ilvl="5" w:tplc="4A6C5E82">
      <w:start w:val="1"/>
      <w:numFmt w:val="none"/>
      <w:lvlRestart w:val="0"/>
      <w:lvlText w:val=""/>
      <w:lvlJc w:val="left"/>
      <w:pPr>
        <w:ind w:left="851" w:hanging="426"/>
      </w:pPr>
      <w:rPr>
        <w:rFonts w:hint="default"/>
      </w:rPr>
    </w:lvl>
    <w:lvl w:ilvl="6" w:tplc="F7E6FE7A">
      <w:start w:val="1"/>
      <w:numFmt w:val="none"/>
      <w:lvlRestart w:val="0"/>
      <w:lvlText w:val=""/>
      <w:lvlJc w:val="left"/>
      <w:pPr>
        <w:ind w:left="851" w:hanging="426"/>
      </w:pPr>
      <w:rPr>
        <w:rFonts w:hint="default"/>
      </w:rPr>
    </w:lvl>
    <w:lvl w:ilvl="7" w:tplc="165C2294">
      <w:start w:val="1"/>
      <w:numFmt w:val="none"/>
      <w:lvlRestart w:val="0"/>
      <w:lvlText w:val=""/>
      <w:lvlJc w:val="left"/>
      <w:pPr>
        <w:ind w:left="851" w:hanging="426"/>
      </w:pPr>
      <w:rPr>
        <w:rFonts w:hint="default"/>
      </w:rPr>
    </w:lvl>
    <w:lvl w:ilvl="8" w:tplc="E7568D36">
      <w:start w:val="1"/>
      <w:numFmt w:val="none"/>
      <w:lvlRestart w:val="0"/>
      <w:lvlText w:val=""/>
      <w:lvlJc w:val="left"/>
      <w:pPr>
        <w:ind w:left="851" w:hanging="426"/>
      </w:pPr>
      <w:rPr>
        <w:rFonts w:hint="default"/>
      </w:rPr>
    </w:lvl>
  </w:abstractNum>
  <w:abstractNum w:abstractNumId="7" w15:restartNumberingAfterBreak="0">
    <w:nsid w:val="14756F3F"/>
    <w:multiLevelType w:val="hybridMultilevel"/>
    <w:tmpl w:val="7AFA4F3A"/>
    <w:lvl w:ilvl="0" w:tplc="35BE4A2E">
      <w:start w:val="1"/>
      <w:numFmt w:val="decimal"/>
      <w:pStyle w:val="STPR2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132EA6"/>
    <w:multiLevelType w:val="hybridMultilevel"/>
    <w:tmpl w:val="A99C6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3A70AA"/>
    <w:multiLevelType w:val="hybridMultilevel"/>
    <w:tmpl w:val="0E682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811B0F"/>
    <w:multiLevelType w:val="hybridMultilevel"/>
    <w:tmpl w:val="15F0F098"/>
    <w:lvl w:ilvl="0" w:tplc="E4E4AAD6">
      <w:start w:val="1"/>
      <w:numFmt w:val="bullet"/>
      <w:pStyle w:val="BulletLevel1"/>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B457D1"/>
    <w:multiLevelType w:val="hybridMultilevel"/>
    <w:tmpl w:val="5CFCB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54570F"/>
    <w:multiLevelType w:val="multilevel"/>
    <w:tmpl w:val="4F36344C"/>
    <w:lvl w:ilvl="0">
      <w:start w:val="1"/>
      <w:numFmt w:val="upperLetter"/>
      <w:lvlRestart w:val="0"/>
      <w:pStyle w:val="Appendix"/>
      <w:suff w:val="space"/>
      <w:lvlText w:val="Appendix %1:"/>
      <w:lvlJc w:val="left"/>
      <w:pPr>
        <w:ind w:left="0" w:firstLine="0"/>
      </w:pPr>
      <w:rPr>
        <w:rFonts w:hint="default"/>
      </w:rPr>
    </w:lvl>
    <w:lvl w:ilvl="1">
      <w:start w:val="1"/>
      <w:numFmt w:val="decimal"/>
      <w:pStyle w:val="AppendixHeading2"/>
      <w:lvlText w:val="%1.%2"/>
      <w:lvlJc w:val="left"/>
      <w:pPr>
        <w:ind w:left="357" w:hanging="357"/>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13" w15:restartNumberingAfterBreak="0">
    <w:nsid w:val="3A5F1748"/>
    <w:multiLevelType w:val="multilevel"/>
    <w:tmpl w:val="EED06878"/>
    <w:lvl w:ilvl="0">
      <w:start w:val="1"/>
      <w:numFmt w:val="decimal"/>
      <w:pStyle w:val="Table2number"/>
      <w:lvlText w:val="%1)"/>
      <w:lvlJc w:val="left"/>
      <w:pPr>
        <w:tabs>
          <w:tab w:val="num" w:pos="567"/>
        </w:tabs>
        <w:ind w:left="567" w:hanging="284"/>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F043F9A"/>
    <w:multiLevelType w:val="hybridMultilevel"/>
    <w:tmpl w:val="8E5E1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582210"/>
    <w:multiLevelType w:val="hybridMultilevel"/>
    <w:tmpl w:val="12A80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5D1B23"/>
    <w:multiLevelType w:val="multilevel"/>
    <w:tmpl w:val="679644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443188"/>
    <w:multiLevelType w:val="hybridMultilevel"/>
    <w:tmpl w:val="AAFC1748"/>
    <w:lvl w:ilvl="0" w:tplc="A596F742">
      <w:start w:val="1"/>
      <w:numFmt w:val="bullet"/>
      <w:pStyle w:val="STPR2BulletsLevel1"/>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EB961BB"/>
    <w:multiLevelType w:val="hybridMultilevel"/>
    <w:tmpl w:val="5FD840C4"/>
    <w:lvl w:ilvl="0" w:tplc="24762B84">
      <w:start w:val="1"/>
      <w:numFmt w:val="bullet"/>
      <w:pStyle w:val="STPR2BulletsLevel2"/>
      <w:lvlText w:val="-"/>
      <w:lvlJc w:val="left"/>
      <w:pPr>
        <w:ind w:left="1004" w:hanging="360"/>
      </w:pPr>
      <w:rPr>
        <w:rFonts w:ascii="Courier New" w:hAnsi="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20" w15:restartNumberingAfterBreak="0">
    <w:nsid w:val="4FE83D05"/>
    <w:multiLevelType w:val="hybridMultilevel"/>
    <w:tmpl w:val="8EB2C5D6"/>
    <w:lvl w:ilvl="0" w:tplc="4EBE3FF4">
      <w:start w:val="1"/>
      <w:numFmt w:val="bullet"/>
      <w:pStyle w:val="Report-Bulleted1"/>
      <w:lvlText w:val=""/>
      <w:lvlJc w:val="left"/>
      <w:pPr>
        <w:ind w:left="1069"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95175E"/>
    <w:multiLevelType w:val="hybridMultilevel"/>
    <w:tmpl w:val="71CC34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5CE0FB8"/>
    <w:multiLevelType w:val="multilevel"/>
    <w:tmpl w:val="E73EB6EE"/>
    <w:lvl w:ilvl="0">
      <w:start w:val="1"/>
      <w:numFmt w:val="decimal"/>
      <w:pStyle w:val="Report-Heading1"/>
      <w:lvlText w:val="%1"/>
      <w:lvlJc w:val="left"/>
      <w:pPr>
        <w:ind w:left="851" w:hanging="851"/>
      </w:pPr>
      <w:rPr>
        <w:rFonts w:hint="default"/>
      </w:rPr>
    </w:lvl>
    <w:lvl w:ilvl="1">
      <w:start w:val="1"/>
      <w:numFmt w:val="decimal"/>
      <w:pStyle w:val="Report-Heading2"/>
      <w:lvlText w:val="%1.%2"/>
      <w:lvlJc w:val="left"/>
      <w:pPr>
        <w:ind w:left="851" w:hanging="851"/>
      </w:pPr>
      <w:rPr>
        <w:rFonts w:hint="default"/>
      </w:rPr>
    </w:lvl>
    <w:lvl w:ilvl="2">
      <w:start w:val="1"/>
      <w:numFmt w:val="decimal"/>
      <w:lvlText w:val="%1.%2.%3"/>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Report-FiguresDescription"/>
      <w:lvlText w:val="Figure %1.%4"/>
      <w:lvlJc w:val="left"/>
      <w:pPr>
        <w:ind w:left="851" w:hanging="851"/>
      </w:pPr>
      <w:rPr>
        <w:rFonts w:hint="default"/>
      </w:rPr>
    </w:lvl>
    <w:lvl w:ilvl="4">
      <w:start w:val="1"/>
      <w:numFmt w:val="decimal"/>
      <w:pStyle w:val="Report-TablesDescription"/>
      <w:lvlText w:val="Table %1.%5"/>
      <w:lvlJc w:val="left"/>
      <w:pPr>
        <w:ind w:left="851" w:hanging="851"/>
      </w:pPr>
      <w:rPr>
        <w:rFonts w:hint="default"/>
        <w:color w:val="auto"/>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23" w15:restartNumberingAfterBreak="0">
    <w:nsid w:val="58C71ACE"/>
    <w:multiLevelType w:val="multilevel"/>
    <w:tmpl w:val="121E7E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D96FAB"/>
    <w:multiLevelType w:val="hybridMultilevel"/>
    <w:tmpl w:val="A5FEA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E187D78"/>
    <w:multiLevelType w:val="multilevel"/>
    <w:tmpl w:val="7A98A326"/>
    <w:lvl w:ilvl="0">
      <w:start w:val="3"/>
      <w:numFmt w:val="bullet"/>
      <w:lvlText w:val="-"/>
      <w:lvlJc w:val="left"/>
      <w:pPr>
        <w:ind w:left="284" w:hanging="284"/>
      </w:pPr>
      <w:rPr>
        <w:rFonts w:ascii="Calibri" w:eastAsiaTheme="minorEastAsia" w:hAnsi="Calibri" w:cs="Calibri" w:hint="default"/>
        <w:color w:val="auto"/>
      </w:rPr>
    </w:lvl>
    <w:lvl w:ilvl="1">
      <w:start w:val="1"/>
      <w:numFmt w:val="bullet"/>
      <w:lvlText w:val="─"/>
      <w:lvlJc w:val="left"/>
      <w:pPr>
        <w:ind w:left="568" w:hanging="284"/>
      </w:pPr>
      <w:rPr>
        <w:rFonts w:ascii="Calibri" w:hAnsi="Calibri" w:cs="Times New Roman" w:hint="default"/>
        <w:color w:val="auto"/>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cs="Times New Roman"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cs="Times New Roman" w:hint="default"/>
        <w:color w:val="auto"/>
      </w:rPr>
    </w:lvl>
    <w:lvl w:ilvl="8">
      <w:start w:val="1"/>
      <w:numFmt w:val="bullet"/>
      <w:lvlText w:val=""/>
      <w:lvlJc w:val="left"/>
      <w:pPr>
        <w:ind w:left="2556" w:hanging="284"/>
      </w:pPr>
      <w:rPr>
        <w:rFonts w:ascii="Wingdings" w:hAnsi="Wingdings" w:hint="default"/>
      </w:rPr>
    </w:lvl>
  </w:abstractNum>
  <w:abstractNum w:abstractNumId="26" w15:restartNumberingAfterBreak="0">
    <w:nsid w:val="65535D3F"/>
    <w:multiLevelType w:val="hybridMultilevel"/>
    <w:tmpl w:val="07AE0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EFE498B"/>
    <w:multiLevelType w:val="multilevel"/>
    <w:tmpl w:val="1536062C"/>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tabs>
          <w:tab w:val="num" w:pos="851"/>
        </w:tabs>
        <w:ind w:left="850" w:hanging="425"/>
      </w:pPr>
      <w:rPr>
        <w:rFonts w:ascii="Calibri" w:hAnsi="Calibri" w:hint="default"/>
        <w:color w:val="auto"/>
      </w:rPr>
    </w:lvl>
    <w:lvl w:ilvl="2">
      <w:start w:val="1"/>
      <w:numFmt w:val="bullet"/>
      <w:pStyle w:val="ListBullet3"/>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28" w15:restartNumberingAfterBreak="0">
    <w:nsid w:val="710C2213"/>
    <w:multiLevelType w:val="hybridMultilevel"/>
    <w:tmpl w:val="5F0CE574"/>
    <w:lvl w:ilvl="0" w:tplc="4E743FB0">
      <w:start w:val="1"/>
      <w:numFmt w:val="lowerLetter"/>
      <w:pStyle w:val="STPR2LetterList"/>
      <w:lvlText w:val="%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A14F1D"/>
    <w:multiLevelType w:val="hybridMultilevel"/>
    <w:tmpl w:val="3140BA90"/>
    <w:lvl w:ilvl="0" w:tplc="C4A2366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EB4C63"/>
    <w:multiLevelType w:val="hybridMultilevel"/>
    <w:tmpl w:val="7EA64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54A7A97"/>
    <w:multiLevelType w:val="hybridMultilevel"/>
    <w:tmpl w:val="6A90773C"/>
    <w:lvl w:ilvl="0" w:tplc="C496580A">
      <w:start w:val="1"/>
      <w:numFmt w:val="bullet"/>
      <w:lvlText w:val="§"/>
      <w:lvlJc w:val="left"/>
      <w:pPr>
        <w:ind w:left="720" w:hanging="360"/>
      </w:pPr>
      <w:rPr>
        <w:rFonts w:ascii="Wingdings" w:hAnsi="Wingdings" w:hint="default"/>
      </w:rPr>
    </w:lvl>
    <w:lvl w:ilvl="1" w:tplc="F4A05958">
      <w:start w:val="1"/>
      <w:numFmt w:val="bullet"/>
      <w:lvlText w:val="o"/>
      <w:lvlJc w:val="left"/>
      <w:pPr>
        <w:ind w:left="1440" w:hanging="360"/>
      </w:pPr>
      <w:rPr>
        <w:rFonts w:ascii="Courier New" w:hAnsi="Courier New" w:hint="default"/>
      </w:rPr>
    </w:lvl>
    <w:lvl w:ilvl="2" w:tplc="1FB4A1AE">
      <w:start w:val="1"/>
      <w:numFmt w:val="bullet"/>
      <w:lvlText w:val=""/>
      <w:lvlJc w:val="left"/>
      <w:pPr>
        <w:ind w:left="2160" w:hanging="360"/>
      </w:pPr>
      <w:rPr>
        <w:rFonts w:ascii="Wingdings" w:hAnsi="Wingdings" w:hint="default"/>
      </w:rPr>
    </w:lvl>
    <w:lvl w:ilvl="3" w:tplc="1376F19A">
      <w:start w:val="1"/>
      <w:numFmt w:val="bullet"/>
      <w:lvlText w:val=""/>
      <w:lvlJc w:val="left"/>
      <w:pPr>
        <w:ind w:left="2880" w:hanging="360"/>
      </w:pPr>
      <w:rPr>
        <w:rFonts w:ascii="Symbol" w:hAnsi="Symbol" w:hint="default"/>
      </w:rPr>
    </w:lvl>
    <w:lvl w:ilvl="4" w:tplc="3BBCFFAE">
      <w:start w:val="1"/>
      <w:numFmt w:val="bullet"/>
      <w:lvlText w:val="o"/>
      <w:lvlJc w:val="left"/>
      <w:pPr>
        <w:ind w:left="3600" w:hanging="360"/>
      </w:pPr>
      <w:rPr>
        <w:rFonts w:ascii="Courier New" w:hAnsi="Courier New" w:hint="default"/>
      </w:rPr>
    </w:lvl>
    <w:lvl w:ilvl="5" w:tplc="5B1CDCDA">
      <w:start w:val="1"/>
      <w:numFmt w:val="bullet"/>
      <w:lvlText w:val=""/>
      <w:lvlJc w:val="left"/>
      <w:pPr>
        <w:ind w:left="4320" w:hanging="360"/>
      </w:pPr>
      <w:rPr>
        <w:rFonts w:ascii="Wingdings" w:hAnsi="Wingdings" w:hint="default"/>
      </w:rPr>
    </w:lvl>
    <w:lvl w:ilvl="6" w:tplc="1168076E">
      <w:start w:val="1"/>
      <w:numFmt w:val="bullet"/>
      <w:lvlText w:val=""/>
      <w:lvlJc w:val="left"/>
      <w:pPr>
        <w:ind w:left="5040" w:hanging="360"/>
      </w:pPr>
      <w:rPr>
        <w:rFonts w:ascii="Symbol" w:hAnsi="Symbol" w:hint="default"/>
      </w:rPr>
    </w:lvl>
    <w:lvl w:ilvl="7" w:tplc="4B2E7F8E">
      <w:start w:val="1"/>
      <w:numFmt w:val="bullet"/>
      <w:lvlText w:val="o"/>
      <w:lvlJc w:val="left"/>
      <w:pPr>
        <w:ind w:left="5760" w:hanging="360"/>
      </w:pPr>
      <w:rPr>
        <w:rFonts w:ascii="Courier New" w:hAnsi="Courier New" w:hint="default"/>
      </w:rPr>
    </w:lvl>
    <w:lvl w:ilvl="8" w:tplc="C8365108">
      <w:start w:val="1"/>
      <w:numFmt w:val="bullet"/>
      <w:lvlText w:val=""/>
      <w:lvlJc w:val="left"/>
      <w:pPr>
        <w:ind w:left="6480" w:hanging="360"/>
      </w:pPr>
      <w:rPr>
        <w:rFonts w:ascii="Wingdings" w:hAnsi="Wingdings" w:hint="default"/>
      </w:rPr>
    </w:lvl>
  </w:abstractNum>
  <w:abstractNum w:abstractNumId="32" w15:restartNumberingAfterBreak="0">
    <w:nsid w:val="76F26C0E"/>
    <w:multiLevelType w:val="multilevel"/>
    <w:tmpl w:val="606A57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8"/>
  </w:num>
  <w:num w:numId="3">
    <w:abstractNumId w:val="7"/>
  </w:num>
  <w:num w:numId="4">
    <w:abstractNumId w:val="0"/>
  </w:num>
  <w:num w:numId="5">
    <w:abstractNumId w:val="5"/>
  </w:num>
  <w:num w:numId="6">
    <w:abstractNumId w:val="10"/>
  </w:num>
  <w:num w:numId="7">
    <w:abstractNumId w:val="22"/>
  </w:num>
  <w:num w:numId="8">
    <w:abstractNumId w:val="20"/>
  </w:num>
  <w:num w:numId="9">
    <w:abstractNumId w:val="13"/>
  </w:num>
  <w:num w:numId="10">
    <w:abstractNumId w:val="6"/>
  </w:num>
  <w:num w:numId="11">
    <w:abstractNumId w:val="27"/>
  </w:num>
  <w:num w:numId="12">
    <w:abstractNumId w:val="28"/>
    <w:lvlOverride w:ilvl="0">
      <w:startOverride w:val="1"/>
    </w:lvlOverride>
  </w:num>
  <w:num w:numId="13">
    <w:abstractNumId w:val="2"/>
  </w:num>
  <w:num w:numId="14">
    <w:abstractNumId w:val="23"/>
  </w:num>
  <w:num w:numId="15">
    <w:abstractNumId w:val="1"/>
  </w:num>
  <w:num w:numId="16">
    <w:abstractNumId w:val="16"/>
  </w:num>
  <w:num w:numId="17">
    <w:abstractNumId w:val="32"/>
  </w:num>
  <w:num w:numId="18">
    <w:abstractNumId w:val="19"/>
  </w:num>
  <w:num w:numId="19">
    <w:abstractNumId w:val="7"/>
    <w:lvlOverride w:ilvl="0">
      <w:startOverride w:val="1"/>
    </w:lvlOverride>
  </w:num>
  <w:num w:numId="20">
    <w:abstractNumId w:val="29"/>
  </w:num>
  <w:num w:numId="21">
    <w:abstractNumId w:val="7"/>
    <w:lvlOverride w:ilvl="0">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7"/>
  </w:num>
  <w:num w:numId="26">
    <w:abstractNumId w:val="31"/>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14"/>
  </w:num>
  <w:num w:numId="30">
    <w:abstractNumId w:val="3"/>
  </w:num>
  <w:num w:numId="31">
    <w:abstractNumId w:val="26"/>
  </w:num>
  <w:num w:numId="32">
    <w:abstractNumId w:val="24"/>
  </w:num>
  <w:num w:numId="33">
    <w:abstractNumId w:val="9"/>
  </w:num>
  <w:num w:numId="34">
    <w:abstractNumId w:val="30"/>
  </w:num>
  <w:num w:numId="35">
    <w:abstractNumId w:val="11"/>
  </w:num>
  <w:num w:numId="36">
    <w:abstractNumId w:val="15"/>
  </w:num>
  <w:num w:numId="37">
    <w:abstractNumId w:val="8"/>
  </w:num>
  <w:num w:numId="38">
    <w:abstractNumId w:val="17"/>
  </w:num>
  <w:num w:numId="39">
    <w:abstractNumId w:val="5"/>
  </w:num>
  <w:num w:numId="40">
    <w:abstractNumId w:val="12"/>
  </w:num>
  <w:num w:numId="41">
    <w:abstractNumId w:val="12"/>
  </w:num>
  <w:num w:numId="42">
    <w:abstractNumId w:val="4"/>
  </w:num>
  <w:num w:numId="43">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87"/>
    <w:rsid w:val="0000004B"/>
    <w:rsid w:val="0000061A"/>
    <w:rsid w:val="00000749"/>
    <w:rsid w:val="00000EE3"/>
    <w:rsid w:val="000016C0"/>
    <w:rsid w:val="00002536"/>
    <w:rsid w:val="0000470B"/>
    <w:rsid w:val="00004857"/>
    <w:rsid w:val="00004961"/>
    <w:rsid w:val="00004BB6"/>
    <w:rsid w:val="00005056"/>
    <w:rsid w:val="00006230"/>
    <w:rsid w:val="00006439"/>
    <w:rsid w:val="0000667C"/>
    <w:rsid w:val="000076CD"/>
    <w:rsid w:val="00007FF0"/>
    <w:rsid w:val="00010487"/>
    <w:rsid w:val="000106EB"/>
    <w:rsid w:val="000109DF"/>
    <w:rsid w:val="000113A5"/>
    <w:rsid w:val="00013C0F"/>
    <w:rsid w:val="00014925"/>
    <w:rsid w:val="00014C58"/>
    <w:rsid w:val="000157AE"/>
    <w:rsid w:val="000176FF"/>
    <w:rsid w:val="00017C17"/>
    <w:rsid w:val="00017D17"/>
    <w:rsid w:val="00017F1B"/>
    <w:rsid w:val="000207B4"/>
    <w:rsid w:val="0002251B"/>
    <w:rsid w:val="000225BE"/>
    <w:rsid w:val="000228E5"/>
    <w:rsid w:val="00023584"/>
    <w:rsid w:val="0002396D"/>
    <w:rsid w:val="00023A9C"/>
    <w:rsid w:val="0002457C"/>
    <w:rsid w:val="000258F9"/>
    <w:rsid w:val="000263EA"/>
    <w:rsid w:val="00026C6A"/>
    <w:rsid w:val="000276E9"/>
    <w:rsid w:val="00027FA0"/>
    <w:rsid w:val="000304FF"/>
    <w:rsid w:val="00030905"/>
    <w:rsid w:val="0003107F"/>
    <w:rsid w:val="00031080"/>
    <w:rsid w:val="000313BF"/>
    <w:rsid w:val="00031756"/>
    <w:rsid w:val="0003181C"/>
    <w:rsid w:val="00032926"/>
    <w:rsid w:val="00033112"/>
    <w:rsid w:val="000337DD"/>
    <w:rsid w:val="000345AE"/>
    <w:rsid w:val="00034943"/>
    <w:rsid w:val="00035CDD"/>
    <w:rsid w:val="00035E3A"/>
    <w:rsid w:val="00035F7F"/>
    <w:rsid w:val="0003674C"/>
    <w:rsid w:val="00037329"/>
    <w:rsid w:val="00037478"/>
    <w:rsid w:val="000375A3"/>
    <w:rsid w:val="000406FF"/>
    <w:rsid w:val="00040B1A"/>
    <w:rsid w:val="00041219"/>
    <w:rsid w:val="00042081"/>
    <w:rsid w:val="00042500"/>
    <w:rsid w:val="000425D0"/>
    <w:rsid w:val="0004306F"/>
    <w:rsid w:val="0004367E"/>
    <w:rsid w:val="00043747"/>
    <w:rsid w:val="00044C3E"/>
    <w:rsid w:val="00044FCB"/>
    <w:rsid w:val="00045985"/>
    <w:rsid w:val="00045F7B"/>
    <w:rsid w:val="00046786"/>
    <w:rsid w:val="00046DC5"/>
    <w:rsid w:val="000478A1"/>
    <w:rsid w:val="000520B8"/>
    <w:rsid w:val="0005387C"/>
    <w:rsid w:val="00053D91"/>
    <w:rsid w:val="00054C0D"/>
    <w:rsid w:val="00055419"/>
    <w:rsid w:val="00055FA3"/>
    <w:rsid w:val="00056DED"/>
    <w:rsid w:val="00056FA0"/>
    <w:rsid w:val="0005764A"/>
    <w:rsid w:val="000601CE"/>
    <w:rsid w:val="000605C1"/>
    <w:rsid w:val="00060F44"/>
    <w:rsid w:val="00062006"/>
    <w:rsid w:val="00063865"/>
    <w:rsid w:val="0006599C"/>
    <w:rsid w:val="00067136"/>
    <w:rsid w:val="00070658"/>
    <w:rsid w:val="0007227D"/>
    <w:rsid w:val="0007297C"/>
    <w:rsid w:val="0007502B"/>
    <w:rsid w:val="000751F3"/>
    <w:rsid w:val="000806A4"/>
    <w:rsid w:val="00080948"/>
    <w:rsid w:val="000817AB"/>
    <w:rsid w:val="00081C11"/>
    <w:rsid w:val="00082844"/>
    <w:rsid w:val="00082A76"/>
    <w:rsid w:val="00082AC4"/>
    <w:rsid w:val="00083CB4"/>
    <w:rsid w:val="000859B3"/>
    <w:rsid w:val="00085FB0"/>
    <w:rsid w:val="000864CF"/>
    <w:rsid w:val="00086B70"/>
    <w:rsid w:val="0009167B"/>
    <w:rsid w:val="00091E29"/>
    <w:rsid w:val="00092109"/>
    <w:rsid w:val="00092361"/>
    <w:rsid w:val="0009270E"/>
    <w:rsid w:val="00093363"/>
    <w:rsid w:val="00093E67"/>
    <w:rsid w:val="000940A3"/>
    <w:rsid w:val="00094685"/>
    <w:rsid w:val="00094D95"/>
    <w:rsid w:val="000951A5"/>
    <w:rsid w:val="000952DE"/>
    <w:rsid w:val="00095900"/>
    <w:rsid w:val="00095E43"/>
    <w:rsid w:val="0009789B"/>
    <w:rsid w:val="00097D4B"/>
    <w:rsid w:val="00097E61"/>
    <w:rsid w:val="000A033F"/>
    <w:rsid w:val="000A1682"/>
    <w:rsid w:val="000A1B2B"/>
    <w:rsid w:val="000A1BF0"/>
    <w:rsid w:val="000A1F51"/>
    <w:rsid w:val="000A338F"/>
    <w:rsid w:val="000A532A"/>
    <w:rsid w:val="000A5FDB"/>
    <w:rsid w:val="000A7CC8"/>
    <w:rsid w:val="000A7D0F"/>
    <w:rsid w:val="000B0A8A"/>
    <w:rsid w:val="000B1DAD"/>
    <w:rsid w:val="000B2771"/>
    <w:rsid w:val="000B309E"/>
    <w:rsid w:val="000B31CA"/>
    <w:rsid w:val="000B3551"/>
    <w:rsid w:val="000B371E"/>
    <w:rsid w:val="000B4F08"/>
    <w:rsid w:val="000B57C6"/>
    <w:rsid w:val="000B7054"/>
    <w:rsid w:val="000C00D0"/>
    <w:rsid w:val="000C0C6E"/>
    <w:rsid w:val="000C10DE"/>
    <w:rsid w:val="000C17D5"/>
    <w:rsid w:val="000C1A81"/>
    <w:rsid w:val="000C26F8"/>
    <w:rsid w:val="000C3D16"/>
    <w:rsid w:val="000C51C2"/>
    <w:rsid w:val="000C60B1"/>
    <w:rsid w:val="000C6250"/>
    <w:rsid w:val="000C65C0"/>
    <w:rsid w:val="000C6958"/>
    <w:rsid w:val="000C6EB6"/>
    <w:rsid w:val="000C71F5"/>
    <w:rsid w:val="000D01B4"/>
    <w:rsid w:val="000D0E29"/>
    <w:rsid w:val="000D0E97"/>
    <w:rsid w:val="000D119A"/>
    <w:rsid w:val="000D17AD"/>
    <w:rsid w:val="000D181A"/>
    <w:rsid w:val="000D243B"/>
    <w:rsid w:val="000D243F"/>
    <w:rsid w:val="000D2EE5"/>
    <w:rsid w:val="000D3554"/>
    <w:rsid w:val="000D3575"/>
    <w:rsid w:val="000D397C"/>
    <w:rsid w:val="000D4C88"/>
    <w:rsid w:val="000D60FB"/>
    <w:rsid w:val="000D67E8"/>
    <w:rsid w:val="000D7042"/>
    <w:rsid w:val="000D7E50"/>
    <w:rsid w:val="000E0479"/>
    <w:rsid w:val="000E06A5"/>
    <w:rsid w:val="000E1008"/>
    <w:rsid w:val="000E15E2"/>
    <w:rsid w:val="000E1F82"/>
    <w:rsid w:val="000E27CD"/>
    <w:rsid w:val="000E2FA8"/>
    <w:rsid w:val="000E362C"/>
    <w:rsid w:val="000E6F0C"/>
    <w:rsid w:val="000E7074"/>
    <w:rsid w:val="000E7E9D"/>
    <w:rsid w:val="000F0675"/>
    <w:rsid w:val="000F073B"/>
    <w:rsid w:val="000F1D10"/>
    <w:rsid w:val="000F2EC1"/>
    <w:rsid w:val="000F36A1"/>
    <w:rsid w:val="000F4560"/>
    <w:rsid w:val="000F475F"/>
    <w:rsid w:val="000F68DF"/>
    <w:rsid w:val="000F6E95"/>
    <w:rsid w:val="000F6EF1"/>
    <w:rsid w:val="00105682"/>
    <w:rsid w:val="00105BA0"/>
    <w:rsid w:val="00106026"/>
    <w:rsid w:val="001061CC"/>
    <w:rsid w:val="00106FD9"/>
    <w:rsid w:val="001070DA"/>
    <w:rsid w:val="0010713E"/>
    <w:rsid w:val="001073A8"/>
    <w:rsid w:val="001109C6"/>
    <w:rsid w:val="00111FFE"/>
    <w:rsid w:val="00113129"/>
    <w:rsid w:val="00114350"/>
    <w:rsid w:val="001144FF"/>
    <w:rsid w:val="00115518"/>
    <w:rsid w:val="00115F1F"/>
    <w:rsid w:val="00116ECA"/>
    <w:rsid w:val="00117740"/>
    <w:rsid w:val="00120076"/>
    <w:rsid w:val="00120489"/>
    <w:rsid w:val="001208FD"/>
    <w:rsid w:val="00120A6D"/>
    <w:rsid w:val="00120CD6"/>
    <w:rsid w:val="001213BB"/>
    <w:rsid w:val="00121DB6"/>
    <w:rsid w:val="00122154"/>
    <w:rsid w:val="00122250"/>
    <w:rsid w:val="001229B0"/>
    <w:rsid w:val="00122C9C"/>
    <w:rsid w:val="00122F4E"/>
    <w:rsid w:val="00123607"/>
    <w:rsid w:val="0012459E"/>
    <w:rsid w:val="00126BEB"/>
    <w:rsid w:val="00126DD7"/>
    <w:rsid w:val="00127181"/>
    <w:rsid w:val="00131663"/>
    <w:rsid w:val="00131E0E"/>
    <w:rsid w:val="00132726"/>
    <w:rsid w:val="00132C8A"/>
    <w:rsid w:val="00133B08"/>
    <w:rsid w:val="00134F7C"/>
    <w:rsid w:val="00135BD6"/>
    <w:rsid w:val="0013672F"/>
    <w:rsid w:val="001400EB"/>
    <w:rsid w:val="00140D01"/>
    <w:rsid w:val="00141FCE"/>
    <w:rsid w:val="00143094"/>
    <w:rsid w:val="0014342E"/>
    <w:rsid w:val="00143AD5"/>
    <w:rsid w:val="00144359"/>
    <w:rsid w:val="00146E98"/>
    <w:rsid w:val="0015010A"/>
    <w:rsid w:val="00151D49"/>
    <w:rsid w:val="00151DC0"/>
    <w:rsid w:val="00152A5E"/>
    <w:rsid w:val="001553D6"/>
    <w:rsid w:val="00155998"/>
    <w:rsid w:val="001559E1"/>
    <w:rsid w:val="001568BE"/>
    <w:rsid w:val="00156AD2"/>
    <w:rsid w:val="00156EC4"/>
    <w:rsid w:val="00160406"/>
    <w:rsid w:val="001604B8"/>
    <w:rsid w:val="00160563"/>
    <w:rsid w:val="00160BB3"/>
    <w:rsid w:val="00162B1F"/>
    <w:rsid w:val="001638C7"/>
    <w:rsid w:val="00163C3A"/>
    <w:rsid w:val="00164FF0"/>
    <w:rsid w:val="00166413"/>
    <w:rsid w:val="001665BB"/>
    <w:rsid w:val="00167C43"/>
    <w:rsid w:val="00167C76"/>
    <w:rsid w:val="0017058D"/>
    <w:rsid w:val="0017074F"/>
    <w:rsid w:val="00170996"/>
    <w:rsid w:val="00171220"/>
    <w:rsid w:val="00172264"/>
    <w:rsid w:val="00172742"/>
    <w:rsid w:val="0017377E"/>
    <w:rsid w:val="00174434"/>
    <w:rsid w:val="001745BA"/>
    <w:rsid w:val="0017483F"/>
    <w:rsid w:val="00174DA8"/>
    <w:rsid w:val="0017517B"/>
    <w:rsid w:val="00177546"/>
    <w:rsid w:val="001812C8"/>
    <w:rsid w:val="0018155A"/>
    <w:rsid w:val="0018324C"/>
    <w:rsid w:val="00183AD2"/>
    <w:rsid w:val="00184206"/>
    <w:rsid w:val="00185A5F"/>
    <w:rsid w:val="00185C52"/>
    <w:rsid w:val="001863C9"/>
    <w:rsid w:val="00187115"/>
    <w:rsid w:val="001876C0"/>
    <w:rsid w:val="00187BF9"/>
    <w:rsid w:val="00187E77"/>
    <w:rsid w:val="00187EB6"/>
    <w:rsid w:val="00190E0D"/>
    <w:rsid w:val="00191667"/>
    <w:rsid w:val="00192122"/>
    <w:rsid w:val="00192A04"/>
    <w:rsid w:val="00193CB5"/>
    <w:rsid w:val="0019435F"/>
    <w:rsid w:val="0019587F"/>
    <w:rsid w:val="001A07B8"/>
    <w:rsid w:val="001A0B8D"/>
    <w:rsid w:val="001A0C94"/>
    <w:rsid w:val="001A1FA0"/>
    <w:rsid w:val="001A42B7"/>
    <w:rsid w:val="001A5F7B"/>
    <w:rsid w:val="001A612F"/>
    <w:rsid w:val="001B0663"/>
    <w:rsid w:val="001B0D90"/>
    <w:rsid w:val="001B1081"/>
    <w:rsid w:val="001B15B9"/>
    <w:rsid w:val="001B1DF8"/>
    <w:rsid w:val="001B2D07"/>
    <w:rsid w:val="001B370C"/>
    <w:rsid w:val="001B665B"/>
    <w:rsid w:val="001B6C0A"/>
    <w:rsid w:val="001C0365"/>
    <w:rsid w:val="001C2FB7"/>
    <w:rsid w:val="001C358E"/>
    <w:rsid w:val="001C3C00"/>
    <w:rsid w:val="001C3C99"/>
    <w:rsid w:val="001C4C14"/>
    <w:rsid w:val="001C5544"/>
    <w:rsid w:val="001C5F06"/>
    <w:rsid w:val="001C61FA"/>
    <w:rsid w:val="001C66B6"/>
    <w:rsid w:val="001C6856"/>
    <w:rsid w:val="001C73B3"/>
    <w:rsid w:val="001C7BA4"/>
    <w:rsid w:val="001C7BF4"/>
    <w:rsid w:val="001D02A9"/>
    <w:rsid w:val="001D03F9"/>
    <w:rsid w:val="001D07BC"/>
    <w:rsid w:val="001D0CEA"/>
    <w:rsid w:val="001D15DF"/>
    <w:rsid w:val="001D16C3"/>
    <w:rsid w:val="001D2A7D"/>
    <w:rsid w:val="001D44AC"/>
    <w:rsid w:val="001D4949"/>
    <w:rsid w:val="001D5837"/>
    <w:rsid w:val="001D6284"/>
    <w:rsid w:val="001D6BCC"/>
    <w:rsid w:val="001E23BA"/>
    <w:rsid w:val="001E29D1"/>
    <w:rsid w:val="001E2A77"/>
    <w:rsid w:val="001E2E57"/>
    <w:rsid w:val="001E3CDF"/>
    <w:rsid w:val="001E3F2C"/>
    <w:rsid w:val="001E41C0"/>
    <w:rsid w:val="001E4A9A"/>
    <w:rsid w:val="001E5001"/>
    <w:rsid w:val="001E5F2C"/>
    <w:rsid w:val="001E6436"/>
    <w:rsid w:val="001E6AFE"/>
    <w:rsid w:val="001E6EC4"/>
    <w:rsid w:val="001F00A1"/>
    <w:rsid w:val="001F034F"/>
    <w:rsid w:val="001F1F91"/>
    <w:rsid w:val="001F2F33"/>
    <w:rsid w:val="001F3030"/>
    <w:rsid w:val="001F375F"/>
    <w:rsid w:val="001F3C94"/>
    <w:rsid w:val="001F5A77"/>
    <w:rsid w:val="001F6DB1"/>
    <w:rsid w:val="001F7215"/>
    <w:rsid w:val="001F7AC2"/>
    <w:rsid w:val="002000A2"/>
    <w:rsid w:val="00200316"/>
    <w:rsid w:val="002040C7"/>
    <w:rsid w:val="00204913"/>
    <w:rsid w:val="002049CB"/>
    <w:rsid w:val="00206149"/>
    <w:rsid w:val="00206629"/>
    <w:rsid w:val="002077F6"/>
    <w:rsid w:val="002078D0"/>
    <w:rsid w:val="002101A0"/>
    <w:rsid w:val="002131ED"/>
    <w:rsid w:val="002141AF"/>
    <w:rsid w:val="00214B38"/>
    <w:rsid w:val="0021740A"/>
    <w:rsid w:val="00217AE8"/>
    <w:rsid w:val="00220818"/>
    <w:rsid w:val="00220CDC"/>
    <w:rsid w:val="002210BD"/>
    <w:rsid w:val="00221A32"/>
    <w:rsid w:val="0022294B"/>
    <w:rsid w:val="00222A21"/>
    <w:rsid w:val="00223882"/>
    <w:rsid w:val="00224ED4"/>
    <w:rsid w:val="00225260"/>
    <w:rsid w:val="0022557F"/>
    <w:rsid w:val="00225868"/>
    <w:rsid w:val="00226491"/>
    <w:rsid w:val="00226EE5"/>
    <w:rsid w:val="00227686"/>
    <w:rsid w:val="00227B13"/>
    <w:rsid w:val="00230F37"/>
    <w:rsid w:val="002323A5"/>
    <w:rsid w:val="002330EA"/>
    <w:rsid w:val="002330ED"/>
    <w:rsid w:val="0023349C"/>
    <w:rsid w:val="00233AAC"/>
    <w:rsid w:val="0023440C"/>
    <w:rsid w:val="00234AF6"/>
    <w:rsid w:val="002351D2"/>
    <w:rsid w:val="002375A4"/>
    <w:rsid w:val="00240F49"/>
    <w:rsid w:val="00241650"/>
    <w:rsid w:val="0024239E"/>
    <w:rsid w:val="00242415"/>
    <w:rsid w:val="002426E2"/>
    <w:rsid w:val="00244DB1"/>
    <w:rsid w:val="00247085"/>
    <w:rsid w:val="0024786D"/>
    <w:rsid w:val="00250E81"/>
    <w:rsid w:val="0025124B"/>
    <w:rsid w:val="0025157C"/>
    <w:rsid w:val="00251775"/>
    <w:rsid w:val="00252B01"/>
    <w:rsid w:val="00253227"/>
    <w:rsid w:val="002532F3"/>
    <w:rsid w:val="002533F6"/>
    <w:rsid w:val="002546BC"/>
    <w:rsid w:val="00254766"/>
    <w:rsid w:val="002551C5"/>
    <w:rsid w:val="0025736C"/>
    <w:rsid w:val="00257474"/>
    <w:rsid w:val="002603D0"/>
    <w:rsid w:val="00260E55"/>
    <w:rsid w:val="0026163E"/>
    <w:rsid w:val="002619EF"/>
    <w:rsid w:val="00261E18"/>
    <w:rsid w:val="00262B56"/>
    <w:rsid w:val="00263B8B"/>
    <w:rsid w:val="00264B4B"/>
    <w:rsid w:val="0026505B"/>
    <w:rsid w:val="00266630"/>
    <w:rsid w:val="0026687B"/>
    <w:rsid w:val="002669A2"/>
    <w:rsid w:val="00267340"/>
    <w:rsid w:val="00267FA5"/>
    <w:rsid w:val="00271B8E"/>
    <w:rsid w:val="0027272E"/>
    <w:rsid w:val="00273A84"/>
    <w:rsid w:val="00276FC1"/>
    <w:rsid w:val="0027792D"/>
    <w:rsid w:val="0028087A"/>
    <w:rsid w:val="00280974"/>
    <w:rsid w:val="00282EBF"/>
    <w:rsid w:val="00284191"/>
    <w:rsid w:val="00285184"/>
    <w:rsid w:val="002851D3"/>
    <w:rsid w:val="00286887"/>
    <w:rsid w:val="00286DEF"/>
    <w:rsid w:val="00287381"/>
    <w:rsid w:val="00290002"/>
    <w:rsid w:val="00291098"/>
    <w:rsid w:val="002913C6"/>
    <w:rsid w:val="002922BB"/>
    <w:rsid w:val="0029393F"/>
    <w:rsid w:val="00293A74"/>
    <w:rsid w:val="00294C5F"/>
    <w:rsid w:val="00294F00"/>
    <w:rsid w:val="00295839"/>
    <w:rsid w:val="00295DD5"/>
    <w:rsid w:val="002975FF"/>
    <w:rsid w:val="0029770E"/>
    <w:rsid w:val="002977EA"/>
    <w:rsid w:val="00297FA6"/>
    <w:rsid w:val="002A025F"/>
    <w:rsid w:val="002A032D"/>
    <w:rsid w:val="002A04B6"/>
    <w:rsid w:val="002A0E77"/>
    <w:rsid w:val="002A1382"/>
    <w:rsid w:val="002A1817"/>
    <w:rsid w:val="002A19C6"/>
    <w:rsid w:val="002A5352"/>
    <w:rsid w:val="002A56D6"/>
    <w:rsid w:val="002A5AC4"/>
    <w:rsid w:val="002A668A"/>
    <w:rsid w:val="002A708F"/>
    <w:rsid w:val="002B0513"/>
    <w:rsid w:val="002B284D"/>
    <w:rsid w:val="002B3115"/>
    <w:rsid w:val="002B3718"/>
    <w:rsid w:val="002B3997"/>
    <w:rsid w:val="002B3D48"/>
    <w:rsid w:val="002B3D83"/>
    <w:rsid w:val="002B3DDC"/>
    <w:rsid w:val="002B42A9"/>
    <w:rsid w:val="002B4E72"/>
    <w:rsid w:val="002B4F1D"/>
    <w:rsid w:val="002B508B"/>
    <w:rsid w:val="002B5487"/>
    <w:rsid w:val="002B586E"/>
    <w:rsid w:val="002B618E"/>
    <w:rsid w:val="002B63D4"/>
    <w:rsid w:val="002B646E"/>
    <w:rsid w:val="002B6E6C"/>
    <w:rsid w:val="002B79F7"/>
    <w:rsid w:val="002C03D8"/>
    <w:rsid w:val="002C062E"/>
    <w:rsid w:val="002C13B6"/>
    <w:rsid w:val="002C1764"/>
    <w:rsid w:val="002C29E6"/>
    <w:rsid w:val="002C3D36"/>
    <w:rsid w:val="002C3ED4"/>
    <w:rsid w:val="002C408D"/>
    <w:rsid w:val="002C4AD7"/>
    <w:rsid w:val="002C611F"/>
    <w:rsid w:val="002C6F88"/>
    <w:rsid w:val="002C7F01"/>
    <w:rsid w:val="002D0680"/>
    <w:rsid w:val="002D0A61"/>
    <w:rsid w:val="002D0F61"/>
    <w:rsid w:val="002D1449"/>
    <w:rsid w:val="002D14EC"/>
    <w:rsid w:val="002D158E"/>
    <w:rsid w:val="002D1731"/>
    <w:rsid w:val="002D3390"/>
    <w:rsid w:val="002D397B"/>
    <w:rsid w:val="002D588E"/>
    <w:rsid w:val="002D745A"/>
    <w:rsid w:val="002E01E1"/>
    <w:rsid w:val="002E0951"/>
    <w:rsid w:val="002E0C49"/>
    <w:rsid w:val="002E1DDB"/>
    <w:rsid w:val="002E1F60"/>
    <w:rsid w:val="002E2C86"/>
    <w:rsid w:val="002E2EB2"/>
    <w:rsid w:val="002E45F6"/>
    <w:rsid w:val="002E4966"/>
    <w:rsid w:val="002E4A00"/>
    <w:rsid w:val="002E6880"/>
    <w:rsid w:val="002E69FB"/>
    <w:rsid w:val="002E6E62"/>
    <w:rsid w:val="002E7305"/>
    <w:rsid w:val="002E75DA"/>
    <w:rsid w:val="002E7859"/>
    <w:rsid w:val="002E7ED2"/>
    <w:rsid w:val="002F02E2"/>
    <w:rsid w:val="002F0752"/>
    <w:rsid w:val="002F1251"/>
    <w:rsid w:val="002F1334"/>
    <w:rsid w:val="002F5C07"/>
    <w:rsid w:val="002F5E93"/>
    <w:rsid w:val="002F6863"/>
    <w:rsid w:val="002F68A5"/>
    <w:rsid w:val="002F791E"/>
    <w:rsid w:val="002F7EB0"/>
    <w:rsid w:val="00301017"/>
    <w:rsid w:val="00301131"/>
    <w:rsid w:val="00301173"/>
    <w:rsid w:val="003016AC"/>
    <w:rsid w:val="003019FF"/>
    <w:rsid w:val="003032E1"/>
    <w:rsid w:val="0030396C"/>
    <w:rsid w:val="00303EB7"/>
    <w:rsid w:val="003059E2"/>
    <w:rsid w:val="0030625C"/>
    <w:rsid w:val="003076B8"/>
    <w:rsid w:val="00307862"/>
    <w:rsid w:val="00307E47"/>
    <w:rsid w:val="00311AE1"/>
    <w:rsid w:val="003132A8"/>
    <w:rsid w:val="003141DC"/>
    <w:rsid w:val="00314343"/>
    <w:rsid w:val="0031525E"/>
    <w:rsid w:val="0031577D"/>
    <w:rsid w:val="00315FE7"/>
    <w:rsid w:val="003169AC"/>
    <w:rsid w:val="00316B9C"/>
    <w:rsid w:val="00316F4D"/>
    <w:rsid w:val="00317AA1"/>
    <w:rsid w:val="00321D8F"/>
    <w:rsid w:val="003222C8"/>
    <w:rsid w:val="00322904"/>
    <w:rsid w:val="00322AF1"/>
    <w:rsid w:val="00322D44"/>
    <w:rsid w:val="00324E2C"/>
    <w:rsid w:val="00325887"/>
    <w:rsid w:val="00325A00"/>
    <w:rsid w:val="00326B44"/>
    <w:rsid w:val="0032777B"/>
    <w:rsid w:val="00330EDA"/>
    <w:rsid w:val="00332547"/>
    <w:rsid w:val="003332AF"/>
    <w:rsid w:val="00334E81"/>
    <w:rsid w:val="00335218"/>
    <w:rsid w:val="00335F43"/>
    <w:rsid w:val="00336C62"/>
    <w:rsid w:val="00336D9B"/>
    <w:rsid w:val="00336E9A"/>
    <w:rsid w:val="0034427B"/>
    <w:rsid w:val="00344EDC"/>
    <w:rsid w:val="003454F3"/>
    <w:rsid w:val="00345C7C"/>
    <w:rsid w:val="003467C7"/>
    <w:rsid w:val="00346CEE"/>
    <w:rsid w:val="00350143"/>
    <w:rsid w:val="00350DFE"/>
    <w:rsid w:val="003517A7"/>
    <w:rsid w:val="00351E4E"/>
    <w:rsid w:val="00351FDF"/>
    <w:rsid w:val="0035212D"/>
    <w:rsid w:val="003531E3"/>
    <w:rsid w:val="003547D1"/>
    <w:rsid w:val="00355174"/>
    <w:rsid w:val="00355C22"/>
    <w:rsid w:val="00356108"/>
    <w:rsid w:val="00357A1D"/>
    <w:rsid w:val="00357A27"/>
    <w:rsid w:val="00361007"/>
    <w:rsid w:val="00362A58"/>
    <w:rsid w:val="0036372A"/>
    <w:rsid w:val="00363D07"/>
    <w:rsid w:val="00364A5F"/>
    <w:rsid w:val="003653A4"/>
    <w:rsid w:val="0036542E"/>
    <w:rsid w:val="00366144"/>
    <w:rsid w:val="00366CF2"/>
    <w:rsid w:val="00366E76"/>
    <w:rsid w:val="003672B7"/>
    <w:rsid w:val="003678D8"/>
    <w:rsid w:val="00370BFF"/>
    <w:rsid w:val="00371317"/>
    <w:rsid w:val="00371369"/>
    <w:rsid w:val="00371FCC"/>
    <w:rsid w:val="00373427"/>
    <w:rsid w:val="00373582"/>
    <w:rsid w:val="00373F64"/>
    <w:rsid w:val="00374D72"/>
    <w:rsid w:val="003755E9"/>
    <w:rsid w:val="003761A6"/>
    <w:rsid w:val="00376B61"/>
    <w:rsid w:val="00376F4D"/>
    <w:rsid w:val="00377172"/>
    <w:rsid w:val="003771E9"/>
    <w:rsid w:val="003772FC"/>
    <w:rsid w:val="003774DF"/>
    <w:rsid w:val="003815D5"/>
    <w:rsid w:val="003817FC"/>
    <w:rsid w:val="0038197F"/>
    <w:rsid w:val="003823F5"/>
    <w:rsid w:val="0038271E"/>
    <w:rsid w:val="0038304A"/>
    <w:rsid w:val="00383EFF"/>
    <w:rsid w:val="00385F38"/>
    <w:rsid w:val="00387855"/>
    <w:rsid w:val="00387887"/>
    <w:rsid w:val="00391363"/>
    <w:rsid w:val="00391BCA"/>
    <w:rsid w:val="00391D71"/>
    <w:rsid w:val="00391DEA"/>
    <w:rsid w:val="00393185"/>
    <w:rsid w:val="003933E4"/>
    <w:rsid w:val="00393508"/>
    <w:rsid w:val="00393644"/>
    <w:rsid w:val="00393D72"/>
    <w:rsid w:val="003949E5"/>
    <w:rsid w:val="00395339"/>
    <w:rsid w:val="00395AB3"/>
    <w:rsid w:val="00396364"/>
    <w:rsid w:val="003968F6"/>
    <w:rsid w:val="00396B5B"/>
    <w:rsid w:val="003A303E"/>
    <w:rsid w:val="003A3B84"/>
    <w:rsid w:val="003A3E76"/>
    <w:rsid w:val="003A45B1"/>
    <w:rsid w:val="003A5EC1"/>
    <w:rsid w:val="003A7C88"/>
    <w:rsid w:val="003B0798"/>
    <w:rsid w:val="003B088A"/>
    <w:rsid w:val="003B1006"/>
    <w:rsid w:val="003B25C1"/>
    <w:rsid w:val="003B2975"/>
    <w:rsid w:val="003B29E8"/>
    <w:rsid w:val="003B2BE1"/>
    <w:rsid w:val="003B38F3"/>
    <w:rsid w:val="003B4C6C"/>
    <w:rsid w:val="003B5047"/>
    <w:rsid w:val="003B631B"/>
    <w:rsid w:val="003B646B"/>
    <w:rsid w:val="003B7326"/>
    <w:rsid w:val="003C12DF"/>
    <w:rsid w:val="003C2B2A"/>
    <w:rsid w:val="003C3816"/>
    <w:rsid w:val="003C5D9F"/>
    <w:rsid w:val="003C5E35"/>
    <w:rsid w:val="003C7CFC"/>
    <w:rsid w:val="003D02A7"/>
    <w:rsid w:val="003D1085"/>
    <w:rsid w:val="003D33EF"/>
    <w:rsid w:val="003D3A4E"/>
    <w:rsid w:val="003D3C8B"/>
    <w:rsid w:val="003D48CB"/>
    <w:rsid w:val="003D5382"/>
    <w:rsid w:val="003D644D"/>
    <w:rsid w:val="003E0907"/>
    <w:rsid w:val="003E0E7D"/>
    <w:rsid w:val="003E10D1"/>
    <w:rsid w:val="003E14BA"/>
    <w:rsid w:val="003E45B9"/>
    <w:rsid w:val="003E4E6A"/>
    <w:rsid w:val="003E5485"/>
    <w:rsid w:val="003E5983"/>
    <w:rsid w:val="003E5C7D"/>
    <w:rsid w:val="003E6645"/>
    <w:rsid w:val="003E6B85"/>
    <w:rsid w:val="003E6EEE"/>
    <w:rsid w:val="003E6F26"/>
    <w:rsid w:val="003E70EB"/>
    <w:rsid w:val="003E7BD1"/>
    <w:rsid w:val="003F11E8"/>
    <w:rsid w:val="003F1418"/>
    <w:rsid w:val="003F1F7A"/>
    <w:rsid w:val="003F3C49"/>
    <w:rsid w:val="003F3E41"/>
    <w:rsid w:val="003F411A"/>
    <w:rsid w:val="003F6C6C"/>
    <w:rsid w:val="003F740C"/>
    <w:rsid w:val="003F75CB"/>
    <w:rsid w:val="003F7FAB"/>
    <w:rsid w:val="00402CD7"/>
    <w:rsid w:val="00402D69"/>
    <w:rsid w:val="00402F82"/>
    <w:rsid w:val="00404AC0"/>
    <w:rsid w:val="004051E1"/>
    <w:rsid w:val="00406764"/>
    <w:rsid w:val="0040685D"/>
    <w:rsid w:val="004069DB"/>
    <w:rsid w:val="00406BD8"/>
    <w:rsid w:val="0040735D"/>
    <w:rsid w:val="00410E86"/>
    <w:rsid w:val="0041195B"/>
    <w:rsid w:val="004120FA"/>
    <w:rsid w:val="00413219"/>
    <w:rsid w:val="00413B87"/>
    <w:rsid w:val="004141C4"/>
    <w:rsid w:val="00414642"/>
    <w:rsid w:val="0041551E"/>
    <w:rsid w:val="00415676"/>
    <w:rsid w:val="004157AF"/>
    <w:rsid w:val="00415D8C"/>
    <w:rsid w:val="0041612D"/>
    <w:rsid w:val="004162FE"/>
    <w:rsid w:val="00416BDB"/>
    <w:rsid w:val="0042017B"/>
    <w:rsid w:val="00420E6E"/>
    <w:rsid w:val="0042262D"/>
    <w:rsid w:val="00422F25"/>
    <w:rsid w:val="00423414"/>
    <w:rsid w:val="004235C6"/>
    <w:rsid w:val="00424627"/>
    <w:rsid w:val="004249F7"/>
    <w:rsid w:val="00424D22"/>
    <w:rsid w:val="0042683D"/>
    <w:rsid w:val="00426918"/>
    <w:rsid w:val="00426CB9"/>
    <w:rsid w:val="0043086A"/>
    <w:rsid w:val="00430BF6"/>
    <w:rsid w:val="0043161B"/>
    <w:rsid w:val="004320A3"/>
    <w:rsid w:val="0043232C"/>
    <w:rsid w:val="00432492"/>
    <w:rsid w:val="004325A0"/>
    <w:rsid w:val="00434EAB"/>
    <w:rsid w:val="00436AB4"/>
    <w:rsid w:val="00436BE4"/>
    <w:rsid w:val="00436F84"/>
    <w:rsid w:val="004373FD"/>
    <w:rsid w:val="0044085D"/>
    <w:rsid w:val="00440AD2"/>
    <w:rsid w:val="00441B14"/>
    <w:rsid w:val="00443094"/>
    <w:rsid w:val="004434DD"/>
    <w:rsid w:val="0044414F"/>
    <w:rsid w:val="004447B6"/>
    <w:rsid w:val="00444AD4"/>
    <w:rsid w:val="00444CEB"/>
    <w:rsid w:val="00445C80"/>
    <w:rsid w:val="0044741A"/>
    <w:rsid w:val="004479D8"/>
    <w:rsid w:val="00447B46"/>
    <w:rsid w:val="00450F8A"/>
    <w:rsid w:val="0045131D"/>
    <w:rsid w:val="004518A5"/>
    <w:rsid w:val="004520B6"/>
    <w:rsid w:val="00453EB3"/>
    <w:rsid w:val="004543E5"/>
    <w:rsid w:val="00454A5A"/>
    <w:rsid w:val="00454D63"/>
    <w:rsid w:val="004553B2"/>
    <w:rsid w:val="0045541C"/>
    <w:rsid w:val="00456042"/>
    <w:rsid w:val="0045659C"/>
    <w:rsid w:val="00456679"/>
    <w:rsid w:val="0045797E"/>
    <w:rsid w:val="004603EB"/>
    <w:rsid w:val="0046076E"/>
    <w:rsid w:val="004612CA"/>
    <w:rsid w:val="004614FA"/>
    <w:rsid w:val="00462C22"/>
    <w:rsid w:val="004653EE"/>
    <w:rsid w:val="0046681F"/>
    <w:rsid w:val="00466E1B"/>
    <w:rsid w:val="00467E79"/>
    <w:rsid w:val="00470B2F"/>
    <w:rsid w:val="00470B5A"/>
    <w:rsid w:val="00470BBB"/>
    <w:rsid w:val="00475140"/>
    <w:rsid w:val="0047567F"/>
    <w:rsid w:val="00476C48"/>
    <w:rsid w:val="00476D77"/>
    <w:rsid w:val="00476E4C"/>
    <w:rsid w:val="00477421"/>
    <w:rsid w:val="00477984"/>
    <w:rsid w:val="0048053B"/>
    <w:rsid w:val="004816EF"/>
    <w:rsid w:val="00481785"/>
    <w:rsid w:val="004819DE"/>
    <w:rsid w:val="00481FAD"/>
    <w:rsid w:val="004835AF"/>
    <w:rsid w:val="0048417C"/>
    <w:rsid w:val="00484CBD"/>
    <w:rsid w:val="00486BA0"/>
    <w:rsid w:val="00487197"/>
    <w:rsid w:val="00487F15"/>
    <w:rsid w:val="004924D8"/>
    <w:rsid w:val="00492B05"/>
    <w:rsid w:val="00494431"/>
    <w:rsid w:val="00496AF6"/>
    <w:rsid w:val="0049783E"/>
    <w:rsid w:val="00497AC5"/>
    <w:rsid w:val="004A0106"/>
    <w:rsid w:val="004A0782"/>
    <w:rsid w:val="004A0BC3"/>
    <w:rsid w:val="004A0DEF"/>
    <w:rsid w:val="004A1027"/>
    <w:rsid w:val="004A16DE"/>
    <w:rsid w:val="004A1D1E"/>
    <w:rsid w:val="004A2290"/>
    <w:rsid w:val="004A3542"/>
    <w:rsid w:val="004A47D6"/>
    <w:rsid w:val="004A4CC3"/>
    <w:rsid w:val="004A6B6B"/>
    <w:rsid w:val="004A7A38"/>
    <w:rsid w:val="004B228A"/>
    <w:rsid w:val="004B4128"/>
    <w:rsid w:val="004B44B8"/>
    <w:rsid w:val="004B554E"/>
    <w:rsid w:val="004B5BF2"/>
    <w:rsid w:val="004B5F9A"/>
    <w:rsid w:val="004B7E00"/>
    <w:rsid w:val="004B7E2B"/>
    <w:rsid w:val="004C045B"/>
    <w:rsid w:val="004C0E5D"/>
    <w:rsid w:val="004C4239"/>
    <w:rsid w:val="004C568E"/>
    <w:rsid w:val="004C59FD"/>
    <w:rsid w:val="004C778A"/>
    <w:rsid w:val="004C7ACC"/>
    <w:rsid w:val="004C7C23"/>
    <w:rsid w:val="004C7FEB"/>
    <w:rsid w:val="004D0234"/>
    <w:rsid w:val="004D07A9"/>
    <w:rsid w:val="004D0E23"/>
    <w:rsid w:val="004D1361"/>
    <w:rsid w:val="004D2780"/>
    <w:rsid w:val="004D40CD"/>
    <w:rsid w:val="004D4998"/>
    <w:rsid w:val="004D56DC"/>
    <w:rsid w:val="004D64B6"/>
    <w:rsid w:val="004D7462"/>
    <w:rsid w:val="004E1691"/>
    <w:rsid w:val="004E21C4"/>
    <w:rsid w:val="004E4403"/>
    <w:rsid w:val="004E4AB6"/>
    <w:rsid w:val="004E4B83"/>
    <w:rsid w:val="004E563E"/>
    <w:rsid w:val="004E5F45"/>
    <w:rsid w:val="004E6914"/>
    <w:rsid w:val="004E6930"/>
    <w:rsid w:val="004E72E7"/>
    <w:rsid w:val="004F15E1"/>
    <w:rsid w:val="004F1F2B"/>
    <w:rsid w:val="004F2073"/>
    <w:rsid w:val="004F32E2"/>
    <w:rsid w:val="004F33E1"/>
    <w:rsid w:val="004F4AEB"/>
    <w:rsid w:val="004F4D44"/>
    <w:rsid w:val="004F5135"/>
    <w:rsid w:val="004F6C3E"/>
    <w:rsid w:val="004F6FD0"/>
    <w:rsid w:val="005000F8"/>
    <w:rsid w:val="0050025B"/>
    <w:rsid w:val="0050037E"/>
    <w:rsid w:val="00500436"/>
    <w:rsid w:val="00502283"/>
    <w:rsid w:val="00502CCE"/>
    <w:rsid w:val="00502E32"/>
    <w:rsid w:val="00502EAA"/>
    <w:rsid w:val="00502F1A"/>
    <w:rsid w:val="00502F48"/>
    <w:rsid w:val="005039EE"/>
    <w:rsid w:val="005047B0"/>
    <w:rsid w:val="00504862"/>
    <w:rsid w:val="00504EE1"/>
    <w:rsid w:val="00506432"/>
    <w:rsid w:val="00506A21"/>
    <w:rsid w:val="0050711D"/>
    <w:rsid w:val="005115A2"/>
    <w:rsid w:val="005123EA"/>
    <w:rsid w:val="00512E3B"/>
    <w:rsid w:val="00513403"/>
    <w:rsid w:val="005138C8"/>
    <w:rsid w:val="005138F7"/>
    <w:rsid w:val="00513DA8"/>
    <w:rsid w:val="00514D3B"/>
    <w:rsid w:val="0051502C"/>
    <w:rsid w:val="005151BE"/>
    <w:rsid w:val="00515841"/>
    <w:rsid w:val="005162C3"/>
    <w:rsid w:val="005163E2"/>
    <w:rsid w:val="00516E13"/>
    <w:rsid w:val="00517788"/>
    <w:rsid w:val="00517E42"/>
    <w:rsid w:val="00517EB4"/>
    <w:rsid w:val="00521BE6"/>
    <w:rsid w:val="00521F45"/>
    <w:rsid w:val="00522154"/>
    <w:rsid w:val="00522E32"/>
    <w:rsid w:val="00526760"/>
    <w:rsid w:val="005271BF"/>
    <w:rsid w:val="00527A7E"/>
    <w:rsid w:val="00527C20"/>
    <w:rsid w:val="0053033E"/>
    <w:rsid w:val="005303F9"/>
    <w:rsid w:val="005304C1"/>
    <w:rsid w:val="0053074E"/>
    <w:rsid w:val="00530EB7"/>
    <w:rsid w:val="005325C2"/>
    <w:rsid w:val="00533408"/>
    <w:rsid w:val="00533A71"/>
    <w:rsid w:val="00533DCD"/>
    <w:rsid w:val="005358F0"/>
    <w:rsid w:val="00536ACD"/>
    <w:rsid w:val="00536E75"/>
    <w:rsid w:val="00537420"/>
    <w:rsid w:val="00537B82"/>
    <w:rsid w:val="0054048A"/>
    <w:rsid w:val="00541910"/>
    <w:rsid w:val="005424F9"/>
    <w:rsid w:val="00542583"/>
    <w:rsid w:val="00542AD5"/>
    <w:rsid w:val="0054381F"/>
    <w:rsid w:val="005448A3"/>
    <w:rsid w:val="005453B7"/>
    <w:rsid w:val="00545A57"/>
    <w:rsid w:val="00545B4E"/>
    <w:rsid w:val="00545BDB"/>
    <w:rsid w:val="00546063"/>
    <w:rsid w:val="00546B4F"/>
    <w:rsid w:val="00547915"/>
    <w:rsid w:val="00550506"/>
    <w:rsid w:val="00550A50"/>
    <w:rsid w:val="005524AC"/>
    <w:rsid w:val="00552D80"/>
    <w:rsid w:val="0055393B"/>
    <w:rsid w:val="00555C0F"/>
    <w:rsid w:val="00555D71"/>
    <w:rsid w:val="00555D76"/>
    <w:rsid w:val="00556326"/>
    <w:rsid w:val="00556411"/>
    <w:rsid w:val="00561561"/>
    <w:rsid w:val="00562AE5"/>
    <w:rsid w:val="005637FC"/>
    <w:rsid w:val="00563E46"/>
    <w:rsid w:val="00563F05"/>
    <w:rsid w:val="00564438"/>
    <w:rsid w:val="00564C1F"/>
    <w:rsid w:val="005654CC"/>
    <w:rsid w:val="00565751"/>
    <w:rsid w:val="00565DDB"/>
    <w:rsid w:val="00572186"/>
    <w:rsid w:val="00572471"/>
    <w:rsid w:val="005725BB"/>
    <w:rsid w:val="0057349C"/>
    <w:rsid w:val="00574EED"/>
    <w:rsid w:val="00574F4E"/>
    <w:rsid w:val="00576BA8"/>
    <w:rsid w:val="00576BC3"/>
    <w:rsid w:val="00576D3F"/>
    <w:rsid w:val="00577795"/>
    <w:rsid w:val="005778FF"/>
    <w:rsid w:val="00580076"/>
    <w:rsid w:val="0058055A"/>
    <w:rsid w:val="00580D91"/>
    <w:rsid w:val="00580EE2"/>
    <w:rsid w:val="005811B6"/>
    <w:rsid w:val="00582A38"/>
    <w:rsid w:val="00582E79"/>
    <w:rsid w:val="00582EA0"/>
    <w:rsid w:val="0058305F"/>
    <w:rsid w:val="00584228"/>
    <w:rsid w:val="005846AD"/>
    <w:rsid w:val="00584DCC"/>
    <w:rsid w:val="00585CA6"/>
    <w:rsid w:val="00586EA7"/>
    <w:rsid w:val="005875E7"/>
    <w:rsid w:val="00587A37"/>
    <w:rsid w:val="00587CD7"/>
    <w:rsid w:val="0059135A"/>
    <w:rsid w:val="00591696"/>
    <w:rsid w:val="00591B6F"/>
    <w:rsid w:val="00591E06"/>
    <w:rsid w:val="0059201D"/>
    <w:rsid w:val="0059466F"/>
    <w:rsid w:val="00594A8D"/>
    <w:rsid w:val="00594E07"/>
    <w:rsid w:val="00596245"/>
    <w:rsid w:val="00596592"/>
    <w:rsid w:val="005968F0"/>
    <w:rsid w:val="00597751"/>
    <w:rsid w:val="00597B92"/>
    <w:rsid w:val="00597DA2"/>
    <w:rsid w:val="005A0070"/>
    <w:rsid w:val="005A0089"/>
    <w:rsid w:val="005A0CFA"/>
    <w:rsid w:val="005A0EB9"/>
    <w:rsid w:val="005A1036"/>
    <w:rsid w:val="005A16B9"/>
    <w:rsid w:val="005A1BFD"/>
    <w:rsid w:val="005A24A6"/>
    <w:rsid w:val="005A30F5"/>
    <w:rsid w:val="005A3D88"/>
    <w:rsid w:val="005A6576"/>
    <w:rsid w:val="005A6F30"/>
    <w:rsid w:val="005B001F"/>
    <w:rsid w:val="005B176A"/>
    <w:rsid w:val="005B34DF"/>
    <w:rsid w:val="005B3E2A"/>
    <w:rsid w:val="005B419C"/>
    <w:rsid w:val="005B7813"/>
    <w:rsid w:val="005C0909"/>
    <w:rsid w:val="005C131C"/>
    <w:rsid w:val="005C1463"/>
    <w:rsid w:val="005C290E"/>
    <w:rsid w:val="005C34B3"/>
    <w:rsid w:val="005C379E"/>
    <w:rsid w:val="005C43C4"/>
    <w:rsid w:val="005C55C6"/>
    <w:rsid w:val="005C5A24"/>
    <w:rsid w:val="005C6F0A"/>
    <w:rsid w:val="005C7B40"/>
    <w:rsid w:val="005D019C"/>
    <w:rsid w:val="005D0283"/>
    <w:rsid w:val="005D2067"/>
    <w:rsid w:val="005D2CEC"/>
    <w:rsid w:val="005D38F2"/>
    <w:rsid w:val="005D391A"/>
    <w:rsid w:val="005D471A"/>
    <w:rsid w:val="005D4B9C"/>
    <w:rsid w:val="005D4EBA"/>
    <w:rsid w:val="005D5183"/>
    <w:rsid w:val="005D585A"/>
    <w:rsid w:val="005D74D2"/>
    <w:rsid w:val="005E0A82"/>
    <w:rsid w:val="005E0BB7"/>
    <w:rsid w:val="005E176F"/>
    <w:rsid w:val="005E2853"/>
    <w:rsid w:val="005E38E3"/>
    <w:rsid w:val="005E445B"/>
    <w:rsid w:val="005E4ED9"/>
    <w:rsid w:val="005E65C9"/>
    <w:rsid w:val="005E7117"/>
    <w:rsid w:val="005E72AF"/>
    <w:rsid w:val="005F1774"/>
    <w:rsid w:val="005F1B2B"/>
    <w:rsid w:val="005F1C01"/>
    <w:rsid w:val="005F1EBB"/>
    <w:rsid w:val="005F258A"/>
    <w:rsid w:val="005F2C8D"/>
    <w:rsid w:val="005F3F01"/>
    <w:rsid w:val="005F4B60"/>
    <w:rsid w:val="005F5146"/>
    <w:rsid w:val="005F6E63"/>
    <w:rsid w:val="005F74B1"/>
    <w:rsid w:val="005F7909"/>
    <w:rsid w:val="005F7946"/>
    <w:rsid w:val="00600322"/>
    <w:rsid w:val="0060047D"/>
    <w:rsid w:val="00600995"/>
    <w:rsid w:val="00600B84"/>
    <w:rsid w:val="00600FA5"/>
    <w:rsid w:val="00601F1C"/>
    <w:rsid w:val="00602A05"/>
    <w:rsid w:val="00604FF9"/>
    <w:rsid w:val="006052B1"/>
    <w:rsid w:val="00605363"/>
    <w:rsid w:val="006067A5"/>
    <w:rsid w:val="00606AD8"/>
    <w:rsid w:val="0060778A"/>
    <w:rsid w:val="006109F3"/>
    <w:rsid w:val="00611538"/>
    <w:rsid w:val="00611610"/>
    <w:rsid w:val="00611D68"/>
    <w:rsid w:val="0061237C"/>
    <w:rsid w:val="00614AFE"/>
    <w:rsid w:val="0061523F"/>
    <w:rsid w:val="0061616A"/>
    <w:rsid w:val="00616608"/>
    <w:rsid w:val="0061771B"/>
    <w:rsid w:val="00617B33"/>
    <w:rsid w:val="00621230"/>
    <w:rsid w:val="0062256A"/>
    <w:rsid w:val="00622D84"/>
    <w:rsid w:val="006234C6"/>
    <w:rsid w:val="006239CF"/>
    <w:rsid w:val="00623DBE"/>
    <w:rsid w:val="00627F4C"/>
    <w:rsid w:val="00630B42"/>
    <w:rsid w:val="00630BCA"/>
    <w:rsid w:val="00631E9D"/>
    <w:rsid w:val="006324A5"/>
    <w:rsid w:val="006324C1"/>
    <w:rsid w:val="00632C5E"/>
    <w:rsid w:val="006355B7"/>
    <w:rsid w:val="00636EF9"/>
    <w:rsid w:val="006378D5"/>
    <w:rsid w:val="00643B5E"/>
    <w:rsid w:val="00643ED2"/>
    <w:rsid w:val="006445AF"/>
    <w:rsid w:val="00644FEB"/>
    <w:rsid w:val="0064638E"/>
    <w:rsid w:val="006470AE"/>
    <w:rsid w:val="006476C1"/>
    <w:rsid w:val="006477E8"/>
    <w:rsid w:val="00647808"/>
    <w:rsid w:val="00647F17"/>
    <w:rsid w:val="00652AC8"/>
    <w:rsid w:val="00652DFC"/>
    <w:rsid w:val="00652E4E"/>
    <w:rsid w:val="00653F0C"/>
    <w:rsid w:val="006545F7"/>
    <w:rsid w:val="00655799"/>
    <w:rsid w:val="006559C0"/>
    <w:rsid w:val="00660CB1"/>
    <w:rsid w:val="00662811"/>
    <w:rsid w:val="00663E3C"/>
    <w:rsid w:val="006643CA"/>
    <w:rsid w:val="00664F73"/>
    <w:rsid w:val="0066540A"/>
    <w:rsid w:val="006674E3"/>
    <w:rsid w:val="00670EA0"/>
    <w:rsid w:val="006712AE"/>
    <w:rsid w:val="006717ED"/>
    <w:rsid w:val="00672C52"/>
    <w:rsid w:val="00672EE1"/>
    <w:rsid w:val="00673CDD"/>
    <w:rsid w:val="006741EB"/>
    <w:rsid w:val="00674A4D"/>
    <w:rsid w:val="00674DDC"/>
    <w:rsid w:val="00675A80"/>
    <w:rsid w:val="00675CFD"/>
    <w:rsid w:val="0068071C"/>
    <w:rsid w:val="00681B2C"/>
    <w:rsid w:val="00681E5E"/>
    <w:rsid w:val="006829F4"/>
    <w:rsid w:val="006835FC"/>
    <w:rsid w:val="00684073"/>
    <w:rsid w:val="00684A82"/>
    <w:rsid w:val="006852B4"/>
    <w:rsid w:val="00686302"/>
    <w:rsid w:val="00686CFE"/>
    <w:rsid w:val="00686FEC"/>
    <w:rsid w:val="006874B7"/>
    <w:rsid w:val="00690F5A"/>
    <w:rsid w:val="00691718"/>
    <w:rsid w:val="00691AA0"/>
    <w:rsid w:val="0069266D"/>
    <w:rsid w:val="00692846"/>
    <w:rsid w:val="00693375"/>
    <w:rsid w:val="00695A4B"/>
    <w:rsid w:val="006979AF"/>
    <w:rsid w:val="006A0209"/>
    <w:rsid w:val="006A0F02"/>
    <w:rsid w:val="006A1CF8"/>
    <w:rsid w:val="006A3A78"/>
    <w:rsid w:val="006A450D"/>
    <w:rsid w:val="006A50A4"/>
    <w:rsid w:val="006A52DE"/>
    <w:rsid w:val="006A5B77"/>
    <w:rsid w:val="006A66F6"/>
    <w:rsid w:val="006A681E"/>
    <w:rsid w:val="006A7583"/>
    <w:rsid w:val="006A7598"/>
    <w:rsid w:val="006B05B6"/>
    <w:rsid w:val="006B0EC2"/>
    <w:rsid w:val="006B1078"/>
    <w:rsid w:val="006B296C"/>
    <w:rsid w:val="006B2CF8"/>
    <w:rsid w:val="006B3663"/>
    <w:rsid w:val="006B3E02"/>
    <w:rsid w:val="006B4C8B"/>
    <w:rsid w:val="006B61BF"/>
    <w:rsid w:val="006B644E"/>
    <w:rsid w:val="006B64E0"/>
    <w:rsid w:val="006B75C0"/>
    <w:rsid w:val="006B78FF"/>
    <w:rsid w:val="006C039F"/>
    <w:rsid w:val="006C0F3C"/>
    <w:rsid w:val="006C288A"/>
    <w:rsid w:val="006C3AA9"/>
    <w:rsid w:val="006C5067"/>
    <w:rsid w:val="006C58FE"/>
    <w:rsid w:val="006C6936"/>
    <w:rsid w:val="006C7029"/>
    <w:rsid w:val="006C740C"/>
    <w:rsid w:val="006C74C6"/>
    <w:rsid w:val="006D0148"/>
    <w:rsid w:val="006D0510"/>
    <w:rsid w:val="006D125F"/>
    <w:rsid w:val="006D127E"/>
    <w:rsid w:val="006D1B72"/>
    <w:rsid w:val="006D3BB3"/>
    <w:rsid w:val="006D3CBA"/>
    <w:rsid w:val="006D46AD"/>
    <w:rsid w:val="006D48A6"/>
    <w:rsid w:val="006D6E86"/>
    <w:rsid w:val="006D7234"/>
    <w:rsid w:val="006E1D46"/>
    <w:rsid w:val="006E2E57"/>
    <w:rsid w:val="006E51D2"/>
    <w:rsid w:val="006E6BE4"/>
    <w:rsid w:val="006E7DB5"/>
    <w:rsid w:val="006E7F6A"/>
    <w:rsid w:val="006F11A2"/>
    <w:rsid w:val="006F1601"/>
    <w:rsid w:val="006F2ED5"/>
    <w:rsid w:val="006F31AC"/>
    <w:rsid w:val="006F3490"/>
    <w:rsid w:val="006F3798"/>
    <w:rsid w:val="006F3AD3"/>
    <w:rsid w:val="006F3DEB"/>
    <w:rsid w:val="006F4265"/>
    <w:rsid w:val="006F4457"/>
    <w:rsid w:val="006F461C"/>
    <w:rsid w:val="006F4965"/>
    <w:rsid w:val="006F4CA6"/>
    <w:rsid w:val="006F4F5A"/>
    <w:rsid w:val="006F51DC"/>
    <w:rsid w:val="006F53DF"/>
    <w:rsid w:val="006F5C44"/>
    <w:rsid w:val="006F5D02"/>
    <w:rsid w:val="006F6990"/>
    <w:rsid w:val="00700C54"/>
    <w:rsid w:val="00700CCE"/>
    <w:rsid w:val="00701102"/>
    <w:rsid w:val="0070138D"/>
    <w:rsid w:val="0070157A"/>
    <w:rsid w:val="0070205E"/>
    <w:rsid w:val="00702692"/>
    <w:rsid w:val="00703FAE"/>
    <w:rsid w:val="007043A7"/>
    <w:rsid w:val="007050C8"/>
    <w:rsid w:val="00706054"/>
    <w:rsid w:val="007065B5"/>
    <w:rsid w:val="00707B29"/>
    <w:rsid w:val="00712B6E"/>
    <w:rsid w:val="007135EE"/>
    <w:rsid w:val="00713716"/>
    <w:rsid w:val="00713C15"/>
    <w:rsid w:val="0071524D"/>
    <w:rsid w:val="0071555E"/>
    <w:rsid w:val="00715C33"/>
    <w:rsid w:val="00715E26"/>
    <w:rsid w:val="00717181"/>
    <w:rsid w:val="00720357"/>
    <w:rsid w:val="00721438"/>
    <w:rsid w:val="00721FE7"/>
    <w:rsid w:val="00722121"/>
    <w:rsid w:val="00723453"/>
    <w:rsid w:val="00723EE4"/>
    <w:rsid w:val="007253CE"/>
    <w:rsid w:val="00726AA1"/>
    <w:rsid w:val="00727E1A"/>
    <w:rsid w:val="007304A1"/>
    <w:rsid w:val="007305A9"/>
    <w:rsid w:val="00731F39"/>
    <w:rsid w:val="00732300"/>
    <w:rsid w:val="00733263"/>
    <w:rsid w:val="00733508"/>
    <w:rsid w:val="00733573"/>
    <w:rsid w:val="007337B1"/>
    <w:rsid w:val="0073513B"/>
    <w:rsid w:val="00736BE1"/>
    <w:rsid w:val="007378CA"/>
    <w:rsid w:val="00737A53"/>
    <w:rsid w:val="0074043D"/>
    <w:rsid w:val="00740EC0"/>
    <w:rsid w:val="0074139D"/>
    <w:rsid w:val="00741831"/>
    <w:rsid w:val="0074292D"/>
    <w:rsid w:val="0074350D"/>
    <w:rsid w:val="00744F48"/>
    <w:rsid w:val="00746281"/>
    <w:rsid w:val="0074628D"/>
    <w:rsid w:val="00746615"/>
    <w:rsid w:val="0074689D"/>
    <w:rsid w:val="00746B3C"/>
    <w:rsid w:val="007503C3"/>
    <w:rsid w:val="00750864"/>
    <w:rsid w:val="00750B02"/>
    <w:rsid w:val="00750F7C"/>
    <w:rsid w:val="00752049"/>
    <w:rsid w:val="0075239B"/>
    <w:rsid w:val="0075252C"/>
    <w:rsid w:val="0075297D"/>
    <w:rsid w:val="00753286"/>
    <w:rsid w:val="00753419"/>
    <w:rsid w:val="007544E0"/>
    <w:rsid w:val="00754F54"/>
    <w:rsid w:val="0075597B"/>
    <w:rsid w:val="00755D1D"/>
    <w:rsid w:val="007610F1"/>
    <w:rsid w:val="00761A13"/>
    <w:rsid w:val="00761D39"/>
    <w:rsid w:val="007628B4"/>
    <w:rsid w:val="00763884"/>
    <w:rsid w:val="0076427A"/>
    <w:rsid w:val="0076528B"/>
    <w:rsid w:val="00766AF2"/>
    <w:rsid w:val="00766F24"/>
    <w:rsid w:val="00767215"/>
    <w:rsid w:val="00771301"/>
    <w:rsid w:val="00771A4C"/>
    <w:rsid w:val="0077202A"/>
    <w:rsid w:val="007722CA"/>
    <w:rsid w:val="007727C4"/>
    <w:rsid w:val="007732A5"/>
    <w:rsid w:val="0077463C"/>
    <w:rsid w:val="0077507B"/>
    <w:rsid w:val="00775A29"/>
    <w:rsid w:val="00775A5E"/>
    <w:rsid w:val="00776A9C"/>
    <w:rsid w:val="00776B3A"/>
    <w:rsid w:val="00777E57"/>
    <w:rsid w:val="007829AC"/>
    <w:rsid w:val="00782CC0"/>
    <w:rsid w:val="00784A03"/>
    <w:rsid w:val="00784B6B"/>
    <w:rsid w:val="00784E8B"/>
    <w:rsid w:val="00785565"/>
    <w:rsid w:val="00785CC5"/>
    <w:rsid w:val="00786C96"/>
    <w:rsid w:val="00786EA0"/>
    <w:rsid w:val="00790491"/>
    <w:rsid w:val="007909D6"/>
    <w:rsid w:val="00791B4C"/>
    <w:rsid w:val="007929F6"/>
    <w:rsid w:val="007940B4"/>
    <w:rsid w:val="0079646C"/>
    <w:rsid w:val="007A044A"/>
    <w:rsid w:val="007A0E33"/>
    <w:rsid w:val="007A102A"/>
    <w:rsid w:val="007A134F"/>
    <w:rsid w:val="007A2296"/>
    <w:rsid w:val="007A2C4D"/>
    <w:rsid w:val="007A3E22"/>
    <w:rsid w:val="007A4FF5"/>
    <w:rsid w:val="007A5334"/>
    <w:rsid w:val="007A5D7B"/>
    <w:rsid w:val="007A5E16"/>
    <w:rsid w:val="007A614E"/>
    <w:rsid w:val="007A674E"/>
    <w:rsid w:val="007A6BC0"/>
    <w:rsid w:val="007A70F7"/>
    <w:rsid w:val="007A72ED"/>
    <w:rsid w:val="007A752C"/>
    <w:rsid w:val="007A7DBE"/>
    <w:rsid w:val="007B068A"/>
    <w:rsid w:val="007B0C58"/>
    <w:rsid w:val="007B0DC7"/>
    <w:rsid w:val="007B12E6"/>
    <w:rsid w:val="007B13BE"/>
    <w:rsid w:val="007B1769"/>
    <w:rsid w:val="007B1837"/>
    <w:rsid w:val="007B3A87"/>
    <w:rsid w:val="007B451E"/>
    <w:rsid w:val="007B50CB"/>
    <w:rsid w:val="007B5367"/>
    <w:rsid w:val="007B54E9"/>
    <w:rsid w:val="007B6B0E"/>
    <w:rsid w:val="007B71A1"/>
    <w:rsid w:val="007B7226"/>
    <w:rsid w:val="007B7F86"/>
    <w:rsid w:val="007C0006"/>
    <w:rsid w:val="007C0C47"/>
    <w:rsid w:val="007C1068"/>
    <w:rsid w:val="007C18B4"/>
    <w:rsid w:val="007C25EB"/>
    <w:rsid w:val="007C2E5C"/>
    <w:rsid w:val="007C325C"/>
    <w:rsid w:val="007C34A7"/>
    <w:rsid w:val="007C52D3"/>
    <w:rsid w:val="007C5558"/>
    <w:rsid w:val="007C5F20"/>
    <w:rsid w:val="007C663C"/>
    <w:rsid w:val="007C717C"/>
    <w:rsid w:val="007D0068"/>
    <w:rsid w:val="007D01D2"/>
    <w:rsid w:val="007D1E7C"/>
    <w:rsid w:val="007D2ECA"/>
    <w:rsid w:val="007D3367"/>
    <w:rsid w:val="007D4907"/>
    <w:rsid w:val="007D50AE"/>
    <w:rsid w:val="007D652F"/>
    <w:rsid w:val="007D656D"/>
    <w:rsid w:val="007D71DC"/>
    <w:rsid w:val="007D792F"/>
    <w:rsid w:val="007E020B"/>
    <w:rsid w:val="007E0755"/>
    <w:rsid w:val="007E1124"/>
    <w:rsid w:val="007E297B"/>
    <w:rsid w:val="007E34E6"/>
    <w:rsid w:val="007E4E10"/>
    <w:rsid w:val="007E5255"/>
    <w:rsid w:val="007E5FC1"/>
    <w:rsid w:val="007E6598"/>
    <w:rsid w:val="007E67D6"/>
    <w:rsid w:val="007E6C4E"/>
    <w:rsid w:val="007E6C8D"/>
    <w:rsid w:val="007F025B"/>
    <w:rsid w:val="007F0A50"/>
    <w:rsid w:val="007F154D"/>
    <w:rsid w:val="007F2270"/>
    <w:rsid w:val="007F3653"/>
    <w:rsid w:val="007F4468"/>
    <w:rsid w:val="007F44CC"/>
    <w:rsid w:val="007F4C45"/>
    <w:rsid w:val="007F692B"/>
    <w:rsid w:val="007F7262"/>
    <w:rsid w:val="007F7412"/>
    <w:rsid w:val="008005D5"/>
    <w:rsid w:val="00802C90"/>
    <w:rsid w:val="00802FA4"/>
    <w:rsid w:val="0080411B"/>
    <w:rsid w:val="00804305"/>
    <w:rsid w:val="00805547"/>
    <w:rsid w:val="00805897"/>
    <w:rsid w:val="00805D79"/>
    <w:rsid w:val="008069D2"/>
    <w:rsid w:val="008077D5"/>
    <w:rsid w:val="00807998"/>
    <w:rsid w:val="00810FF9"/>
    <w:rsid w:val="00811552"/>
    <w:rsid w:val="00814137"/>
    <w:rsid w:val="008142CB"/>
    <w:rsid w:val="00816316"/>
    <w:rsid w:val="0081693C"/>
    <w:rsid w:val="00817474"/>
    <w:rsid w:val="00817710"/>
    <w:rsid w:val="00817AF3"/>
    <w:rsid w:val="00817BFD"/>
    <w:rsid w:val="00817FFD"/>
    <w:rsid w:val="00820DE3"/>
    <w:rsid w:val="0082133F"/>
    <w:rsid w:val="00821406"/>
    <w:rsid w:val="00821F08"/>
    <w:rsid w:val="00822C97"/>
    <w:rsid w:val="00822D5D"/>
    <w:rsid w:val="00824A4E"/>
    <w:rsid w:val="00825A09"/>
    <w:rsid w:val="00825AD1"/>
    <w:rsid w:val="0082608F"/>
    <w:rsid w:val="00826ADF"/>
    <w:rsid w:val="00827275"/>
    <w:rsid w:val="0083013A"/>
    <w:rsid w:val="008302A7"/>
    <w:rsid w:val="00830F15"/>
    <w:rsid w:val="00832AC9"/>
    <w:rsid w:val="0083411C"/>
    <w:rsid w:val="00834C9B"/>
    <w:rsid w:val="008350ED"/>
    <w:rsid w:val="008361C5"/>
    <w:rsid w:val="008376E1"/>
    <w:rsid w:val="00837C52"/>
    <w:rsid w:val="00837D4A"/>
    <w:rsid w:val="00840167"/>
    <w:rsid w:val="008406B0"/>
    <w:rsid w:val="00842D9D"/>
    <w:rsid w:val="00842DB5"/>
    <w:rsid w:val="008430FE"/>
    <w:rsid w:val="00844221"/>
    <w:rsid w:val="00845441"/>
    <w:rsid w:val="008464BE"/>
    <w:rsid w:val="00847074"/>
    <w:rsid w:val="00847082"/>
    <w:rsid w:val="0084766C"/>
    <w:rsid w:val="008477AA"/>
    <w:rsid w:val="0085094B"/>
    <w:rsid w:val="00851270"/>
    <w:rsid w:val="00853203"/>
    <w:rsid w:val="008559A7"/>
    <w:rsid w:val="00855AAE"/>
    <w:rsid w:val="00856CA4"/>
    <w:rsid w:val="008578F5"/>
    <w:rsid w:val="00857AD2"/>
    <w:rsid w:val="00861294"/>
    <w:rsid w:val="00861735"/>
    <w:rsid w:val="008617B9"/>
    <w:rsid w:val="00862D76"/>
    <w:rsid w:val="008635FD"/>
    <w:rsid w:val="0086398E"/>
    <w:rsid w:val="00865552"/>
    <w:rsid w:val="00866440"/>
    <w:rsid w:val="0086651B"/>
    <w:rsid w:val="00866A1C"/>
    <w:rsid w:val="00866EDA"/>
    <w:rsid w:val="00867639"/>
    <w:rsid w:val="0087031E"/>
    <w:rsid w:val="00870BD6"/>
    <w:rsid w:val="0087209E"/>
    <w:rsid w:val="00872F34"/>
    <w:rsid w:val="008735B9"/>
    <w:rsid w:val="008737B5"/>
    <w:rsid w:val="00873B60"/>
    <w:rsid w:val="00876F1F"/>
    <w:rsid w:val="0087728D"/>
    <w:rsid w:val="00877361"/>
    <w:rsid w:val="00877EEC"/>
    <w:rsid w:val="008806CF"/>
    <w:rsid w:val="008808FC"/>
    <w:rsid w:val="00880938"/>
    <w:rsid w:val="008828FD"/>
    <w:rsid w:val="00883B66"/>
    <w:rsid w:val="00884E2C"/>
    <w:rsid w:val="008865E4"/>
    <w:rsid w:val="0088695F"/>
    <w:rsid w:val="00886D39"/>
    <w:rsid w:val="008924A1"/>
    <w:rsid w:val="008937B8"/>
    <w:rsid w:val="0089398F"/>
    <w:rsid w:val="00894103"/>
    <w:rsid w:val="00894F12"/>
    <w:rsid w:val="00895616"/>
    <w:rsid w:val="0089589A"/>
    <w:rsid w:val="00895CC8"/>
    <w:rsid w:val="00897BC1"/>
    <w:rsid w:val="008A0EAE"/>
    <w:rsid w:val="008A1BA2"/>
    <w:rsid w:val="008A3632"/>
    <w:rsid w:val="008A4739"/>
    <w:rsid w:val="008A49A1"/>
    <w:rsid w:val="008A4DFC"/>
    <w:rsid w:val="008A5551"/>
    <w:rsid w:val="008A57DB"/>
    <w:rsid w:val="008A64C1"/>
    <w:rsid w:val="008A67AF"/>
    <w:rsid w:val="008A7954"/>
    <w:rsid w:val="008A7983"/>
    <w:rsid w:val="008B03AE"/>
    <w:rsid w:val="008B0FEC"/>
    <w:rsid w:val="008B11C0"/>
    <w:rsid w:val="008B142E"/>
    <w:rsid w:val="008B1B68"/>
    <w:rsid w:val="008B1E15"/>
    <w:rsid w:val="008B3BEB"/>
    <w:rsid w:val="008B4B13"/>
    <w:rsid w:val="008B51E2"/>
    <w:rsid w:val="008B542B"/>
    <w:rsid w:val="008B560D"/>
    <w:rsid w:val="008B6793"/>
    <w:rsid w:val="008C1630"/>
    <w:rsid w:val="008C16E1"/>
    <w:rsid w:val="008C2F79"/>
    <w:rsid w:val="008C4E9D"/>
    <w:rsid w:val="008C56C9"/>
    <w:rsid w:val="008C5AEC"/>
    <w:rsid w:val="008C6441"/>
    <w:rsid w:val="008C7500"/>
    <w:rsid w:val="008D0A5B"/>
    <w:rsid w:val="008D0BE6"/>
    <w:rsid w:val="008D1054"/>
    <w:rsid w:val="008D1691"/>
    <w:rsid w:val="008D1EE4"/>
    <w:rsid w:val="008D3301"/>
    <w:rsid w:val="008D3DAA"/>
    <w:rsid w:val="008D549B"/>
    <w:rsid w:val="008D6E27"/>
    <w:rsid w:val="008E03C0"/>
    <w:rsid w:val="008E080B"/>
    <w:rsid w:val="008E0FF3"/>
    <w:rsid w:val="008E14EE"/>
    <w:rsid w:val="008E25E7"/>
    <w:rsid w:val="008E2A85"/>
    <w:rsid w:val="008E755D"/>
    <w:rsid w:val="008E782F"/>
    <w:rsid w:val="008F060C"/>
    <w:rsid w:val="008F1CD9"/>
    <w:rsid w:val="008F21E3"/>
    <w:rsid w:val="008F21F1"/>
    <w:rsid w:val="008F32BC"/>
    <w:rsid w:val="008F36B3"/>
    <w:rsid w:val="008F3794"/>
    <w:rsid w:val="008F4048"/>
    <w:rsid w:val="008F4598"/>
    <w:rsid w:val="008F4684"/>
    <w:rsid w:val="008F51B5"/>
    <w:rsid w:val="008F746F"/>
    <w:rsid w:val="00900E53"/>
    <w:rsid w:val="0090258E"/>
    <w:rsid w:val="00902F5F"/>
    <w:rsid w:val="00903298"/>
    <w:rsid w:val="00903380"/>
    <w:rsid w:val="00903765"/>
    <w:rsid w:val="00903BA4"/>
    <w:rsid w:val="00904A76"/>
    <w:rsid w:val="00904CB1"/>
    <w:rsid w:val="00904FB6"/>
    <w:rsid w:val="00905410"/>
    <w:rsid w:val="00905741"/>
    <w:rsid w:val="009058C9"/>
    <w:rsid w:val="00906503"/>
    <w:rsid w:val="00911183"/>
    <w:rsid w:val="00911259"/>
    <w:rsid w:val="009113FA"/>
    <w:rsid w:val="0091158A"/>
    <w:rsid w:val="00912761"/>
    <w:rsid w:val="00912FA7"/>
    <w:rsid w:val="00913347"/>
    <w:rsid w:val="00915924"/>
    <w:rsid w:val="00915D45"/>
    <w:rsid w:val="00917118"/>
    <w:rsid w:val="00920007"/>
    <w:rsid w:val="00923298"/>
    <w:rsid w:val="0092369E"/>
    <w:rsid w:val="00923C00"/>
    <w:rsid w:val="00924391"/>
    <w:rsid w:val="00924D95"/>
    <w:rsid w:val="009263ED"/>
    <w:rsid w:val="00926944"/>
    <w:rsid w:val="00926C1A"/>
    <w:rsid w:val="0093097C"/>
    <w:rsid w:val="00931029"/>
    <w:rsid w:val="0093222B"/>
    <w:rsid w:val="0093226A"/>
    <w:rsid w:val="009327E0"/>
    <w:rsid w:val="00932AF2"/>
    <w:rsid w:val="00933358"/>
    <w:rsid w:val="00934990"/>
    <w:rsid w:val="009349EE"/>
    <w:rsid w:val="00934E42"/>
    <w:rsid w:val="00934EE0"/>
    <w:rsid w:val="0093578E"/>
    <w:rsid w:val="0093703B"/>
    <w:rsid w:val="00937370"/>
    <w:rsid w:val="00937D49"/>
    <w:rsid w:val="009417F9"/>
    <w:rsid w:val="00942940"/>
    <w:rsid w:val="00942BE8"/>
    <w:rsid w:val="00942DEB"/>
    <w:rsid w:val="00943238"/>
    <w:rsid w:val="00944045"/>
    <w:rsid w:val="009444BA"/>
    <w:rsid w:val="00944AD2"/>
    <w:rsid w:val="00945518"/>
    <w:rsid w:val="0094659B"/>
    <w:rsid w:val="00946DF2"/>
    <w:rsid w:val="00947304"/>
    <w:rsid w:val="0094754F"/>
    <w:rsid w:val="0094783E"/>
    <w:rsid w:val="00947CD4"/>
    <w:rsid w:val="00950C3C"/>
    <w:rsid w:val="00951313"/>
    <w:rsid w:val="009516E1"/>
    <w:rsid w:val="00952306"/>
    <w:rsid w:val="0095247C"/>
    <w:rsid w:val="009536F5"/>
    <w:rsid w:val="00953A50"/>
    <w:rsid w:val="00953DC6"/>
    <w:rsid w:val="00955992"/>
    <w:rsid w:val="00960534"/>
    <w:rsid w:val="00960573"/>
    <w:rsid w:val="00960671"/>
    <w:rsid w:val="00960785"/>
    <w:rsid w:val="009618CA"/>
    <w:rsid w:val="00961BF6"/>
    <w:rsid w:val="00961EAA"/>
    <w:rsid w:val="00962AB4"/>
    <w:rsid w:val="00962ECE"/>
    <w:rsid w:val="009631B5"/>
    <w:rsid w:val="00963ADD"/>
    <w:rsid w:val="009644C6"/>
    <w:rsid w:val="00967FC1"/>
    <w:rsid w:val="00971E78"/>
    <w:rsid w:val="0097268E"/>
    <w:rsid w:val="009754E7"/>
    <w:rsid w:val="00975813"/>
    <w:rsid w:val="009767E3"/>
    <w:rsid w:val="00977DEF"/>
    <w:rsid w:val="0098038B"/>
    <w:rsid w:val="00982B6E"/>
    <w:rsid w:val="00984B20"/>
    <w:rsid w:val="00984D7E"/>
    <w:rsid w:val="00985550"/>
    <w:rsid w:val="0098586E"/>
    <w:rsid w:val="00985A90"/>
    <w:rsid w:val="00985F20"/>
    <w:rsid w:val="00987A83"/>
    <w:rsid w:val="00987B2D"/>
    <w:rsid w:val="009904E6"/>
    <w:rsid w:val="00990F69"/>
    <w:rsid w:val="00992B2C"/>
    <w:rsid w:val="00992E6F"/>
    <w:rsid w:val="00994A57"/>
    <w:rsid w:val="00994BBC"/>
    <w:rsid w:val="00994DF6"/>
    <w:rsid w:val="00994F5E"/>
    <w:rsid w:val="00995822"/>
    <w:rsid w:val="00996FDA"/>
    <w:rsid w:val="0099795A"/>
    <w:rsid w:val="00997E03"/>
    <w:rsid w:val="009A0BC6"/>
    <w:rsid w:val="009A1573"/>
    <w:rsid w:val="009A26D1"/>
    <w:rsid w:val="009A52D5"/>
    <w:rsid w:val="009A55FB"/>
    <w:rsid w:val="009A56C8"/>
    <w:rsid w:val="009A6C1A"/>
    <w:rsid w:val="009A6D13"/>
    <w:rsid w:val="009B00C7"/>
    <w:rsid w:val="009B024B"/>
    <w:rsid w:val="009B188A"/>
    <w:rsid w:val="009B51CE"/>
    <w:rsid w:val="009B6B20"/>
    <w:rsid w:val="009B6EF8"/>
    <w:rsid w:val="009B7BA2"/>
    <w:rsid w:val="009B7C4B"/>
    <w:rsid w:val="009C10F3"/>
    <w:rsid w:val="009C1758"/>
    <w:rsid w:val="009C1CB0"/>
    <w:rsid w:val="009C1FAD"/>
    <w:rsid w:val="009C2247"/>
    <w:rsid w:val="009C22FC"/>
    <w:rsid w:val="009C2DEB"/>
    <w:rsid w:val="009C3EB5"/>
    <w:rsid w:val="009C71E8"/>
    <w:rsid w:val="009C78DE"/>
    <w:rsid w:val="009D002B"/>
    <w:rsid w:val="009D18F4"/>
    <w:rsid w:val="009D3EF8"/>
    <w:rsid w:val="009D5158"/>
    <w:rsid w:val="009D5B14"/>
    <w:rsid w:val="009D5CF9"/>
    <w:rsid w:val="009D6AAE"/>
    <w:rsid w:val="009D6D9F"/>
    <w:rsid w:val="009D7212"/>
    <w:rsid w:val="009D732A"/>
    <w:rsid w:val="009D7BAA"/>
    <w:rsid w:val="009D7F87"/>
    <w:rsid w:val="009E0B4F"/>
    <w:rsid w:val="009E38C1"/>
    <w:rsid w:val="009E56AC"/>
    <w:rsid w:val="009E6AD0"/>
    <w:rsid w:val="009F1F79"/>
    <w:rsid w:val="009F3E85"/>
    <w:rsid w:val="009F4216"/>
    <w:rsid w:val="009F4272"/>
    <w:rsid w:val="009F6690"/>
    <w:rsid w:val="009F68EB"/>
    <w:rsid w:val="00A00CF5"/>
    <w:rsid w:val="00A0229B"/>
    <w:rsid w:val="00A029F2"/>
    <w:rsid w:val="00A030CC"/>
    <w:rsid w:val="00A048D3"/>
    <w:rsid w:val="00A04E66"/>
    <w:rsid w:val="00A04FB4"/>
    <w:rsid w:val="00A050B9"/>
    <w:rsid w:val="00A05188"/>
    <w:rsid w:val="00A0668B"/>
    <w:rsid w:val="00A106A0"/>
    <w:rsid w:val="00A10D34"/>
    <w:rsid w:val="00A10E9D"/>
    <w:rsid w:val="00A1184E"/>
    <w:rsid w:val="00A1196E"/>
    <w:rsid w:val="00A12D5C"/>
    <w:rsid w:val="00A13F4B"/>
    <w:rsid w:val="00A140B3"/>
    <w:rsid w:val="00A142D0"/>
    <w:rsid w:val="00A14D33"/>
    <w:rsid w:val="00A152F7"/>
    <w:rsid w:val="00A158EB"/>
    <w:rsid w:val="00A16471"/>
    <w:rsid w:val="00A1711C"/>
    <w:rsid w:val="00A17244"/>
    <w:rsid w:val="00A205C7"/>
    <w:rsid w:val="00A20837"/>
    <w:rsid w:val="00A20AAB"/>
    <w:rsid w:val="00A217AF"/>
    <w:rsid w:val="00A21C09"/>
    <w:rsid w:val="00A22B4A"/>
    <w:rsid w:val="00A24906"/>
    <w:rsid w:val="00A27D0F"/>
    <w:rsid w:val="00A310C2"/>
    <w:rsid w:val="00A31910"/>
    <w:rsid w:val="00A31AF4"/>
    <w:rsid w:val="00A31D17"/>
    <w:rsid w:val="00A32355"/>
    <w:rsid w:val="00A32D88"/>
    <w:rsid w:val="00A32E34"/>
    <w:rsid w:val="00A33465"/>
    <w:rsid w:val="00A34995"/>
    <w:rsid w:val="00A352B0"/>
    <w:rsid w:val="00A37A74"/>
    <w:rsid w:val="00A37E91"/>
    <w:rsid w:val="00A403A0"/>
    <w:rsid w:val="00A40C29"/>
    <w:rsid w:val="00A4261E"/>
    <w:rsid w:val="00A42837"/>
    <w:rsid w:val="00A4402B"/>
    <w:rsid w:val="00A44472"/>
    <w:rsid w:val="00A448AE"/>
    <w:rsid w:val="00A449B2"/>
    <w:rsid w:val="00A45321"/>
    <w:rsid w:val="00A458B9"/>
    <w:rsid w:val="00A45BFC"/>
    <w:rsid w:val="00A47093"/>
    <w:rsid w:val="00A477E3"/>
    <w:rsid w:val="00A504A5"/>
    <w:rsid w:val="00A507D0"/>
    <w:rsid w:val="00A51519"/>
    <w:rsid w:val="00A532CE"/>
    <w:rsid w:val="00A53B4B"/>
    <w:rsid w:val="00A543E0"/>
    <w:rsid w:val="00A54426"/>
    <w:rsid w:val="00A5590F"/>
    <w:rsid w:val="00A55B4B"/>
    <w:rsid w:val="00A560BA"/>
    <w:rsid w:val="00A56255"/>
    <w:rsid w:val="00A567E3"/>
    <w:rsid w:val="00A57406"/>
    <w:rsid w:val="00A57EE8"/>
    <w:rsid w:val="00A60735"/>
    <w:rsid w:val="00A61034"/>
    <w:rsid w:val="00A61A34"/>
    <w:rsid w:val="00A61E7B"/>
    <w:rsid w:val="00A63189"/>
    <w:rsid w:val="00A64717"/>
    <w:rsid w:val="00A65878"/>
    <w:rsid w:val="00A658E7"/>
    <w:rsid w:val="00A65E9B"/>
    <w:rsid w:val="00A71079"/>
    <w:rsid w:val="00A713E9"/>
    <w:rsid w:val="00A71B37"/>
    <w:rsid w:val="00A71C8B"/>
    <w:rsid w:val="00A71FDD"/>
    <w:rsid w:val="00A7376F"/>
    <w:rsid w:val="00A75DA5"/>
    <w:rsid w:val="00A75E99"/>
    <w:rsid w:val="00A75F9B"/>
    <w:rsid w:val="00A76A72"/>
    <w:rsid w:val="00A77673"/>
    <w:rsid w:val="00A81CA7"/>
    <w:rsid w:val="00A81E11"/>
    <w:rsid w:val="00A82C29"/>
    <w:rsid w:val="00A835E0"/>
    <w:rsid w:val="00A8431D"/>
    <w:rsid w:val="00A84917"/>
    <w:rsid w:val="00A84CD0"/>
    <w:rsid w:val="00A84CF2"/>
    <w:rsid w:val="00A84DE1"/>
    <w:rsid w:val="00A85836"/>
    <w:rsid w:val="00A85AD5"/>
    <w:rsid w:val="00A8785E"/>
    <w:rsid w:val="00A90B27"/>
    <w:rsid w:val="00A91127"/>
    <w:rsid w:val="00A916DC"/>
    <w:rsid w:val="00A92005"/>
    <w:rsid w:val="00A924D3"/>
    <w:rsid w:val="00A924ED"/>
    <w:rsid w:val="00A92B70"/>
    <w:rsid w:val="00A92E5F"/>
    <w:rsid w:val="00A955D9"/>
    <w:rsid w:val="00A95D6F"/>
    <w:rsid w:val="00A96BF3"/>
    <w:rsid w:val="00A97601"/>
    <w:rsid w:val="00A97A4C"/>
    <w:rsid w:val="00AA0386"/>
    <w:rsid w:val="00AA065F"/>
    <w:rsid w:val="00AA23DC"/>
    <w:rsid w:val="00AA2F40"/>
    <w:rsid w:val="00AA3880"/>
    <w:rsid w:val="00AA389A"/>
    <w:rsid w:val="00AA3BB9"/>
    <w:rsid w:val="00AA3DB3"/>
    <w:rsid w:val="00AA3E80"/>
    <w:rsid w:val="00AA51F2"/>
    <w:rsid w:val="00AA6FF8"/>
    <w:rsid w:val="00AA712D"/>
    <w:rsid w:val="00AA72A6"/>
    <w:rsid w:val="00AA7AE3"/>
    <w:rsid w:val="00AA7F5F"/>
    <w:rsid w:val="00AB0A8E"/>
    <w:rsid w:val="00AB12E5"/>
    <w:rsid w:val="00AB1FE4"/>
    <w:rsid w:val="00AB2FC0"/>
    <w:rsid w:val="00AB4839"/>
    <w:rsid w:val="00AB4CF7"/>
    <w:rsid w:val="00AB5964"/>
    <w:rsid w:val="00AB5A90"/>
    <w:rsid w:val="00AB6E02"/>
    <w:rsid w:val="00AB7E09"/>
    <w:rsid w:val="00AC0D4B"/>
    <w:rsid w:val="00AC1395"/>
    <w:rsid w:val="00AC208A"/>
    <w:rsid w:val="00AC34D5"/>
    <w:rsid w:val="00AC49B8"/>
    <w:rsid w:val="00AC658B"/>
    <w:rsid w:val="00AC6E5C"/>
    <w:rsid w:val="00AC702E"/>
    <w:rsid w:val="00AC7BA9"/>
    <w:rsid w:val="00AC7C56"/>
    <w:rsid w:val="00AC7FD5"/>
    <w:rsid w:val="00AD023A"/>
    <w:rsid w:val="00AD03A4"/>
    <w:rsid w:val="00AD080E"/>
    <w:rsid w:val="00AD341C"/>
    <w:rsid w:val="00AD45C5"/>
    <w:rsid w:val="00AD594A"/>
    <w:rsid w:val="00AD5A3C"/>
    <w:rsid w:val="00AD5E43"/>
    <w:rsid w:val="00AD6463"/>
    <w:rsid w:val="00AD651E"/>
    <w:rsid w:val="00AD6C0F"/>
    <w:rsid w:val="00AD75AE"/>
    <w:rsid w:val="00AD7B25"/>
    <w:rsid w:val="00AD7BA9"/>
    <w:rsid w:val="00AE0206"/>
    <w:rsid w:val="00AE16CC"/>
    <w:rsid w:val="00AE1C45"/>
    <w:rsid w:val="00AE1D50"/>
    <w:rsid w:val="00AE2118"/>
    <w:rsid w:val="00AE24FA"/>
    <w:rsid w:val="00AE29E4"/>
    <w:rsid w:val="00AE2D07"/>
    <w:rsid w:val="00AE2EEA"/>
    <w:rsid w:val="00AE42A9"/>
    <w:rsid w:val="00AE69C3"/>
    <w:rsid w:val="00AE7F33"/>
    <w:rsid w:val="00AF2C29"/>
    <w:rsid w:val="00AF3127"/>
    <w:rsid w:val="00AF39A9"/>
    <w:rsid w:val="00AF3D79"/>
    <w:rsid w:val="00AF4555"/>
    <w:rsid w:val="00AF45C5"/>
    <w:rsid w:val="00AF6785"/>
    <w:rsid w:val="00AF6F27"/>
    <w:rsid w:val="00AF755B"/>
    <w:rsid w:val="00AF756F"/>
    <w:rsid w:val="00B00580"/>
    <w:rsid w:val="00B010F3"/>
    <w:rsid w:val="00B02390"/>
    <w:rsid w:val="00B02D36"/>
    <w:rsid w:val="00B02D40"/>
    <w:rsid w:val="00B03452"/>
    <w:rsid w:val="00B04E20"/>
    <w:rsid w:val="00B04F95"/>
    <w:rsid w:val="00B0538A"/>
    <w:rsid w:val="00B05C3E"/>
    <w:rsid w:val="00B06295"/>
    <w:rsid w:val="00B0698E"/>
    <w:rsid w:val="00B069A3"/>
    <w:rsid w:val="00B069FE"/>
    <w:rsid w:val="00B06B80"/>
    <w:rsid w:val="00B071BE"/>
    <w:rsid w:val="00B102CA"/>
    <w:rsid w:val="00B10E1F"/>
    <w:rsid w:val="00B10E22"/>
    <w:rsid w:val="00B11F2C"/>
    <w:rsid w:val="00B12BE0"/>
    <w:rsid w:val="00B13E8D"/>
    <w:rsid w:val="00B14437"/>
    <w:rsid w:val="00B15E59"/>
    <w:rsid w:val="00B16797"/>
    <w:rsid w:val="00B16DF1"/>
    <w:rsid w:val="00B17BC5"/>
    <w:rsid w:val="00B20188"/>
    <w:rsid w:val="00B20D64"/>
    <w:rsid w:val="00B21487"/>
    <w:rsid w:val="00B21BD2"/>
    <w:rsid w:val="00B22260"/>
    <w:rsid w:val="00B22563"/>
    <w:rsid w:val="00B2356B"/>
    <w:rsid w:val="00B23B4B"/>
    <w:rsid w:val="00B23BE6"/>
    <w:rsid w:val="00B26DDA"/>
    <w:rsid w:val="00B2703D"/>
    <w:rsid w:val="00B277E4"/>
    <w:rsid w:val="00B31111"/>
    <w:rsid w:val="00B32261"/>
    <w:rsid w:val="00B325BE"/>
    <w:rsid w:val="00B33B09"/>
    <w:rsid w:val="00B374F8"/>
    <w:rsid w:val="00B400AA"/>
    <w:rsid w:val="00B40E67"/>
    <w:rsid w:val="00B411B0"/>
    <w:rsid w:val="00B419FC"/>
    <w:rsid w:val="00B424E1"/>
    <w:rsid w:val="00B42AE3"/>
    <w:rsid w:val="00B4343F"/>
    <w:rsid w:val="00B44432"/>
    <w:rsid w:val="00B44462"/>
    <w:rsid w:val="00B4498A"/>
    <w:rsid w:val="00B449B2"/>
    <w:rsid w:val="00B45489"/>
    <w:rsid w:val="00B4700B"/>
    <w:rsid w:val="00B4760C"/>
    <w:rsid w:val="00B47762"/>
    <w:rsid w:val="00B5058B"/>
    <w:rsid w:val="00B50BD4"/>
    <w:rsid w:val="00B52AC9"/>
    <w:rsid w:val="00B53E68"/>
    <w:rsid w:val="00B54769"/>
    <w:rsid w:val="00B55601"/>
    <w:rsid w:val="00B55CE0"/>
    <w:rsid w:val="00B567BB"/>
    <w:rsid w:val="00B568AA"/>
    <w:rsid w:val="00B56F86"/>
    <w:rsid w:val="00B6019F"/>
    <w:rsid w:val="00B62033"/>
    <w:rsid w:val="00B629E1"/>
    <w:rsid w:val="00B6321A"/>
    <w:rsid w:val="00B63637"/>
    <w:rsid w:val="00B644C4"/>
    <w:rsid w:val="00B659A7"/>
    <w:rsid w:val="00B675B1"/>
    <w:rsid w:val="00B67BFA"/>
    <w:rsid w:val="00B70427"/>
    <w:rsid w:val="00B70657"/>
    <w:rsid w:val="00B7067C"/>
    <w:rsid w:val="00B70FD2"/>
    <w:rsid w:val="00B7197A"/>
    <w:rsid w:val="00B71DE6"/>
    <w:rsid w:val="00B71F51"/>
    <w:rsid w:val="00B71FAC"/>
    <w:rsid w:val="00B72633"/>
    <w:rsid w:val="00B73304"/>
    <w:rsid w:val="00B7476F"/>
    <w:rsid w:val="00B7492B"/>
    <w:rsid w:val="00B74BCA"/>
    <w:rsid w:val="00B751A4"/>
    <w:rsid w:val="00B7562C"/>
    <w:rsid w:val="00B76782"/>
    <w:rsid w:val="00B81C80"/>
    <w:rsid w:val="00B826A1"/>
    <w:rsid w:val="00B83F4B"/>
    <w:rsid w:val="00B854CC"/>
    <w:rsid w:val="00B857B4"/>
    <w:rsid w:val="00B85B63"/>
    <w:rsid w:val="00B8637A"/>
    <w:rsid w:val="00B872E5"/>
    <w:rsid w:val="00B8791B"/>
    <w:rsid w:val="00B904F5"/>
    <w:rsid w:val="00B90C1F"/>
    <w:rsid w:val="00B90F57"/>
    <w:rsid w:val="00B9242E"/>
    <w:rsid w:val="00B94392"/>
    <w:rsid w:val="00B95590"/>
    <w:rsid w:val="00B95CCB"/>
    <w:rsid w:val="00B9704F"/>
    <w:rsid w:val="00B970DB"/>
    <w:rsid w:val="00B9715A"/>
    <w:rsid w:val="00BA0E0C"/>
    <w:rsid w:val="00BA185A"/>
    <w:rsid w:val="00BA2E2E"/>
    <w:rsid w:val="00BA3C88"/>
    <w:rsid w:val="00BA421E"/>
    <w:rsid w:val="00BA4C33"/>
    <w:rsid w:val="00BA529C"/>
    <w:rsid w:val="00BA5BBF"/>
    <w:rsid w:val="00BA630E"/>
    <w:rsid w:val="00BB045C"/>
    <w:rsid w:val="00BB07F0"/>
    <w:rsid w:val="00BB0947"/>
    <w:rsid w:val="00BB0B1D"/>
    <w:rsid w:val="00BB13C9"/>
    <w:rsid w:val="00BB2055"/>
    <w:rsid w:val="00BB289C"/>
    <w:rsid w:val="00BB28B3"/>
    <w:rsid w:val="00BB3BA4"/>
    <w:rsid w:val="00BB3C14"/>
    <w:rsid w:val="00BB44A7"/>
    <w:rsid w:val="00BB537D"/>
    <w:rsid w:val="00BB5AAD"/>
    <w:rsid w:val="00BB5B58"/>
    <w:rsid w:val="00BB68E7"/>
    <w:rsid w:val="00BC0402"/>
    <w:rsid w:val="00BC0571"/>
    <w:rsid w:val="00BC0914"/>
    <w:rsid w:val="00BC126E"/>
    <w:rsid w:val="00BC2490"/>
    <w:rsid w:val="00BC24FC"/>
    <w:rsid w:val="00BC2DB7"/>
    <w:rsid w:val="00BC3485"/>
    <w:rsid w:val="00BC46F9"/>
    <w:rsid w:val="00BC46FD"/>
    <w:rsid w:val="00BC493C"/>
    <w:rsid w:val="00BC49F9"/>
    <w:rsid w:val="00BC5374"/>
    <w:rsid w:val="00BC5448"/>
    <w:rsid w:val="00BC5705"/>
    <w:rsid w:val="00BC58D6"/>
    <w:rsid w:val="00BC5FDB"/>
    <w:rsid w:val="00BC6277"/>
    <w:rsid w:val="00BC657A"/>
    <w:rsid w:val="00BC6599"/>
    <w:rsid w:val="00BC6713"/>
    <w:rsid w:val="00BC7173"/>
    <w:rsid w:val="00BD0405"/>
    <w:rsid w:val="00BD04FF"/>
    <w:rsid w:val="00BD074E"/>
    <w:rsid w:val="00BD1043"/>
    <w:rsid w:val="00BD2CB3"/>
    <w:rsid w:val="00BD2D34"/>
    <w:rsid w:val="00BD37A6"/>
    <w:rsid w:val="00BD631D"/>
    <w:rsid w:val="00BD6689"/>
    <w:rsid w:val="00BD6BDE"/>
    <w:rsid w:val="00BE21AA"/>
    <w:rsid w:val="00BE3366"/>
    <w:rsid w:val="00BE35E3"/>
    <w:rsid w:val="00BE3880"/>
    <w:rsid w:val="00BE4203"/>
    <w:rsid w:val="00BE478D"/>
    <w:rsid w:val="00BE754C"/>
    <w:rsid w:val="00BF0948"/>
    <w:rsid w:val="00BF0BCE"/>
    <w:rsid w:val="00BF1699"/>
    <w:rsid w:val="00BF1D89"/>
    <w:rsid w:val="00BF2B25"/>
    <w:rsid w:val="00BF3320"/>
    <w:rsid w:val="00BF4A6E"/>
    <w:rsid w:val="00BF4B31"/>
    <w:rsid w:val="00BF5B36"/>
    <w:rsid w:val="00BF5C36"/>
    <w:rsid w:val="00BF64EC"/>
    <w:rsid w:val="00BF666D"/>
    <w:rsid w:val="00BF6A28"/>
    <w:rsid w:val="00BF7EAE"/>
    <w:rsid w:val="00C00171"/>
    <w:rsid w:val="00C00370"/>
    <w:rsid w:val="00C00522"/>
    <w:rsid w:val="00C0064E"/>
    <w:rsid w:val="00C01242"/>
    <w:rsid w:val="00C02439"/>
    <w:rsid w:val="00C02596"/>
    <w:rsid w:val="00C03585"/>
    <w:rsid w:val="00C03B9E"/>
    <w:rsid w:val="00C042DF"/>
    <w:rsid w:val="00C057C7"/>
    <w:rsid w:val="00C0659C"/>
    <w:rsid w:val="00C069A8"/>
    <w:rsid w:val="00C101B4"/>
    <w:rsid w:val="00C11DAA"/>
    <w:rsid w:val="00C11EEE"/>
    <w:rsid w:val="00C13AFE"/>
    <w:rsid w:val="00C16149"/>
    <w:rsid w:val="00C17106"/>
    <w:rsid w:val="00C17283"/>
    <w:rsid w:val="00C17A5B"/>
    <w:rsid w:val="00C20823"/>
    <w:rsid w:val="00C20CA9"/>
    <w:rsid w:val="00C22AB1"/>
    <w:rsid w:val="00C23687"/>
    <w:rsid w:val="00C240A8"/>
    <w:rsid w:val="00C2414B"/>
    <w:rsid w:val="00C24F1B"/>
    <w:rsid w:val="00C26487"/>
    <w:rsid w:val="00C277A8"/>
    <w:rsid w:val="00C27FBB"/>
    <w:rsid w:val="00C310FA"/>
    <w:rsid w:val="00C3149E"/>
    <w:rsid w:val="00C31574"/>
    <w:rsid w:val="00C3210D"/>
    <w:rsid w:val="00C35BBA"/>
    <w:rsid w:val="00C37942"/>
    <w:rsid w:val="00C414BF"/>
    <w:rsid w:val="00C42B99"/>
    <w:rsid w:val="00C460BB"/>
    <w:rsid w:val="00C4613F"/>
    <w:rsid w:val="00C46308"/>
    <w:rsid w:val="00C4663B"/>
    <w:rsid w:val="00C46C28"/>
    <w:rsid w:val="00C46CB2"/>
    <w:rsid w:val="00C4754C"/>
    <w:rsid w:val="00C47E68"/>
    <w:rsid w:val="00C47F02"/>
    <w:rsid w:val="00C47FA8"/>
    <w:rsid w:val="00C50698"/>
    <w:rsid w:val="00C50D70"/>
    <w:rsid w:val="00C51693"/>
    <w:rsid w:val="00C52BBA"/>
    <w:rsid w:val="00C533C8"/>
    <w:rsid w:val="00C55CE9"/>
    <w:rsid w:val="00C55DD9"/>
    <w:rsid w:val="00C5655F"/>
    <w:rsid w:val="00C56D6A"/>
    <w:rsid w:val="00C570BE"/>
    <w:rsid w:val="00C60055"/>
    <w:rsid w:val="00C60AC2"/>
    <w:rsid w:val="00C61DB5"/>
    <w:rsid w:val="00C62587"/>
    <w:rsid w:val="00C62FBD"/>
    <w:rsid w:val="00C6427B"/>
    <w:rsid w:val="00C644EF"/>
    <w:rsid w:val="00C65667"/>
    <w:rsid w:val="00C658E7"/>
    <w:rsid w:val="00C6662E"/>
    <w:rsid w:val="00C6687E"/>
    <w:rsid w:val="00C67155"/>
    <w:rsid w:val="00C67C30"/>
    <w:rsid w:val="00C67E15"/>
    <w:rsid w:val="00C67FDF"/>
    <w:rsid w:val="00C7016A"/>
    <w:rsid w:val="00C70555"/>
    <w:rsid w:val="00C71567"/>
    <w:rsid w:val="00C71659"/>
    <w:rsid w:val="00C71C73"/>
    <w:rsid w:val="00C71F42"/>
    <w:rsid w:val="00C7296D"/>
    <w:rsid w:val="00C72BE1"/>
    <w:rsid w:val="00C72F2D"/>
    <w:rsid w:val="00C73295"/>
    <w:rsid w:val="00C7338E"/>
    <w:rsid w:val="00C73539"/>
    <w:rsid w:val="00C73582"/>
    <w:rsid w:val="00C73CBB"/>
    <w:rsid w:val="00C73CC9"/>
    <w:rsid w:val="00C752C0"/>
    <w:rsid w:val="00C7530D"/>
    <w:rsid w:val="00C75415"/>
    <w:rsid w:val="00C759DB"/>
    <w:rsid w:val="00C769FA"/>
    <w:rsid w:val="00C76D36"/>
    <w:rsid w:val="00C822C3"/>
    <w:rsid w:val="00C828DA"/>
    <w:rsid w:val="00C840CF"/>
    <w:rsid w:val="00C845E5"/>
    <w:rsid w:val="00C848C3"/>
    <w:rsid w:val="00C858B4"/>
    <w:rsid w:val="00C86532"/>
    <w:rsid w:val="00C90066"/>
    <w:rsid w:val="00C9123C"/>
    <w:rsid w:val="00C9160E"/>
    <w:rsid w:val="00C95524"/>
    <w:rsid w:val="00C95DAF"/>
    <w:rsid w:val="00C972AD"/>
    <w:rsid w:val="00C978F7"/>
    <w:rsid w:val="00CA166E"/>
    <w:rsid w:val="00CA1A50"/>
    <w:rsid w:val="00CA27F7"/>
    <w:rsid w:val="00CA3073"/>
    <w:rsid w:val="00CA3151"/>
    <w:rsid w:val="00CA3587"/>
    <w:rsid w:val="00CA3E6F"/>
    <w:rsid w:val="00CA5434"/>
    <w:rsid w:val="00CA6100"/>
    <w:rsid w:val="00CB09C8"/>
    <w:rsid w:val="00CB1EC4"/>
    <w:rsid w:val="00CB2A50"/>
    <w:rsid w:val="00CB3014"/>
    <w:rsid w:val="00CB31B1"/>
    <w:rsid w:val="00CB335C"/>
    <w:rsid w:val="00CB36F1"/>
    <w:rsid w:val="00CB376F"/>
    <w:rsid w:val="00CB3B18"/>
    <w:rsid w:val="00CB48D0"/>
    <w:rsid w:val="00CB5A13"/>
    <w:rsid w:val="00CB5A93"/>
    <w:rsid w:val="00CB674F"/>
    <w:rsid w:val="00CB79A8"/>
    <w:rsid w:val="00CC07C2"/>
    <w:rsid w:val="00CC0A14"/>
    <w:rsid w:val="00CC26C2"/>
    <w:rsid w:val="00CC289D"/>
    <w:rsid w:val="00CC2D23"/>
    <w:rsid w:val="00CC382C"/>
    <w:rsid w:val="00CC3DCC"/>
    <w:rsid w:val="00CC57CD"/>
    <w:rsid w:val="00CC58C5"/>
    <w:rsid w:val="00CC5A7C"/>
    <w:rsid w:val="00CC627E"/>
    <w:rsid w:val="00CC6603"/>
    <w:rsid w:val="00CC6B65"/>
    <w:rsid w:val="00CD041D"/>
    <w:rsid w:val="00CD091C"/>
    <w:rsid w:val="00CD0940"/>
    <w:rsid w:val="00CD0B8F"/>
    <w:rsid w:val="00CD1727"/>
    <w:rsid w:val="00CD2808"/>
    <w:rsid w:val="00CD3219"/>
    <w:rsid w:val="00CD338A"/>
    <w:rsid w:val="00CD3675"/>
    <w:rsid w:val="00CD4275"/>
    <w:rsid w:val="00CD4E30"/>
    <w:rsid w:val="00CD5513"/>
    <w:rsid w:val="00CD58AA"/>
    <w:rsid w:val="00CD6975"/>
    <w:rsid w:val="00CE09C1"/>
    <w:rsid w:val="00CE0B18"/>
    <w:rsid w:val="00CE1192"/>
    <w:rsid w:val="00CE1426"/>
    <w:rsid w:val="00CE162B"/>
    <w:rsid w:val="00CE2127"/>
    <w:rsid w:val="00CE28C3"/>
    <w:rsid w:val="00CE2E96"/>
    <w:rsid w:val="00CE2EC8"/>
    <w:rsid w:val="00CE3176"/>
    <w:rsid w:val="00CE3DEA"/>
    <w:rsid w:val="00CE3FCC"/>
    <w:rsid w:val="00CE4F61"/>
    <w:rsid w:val="00CE5468"/>
    <w:rsid w:val="00CE58C4"/>
    <w:rsid w:val="00CE6054"/>
    <w:rsid w:val="00CE656C"/>
    <w:rsid w:val="00CE6EE1"/>
    <w:rsid w:val="00CE7ADE"/>
    <w:rsid w:val="00CE7D49"/>
    <w:rsid w:val="00CF07F4"/>
    <w:rsid w:val="00CF0A23"/>
    <w:rsid w:val="00CF1389"/>
    <w:rsid w:val="00CF21E8"/>
    <w:rsid w:val="00CF22C3"/>
    <w:rsid w:val="00CF2C24"/>
    <w:rsid w:val="00CF32E9"/>
    <w:rsid w:val="00CF389F"/>
    <w:rsid w:val="00CF520A"/>
    <w:rsid w:val="00CF5238"/>
    <w:rsid w:val="00CF5566"/>
    <w:rsid w:val="00CF575A"/>
    <w:rsid w:val="00CF78B2"/>
    <w:rsid w:val="00D006CB"/>
    <w:rsid w:val="00D006D3"/>
    <w:rsid w:val="00D00724"/>
    <w:rsid w:val="00D00BAB"/>
    <w:rsid w:val="00D01DE1"/>
    <w:rsid w:val="00D0224E"/>
    <w:rsid w:val="00D02311"/>
    <w:rsid w:val="00D02F3E"/>
    <w:rsid w:val="00D0309C"/>
    <w:rsid w:val="00D0349C"/>
    <w:rsid w:val="00D03DE5"/>
    <w:rsid w:val="00D05C13"/>
    <w:rsid w:val="00D0657C"/>
    <w:rsid w:val="00D06AE2"/>
    <w:rsid w:val="00D0770F"/>
    <w:rsid w:val="00D07CD4"/>
    <w:rsid w:val="00D10F3D"/>
    <w:rsid w:val="00D117BE"/>
    <w:rsid w:val="00D11846"/>
    <w:rsid w:val="00D1349F"/>
    <w:rsid w:val="00D15CA9"/>
    <w:rsid w:val="00D16207"/>
    <w:rsid w:val="00D16E0A"/>
    <w:rsid w:val="00D17D45"/>
    <w:rsid w:val="00D20F3C"/>
    <w:rsid w:val="00D21E24"/>
    <w:rsid w:val="00D221F0"/>
    <w:rsid w:val="00D23860"/>
    <w:rsid w:val="00D241F8"/>
    <w:rsid w:val="00D24BF8"/>
    <w:rsid w:val="00D24CD2"/>
    <w:rsid w:val="00D24FCF"/>
    <w:rsid w:val="00D2506E"/>
    <w:rsid w:val="00D2679B"/>
    <w:rsid w:val="00D26FC4"/>
    <w:rsid w:val="00D30364"/>
    <w:rsid w:val="00D3070E"/>
    <w:rsid w:val="00D30845"/>
    <w:rsid w:val="00D30A9B"/>
    <w:rsid w:val="00D311FC"/>
    <w:rsid w:val="00D31635"/>
    <w:rsid w:val="00D32762"/>
    <w:rsid w:val="00D32B3A"/>
    <w:rsid w:val="00D339CE"/>
    <w:rsid w:val="00D35126"/>
    <w:rsid w:val="00D3563F"/>
    <w:rsid w:val="00D35EAE"/>
    <w:rsid w:val="00D36477"/>
    <w:rsid w:val="00D36C90"/>
    <w:rsid w:val="00D3765B"/>
    <w:rsid w:val="00D40018"/>
    <w:rsid w:val="00D401E2"/>
    <w:rsid w:val="00D4243B"/>
    <w:rsid w:val="00D4277C"/>
    <w:rsid w:val="00D427C0"/>
    <w:rsid w:val="00D42A3F"/>
    <w:rsid w:val="00D43FC3"/>
    <w:rsid w:val="00D446F4"/>
    <w:rsid w:val="00D4724D"/>
    <w:rsid w:val="00D479F0"/>
    <w:rsid w:val="00D52A63"/>
    <w:rsid w:val="00D52B7A"/>
    <w:rsid w:val="00D53890"/>
    <w:rsid w:val="00D5429F"/>
    <w:rsid w:val="00D54352"/>
    <w:rsid w:val="00D548FC"/>
    <w:rsid w:val="00D5642E"/>
    <w:rsid w:val="00D56DE8"/>
    <w:rsid w:val="00D56F01"/>
    <w:rsid w:val="00D57FC7"/>
    <w:rsid w:val="00D612DD"/>
    <w:rsid w:val="00D61579"/>
    <w:rsid w:val="00D63C4C"/>
    <w:rsid w:val="00D63F27"/>
    <w:rsid w:val="00D64076"/>
    <w:rsid w:val="00D640C3"/>
    <w:rsid w:val="00D64650"/>
    <w:rsid w:val="00D66D0B"/>
    <w:rsid w:val="00D6790D"/>
    <w:rsid w:val="00D7101E"/>
    <w:rsid w:val="00D7102C"/>
    <w:rsid w:val="00D71ADB"/>
    <w:rsid w:val="00D71D53"/>
    <w:rsid w:val="00D72D46"/>
    <w:rsid w:val="00D74E0E"/>
    <w:rsid w:val="00D75B5A"/>
    <w:rsid w:val="00D763DE"/>
    <w:rsid w:val="00D76743"/>
    <w:rsid w:val="00D77240"/>
    <w:rsid w:val="00D80398"/>
    <w:rsid w:val="00D8043C"/>
    <w:rsid w:val="00D80E1E"/>
    <w:rsid w:val="00D8211A"/>
    <w:rsid w:val="00D82569"/>
    <w:rsid w:val="00D82B7C"/>
    <w:rsid w:val="00D840AA"/>
    <w:rsid w:val="00D847E6"/>
    <w:rsid w:val="00D84E31"/>
    <w:rsid w:val="00D8530E"/>
    <w:rsid w:val="00D85D4B"/>
    <w:rsid w:val="00D85DBA"/>
    <w:rsid w:val="00D85E61"/>
    <w:rsid w:val="00D86A39"/>
    <w:rsid w:val="00D87FAC"/>
    <w:rsid w:val="00D90BF6"/>
    <w:rsid w:val="00D90DD6"/>
    <w:rsid w:val="00D9166B"/>
    <w:rsid w:val="00D92D31"/>
    <w:rsid w:val="00D933A7"/>
    <w:rsid w:val="00D93671"/>
    <w:rsid w:val="00D96CBB"/>
    <w:rsid w:val="00D96F8D"/>
    <w:rsid w:val="00DA031B"/>
    <w:rsid w:val="00DA0931"/>
    <w:rsid w:val="00DA1B6D"/>
    <w:rsid w:val="00DA1F1E"/>
    <w:rsid w:val="00DA3281"/>
    <w:rsid w:val="00DA349B"/>
    <w:rsid w:val="00DA4224"/>
    <w:rsid w:val="00DA445F"/>
    <w:rsid w:val="00DA562D"/>
    <w:rsid w:val="00DA5633"/>
    <w:rsid w:val="00DA65F3"/>
    <w:rsid w:val="00DA6C6C"/>
    <w:rsid w:val="00DA6F46"/>
    <w:rsid w:val="00DA7976"/>
    <w:rsid w:val="00DB0F97"/>
    <w:rsid w:val="00DB2091"/>
    <w:rsid w:val="00DB2B95"/>
    <w:rsid w:val="00DB3867"/>
    <w:rsid w:val="00DB3A6D"/>
    <w:rsid w:val="00DB523E"/>
    <w:rsid w:val="00DB7407"/>
    <w:rsid w:val="00DC2116"/>
    <w:rsid w:val="00DC21E5"/>
    <w:rsid w:val="00DC2F7A"/>
    <w:rsid w:val="00DC35D5"/>
    <w:rsid w:val="00DC42B6"/>
    <w:rsid w:val="00DC4A24"/>
    <w:rsid w:val="00DC4CAC"/>
    <w:rsid w:val="00DC7A0C"/>
    <w:rsid w:val="00DC7F34"/>
    <w:rsid w:val="00DD00D3"/>
    <w:rsid w:val="00DD075B"/>
    <w:rsid w:val="00DD1026"/>
    <w:rsid w:val="00DD241A"/>
    <w:rsid w:val="00DD2FA1"/>
    <w:rsid w:val="00DD456A"/>
    <w:rsid w:val="00DD4811"/>
    <w:rsid w:val="00DD5D0C"/>
    <w:rsid w:val="00DD65FE"/>
    <w:rsid w:val="00DD6E78"/>
    <w:rsid w:val="00DE014D"/>
    <w:rsid w:val="00DE02EA"/>
    <w:rsid w:val="00DE0CDB"/>
    <w:rsid w:val="00DE1BAC"/>
    <w:rsid w:val="00DE24C7"/>
    <w:rsid w:val="00DE2BEF"/>
    <w:rsid w:val="00DE34B2"/>
    <w:rsid w:val="00DE4106"/>
    <w:rsid w:val="00DE4ABD"/>
    <w:rsid w:val="00DE4B58"/>
    <w:rsid w:val="00DE5579"/>
    <w:rsid w:val="00DE5B11"/>
    <w:rsid w:val="00DE5D4F"/>
    <w:rsid w:val="00DE6385"/>
    <w:rsid w:val="00DE685A"/>
    <w:rsid w:val="00DE7C2F"/>
    <w:rsid w:val="00DF068A"/>
    <w:rsid w:val="00DF1948"/>
    <w:rsid w:val="00DF195E"/>
    <w:rsid w:val="00DF1ADC"/>
    <w:rsid w:val="00DF1D95"/>
    <w:rsid w:val="00DF1FC1"/>
    <w:rsid w:val="00DF223C"/>
    <w:rsid w:val="00DF25EF"/>
    <w:rsid w:val="00DF2C7A"/>
    <w:rsid w:val="00DF31DC"/>
    <w:rsid w:val="00DF550B"/>
    <w:rsid w:val="00DF573A"/>
    <w:rsid w:val="00DF72CC"/>
    <w:rsid w:val="00E00417"/>
    <w:rsid w:val="00E00617"/>
    <w:rsid w:val="00E00B49"/>
    <w:rsid w:val="00E00F0C"/>
    <w:rsid w:val="00E0144C"/>
    <w:rsid w:val="00E02408"/>
    <w:rsid w:val="00E0284C"/>
    <w:rsid w:val="00E02EE7"/>
    <w:rsid w:val="00E0350D"/>
    <w:rsid w:val="00E06739"/>
    <w:rsid w:val="00E0677A"/>
    <w:rsid w:val="00E07039"/>
    <w:rsid w:val="00E1009D"/>
    <w:rsid w:val="00E103EE"/>
    <w:rsid w:val="00E1282B"/>
    <w:rsid w:val="00E12A6F"/>
    <w:rsid w:val="00E13C5F"/>
    <w:rsid w:val="00E15CD6"/>
    <w:rsid w:val="00E15F13"/>
    <w:rsid w:val="00E16808"/>
    <w:rsid w:val="00E16ACE"/>
    <w:rsid w:val="00E16C0F"/>
    <w:rsid w:val="00E205F8"/>
    <w:rsid w:val="00E20E5D"/>
    <w:rsid w:val="00E20EBA"/>
    <w:rsid w:val="00E21C74"/>
    <w:rsid w:val="00E220D9"/>
    <w:rsid w:val="00E22217"/>
    <w:rsid w:val="00E22508"/>
    <w:rsid w:val="00E22E66"/>
    <w:rsid w:val="00E23B6B"/>
    <w:rsid w:val="00E2433D"/>
    <w:rsid w:val="00E24580"/>
    <w:rsid w:val="00E262AD"/>
    <w:rsid w:val="00E26C8C"/>
    <w:rsid w:val="00E27460"/>
    <w:rsid w:val="00E27D59"/>
    <w:rsid w:val="00E310F1"/>
    <w:rsid w:val="00E3120F"/>
    <w:rsid w:val="00E319F0"/>
    <w:rsid w:val="00E3363D"/>
    <w:rsid w:val="00E33F8C"/>
    <w:rsid w:val="00E355FA"/>
    <w:rsid w:val="00E35B8E"/>
    <w:rsid w:val="00E363B9"/>
    <w:rsid w:val="00E36A7A"/>
    <w:rsid w:val="00E374A1"/>
    <w:rsid w:val="00E4004C"/>
    <w:rsid w:val="00E41F88"/>
    <w:rsid w:val="00E421C1"/>
    <w:rsid w:val="00E42273"/>
    <w:rsid w:val="00E43766"/>
    <w:rsid w:val="00E45023"/>
    <w:rsid w:val="00E45AF9"/>
    <w:rsid w:val="00E47098"/>
    <w:rsid w:val="00E47125"/>
    <w:rsid w:val="00E47ACA"/>
    <w:rsid w:val="00E50027"/>
    <w:rsid w:val="00E50199"/>
    <w:rsid w:val="00E516AB"/>
    <w:rsid w:val="00E52127"/>
    <w:rsid w:val="00E52258"/>
    <w:rsid w:val="00E52E6F"/>
    <w:rsid w:val="00E5386A"/>
    <w:rsid w:val="00E53C72"/>
    <w:rsid w:val="00E53DD1"/>
    <w:rsid w:val="00E53E90"/>
    <w:rsid w:val="00E549F9"/>
    <w:rsid w:val="00E54E09"/>
    <w:rsid w:val="00E5543C"/>
    <w:rsid w:val="00E56104"/>
    <w:rsid w:val="00E56A26"/>
    <w:rsid w:val="00E57087"/>
    <w:rsid w:val="00E57DAC"/>
    <w:rsid w:val="00E62301"/>
    <w:rsid w:val="00E62D81"/>
    <w:rsid w:val="00E63176"/>
    <w:rsid w:val="00E631C6"/>
    <w:rsid w:val="00E634B4"/>
    <w:rsid w:val="00E645D5"/>
    <w:rsid w:val="00E65034"/>
    <w:rsid w:val="00E658B9"/>
    <w:rsid w:val="00E65AC4"/>
    <w:rsid w:val="00E67098"/>
    <w:rsid w:val="00E7002A"/>
    <w:rsid w:val="00E7003B"/>
    <w:rsid w:val="00E7012E"/>
    <w:rsid w:val="00E70883"/>
    <w:rsid w:val="00E71C1C"/>
    <w:rsid w:val="00E72D28"/>
    <w:rsid w:val="00E7382C"/>
    <w:rsid w:val="00E738CA"/>
    <w:rsid w:val="00E74BB6"/>
    <w:rsid w:val="00E74CBE"/>
    <w:rsid w:val="00E74FEE"/>
    <w:rsid w:val="00E7534A"/>
    <w:rsid w:val="00E75E7A"/>
    <w:rsid w:val="00E76C85"/>
    <w:rsid w:val="00E77691"/>
    <w:rsid w:val="00E777FB"/>
    <w:rsid w:val="00E815D6"/>
    <w:rsid w:val="00E818E4"/>
    <w:rsid w:val="00E819F8"/>
    <w:rsid w:val="00E824F0"/>
    <w:rsid w:val="00E82852"/>
    <w:rsid w:val="00E83323"/>
    <w:rsid w:val="00E83BA5"/>
    <w:rsid w:val="00E83F64"/>
    <w:rsid w:val="00E85A0F"/>
    <w:rsid w:val="00E860F4"/>
    <w:rsid w:val="00E87A31"/>
    <w:rsid w:val="00E90385"/>
    <w:rsid w:val="00E9170A"/>
    <w:rsid w:val="00E92402"/>
    <w:rsid w:val="00E92CB1"/>
    <w:rsid w:val="00E93BF7"/>
    <w:rsid w:val="00E96FA0"/>
    <w:rsid w:val="00E97B36"/>
    <w:rsid w:val="00EA1F87"/>
    <w:rsid w:val="00EA2AE0"/>
    <w:rsid w:val="00EA33FF"/>
    <w:rsid w:val="00EA4028"/>
    <w:rsid w:val="00EA49D1"/>
    <w:rsid w:val="00EA629D"/>
    <w:rsid w:val="00EA6B80"/>
    <w:rsid w:val="00EB01A6"/>
    <w:rsid w:val="00EB06EF"/>
    <w:rsid w:val="00EB241D"/>
    <w:rsid w:val="00EB2519"/>
    <w:rsid w:val="00EB261F"/>
    <w:rsid w:val="00EB27F4"/>
    <w:rsid w:val="00EB60AD"/>
    <w:rsid w:val="00EB643A"/>
    <w:rsid w:val="00EB6B3B"/>
    <w:rsid w:val="00EC19E0"/>
    <w:rsid w:val="00EC1C2D"/>
    <w:rsid w:val="00EC236D"/>
    <w:rsid w:val="00EC398B"/>
    <w:rsid w:val="00EC4464"/>
    <w:rsid w:val="00EC4D2E"/>
    <w:rsid w:val="00EC4FF8"/>
    <w:rsid w:val="00EC75BD"/>
    <w:rsid w:val="00ED03F0"/>
    <w:rsid w:val="00ED0A19"/>
    <w:rsid w:val="00ED18F4"/>
    <w:rsid w:val="00ED19E0"/>
    <w:rsid w:val="00ED2C90"/>
    <w:rsid w:val="00ED3B35"/>
    <w:rsid w:val="00ED487A"/>
    <w:rsid w:val="00ED556D"/>
    <w:rsid w:val="00ED569F"/>
    <w:rsid w:val="00ED6B05"/>
    <w:rsid w:val="00ED6F77"/>
    <w:rsid w:val="00EE0091"/>
    <w:rsid w:val="00EE17EF"/>
    <w:rsid w:val="00EE1F45"/>
    <w:rsid w:val="00EE245A"/>
    <w:rsid w:val="00EE2E8C"/>
    <w:rsid w:val="00EE3284"/>
    <w:rsid w:val="00EE404C"/>
    <w:rsid w:val="00EE4652"/>
    <w:rsid w:val="00EE5358"/>
    <w:rsid w:val="00EE54EC"/>
    <w:rsid w:val="00EE5565"/>
    <w:rsid w:val="00EE5719"/>
    <w:rsid w:val="00EE6029"/>
    <w:rsid w:val="00EE6462"/>
    <w:rsid w:val="00EE72F2"/>
    <w:rsid w:val="00EE7351"/>
    <w:rsid w:val="00EF032A"/>
    <w:rsid w:val="00EF1074"/>
    <w:rsid w:val="00EF172D"/>
    <w:rsid w:val="00EF181E"/>
    <w:rsid w:val="00EF236A"/>
    <w:rsid w:val="00EF2BA2"/>
    <w:rsid w:val="00EF48DA"/>
    <w:rsid w:val="00EF5E6A"/>
    <w:rsid w:val="00EF6DF3"/>
    <w:rsid w:val="00EF7349"/>
    <w:rsid w:val="00F02364"/>
    <w:rsid w:val="00F034D3"/>
    <w:rsid w:val="00F0396F"/>
    <w:rsid w:val="00F03B85"/>
    <w:rsid w:val="00F03BB3"/>
    <w:rsid w:val="00F04DF8"/>
    <w:rsid w:val="00F05C1E"/>
    <w:rsid w:val="00F06BE1"/>
    <w:rsid w:val="00F0738E"/>
    <w:rsid w:val="00F07538"/>
    <w:rsid w:val="00F110EE"/>
    <w:rsid w:val="00F111A9"/>
    <w:rsid w:val="00F11837"/>
    <w:rsid w:val="00F12DCA"/>
    <w:rsid w:val="00F149C6"/>
    <w:rsid w:val="00F150C9"/>
    <w:rsid w:val="00F160FB"/>
    <w:rsid w:val="00F20888"/>
    <w:rsid w:val="00F22516"/>
    <w:rsid w:val="00F2280B"/>
    <w:rsid w:val="00F22C07"/>
    <w:rsid w:val="00F245D2"/>
    <w:rsid w:val="00F24B23"/>
    <w:rsid w:val="00F254B5"/>
    <w:rsid w:val="00F25FB3"/>
    <w:rsid w:val="00F262D9"/>
    <w:rsid w:val="00F2636F"/>
    <w:rsid w:val="00F26E6E"/>
    <w:rsid w:val="00F277D9"/>
    <w:rsid w:val="00F30A37"/>
    <w:rsid w:val="00F317E0"/>
    <w:rsid w:val="00F31C25"/>
    <w:rsid w:val="00F32A5A"/>
    <w:rsid w:val="00F338C0"/>
    <w:rsid w:val="00F33F61"/>
    <w:rsid w:val="00F34118"/>
    <w:rsid w:val="00F34204"/>
    <w:rsid w:val="00F34236"/>
    <w:rsid w:val="00F34D9A"/>
    <w:rsid w:val="00F35685"/>
    <w:rsid w:val="00F367E8"/>
    <w:rsid w:val="00F37673"/>
    <w:rsid w:val="00F376AF"/>
    <w:rsid w:val="00F412A4"/>
    <w:rsid w:val="00F431A7"/>
    <w:rsid w:val="00F43789"/>
    <w:rsid w:val="00F444E2"/>
    <w:rsid w:val="00F44615"/>
    <w:rsid w:val="00F449C8"/>
    <w:rsid w:val="00F44E16"/>
    <w:rsid w:val="00F456CE"/>
    <w:rsid w:val="00F508E2"/>
    <w:rsid w:val="00F541FA"/>
    <w:rsid w:val="00F54345"/>
    <w:rsid w:val="00F543BD"/>
    <w:rsid w:val="00F55B70"/>
    <w:rsid w:val="00F55BB9"/>
    <w:rsid w:val="00F56008"/>
    <w:rsid w:val="00F5626F"/>
    <w:rsid w:val="00F5663D"/>
    <w:rsid w:val="00F566BC"/>
    <w:rsid w:val="00F569C0"/>
    <w:rsid w:val="00F56A94"/>
    <w:rsid w:val="00F601BE"/>
    <w:rsid w:val="00F61042"/>
    <w:rsid w:val="00F6157B"/>
    <w:rsid w:val="00F62751"/>
    <w:rsid w:val="00F630EE"/>
    <w:rsid w:val="00F635EF"/>
    <w:rsid w:val="00F6667B"/>
    <w:rsid w:val="00F672BA"/>
    <w:rsid w:val="00F673FB"/>
    <w:rsid w:val="00F71266"/>
    <w:rsid w:val="00F714B1"/>
    <w:rsid w:val="00F719D7"/>
    <w:rsid w:val="00F7236B"/>
    <w:rsid w:val="00F72DA8"/>
    <w:rsid w:val="00F734CF"/>
    <w:rsid w:val="00F73503"/>
    <w:rsid w:val="00F74CCE"/>
    <w:rsid w:val="00F80670"/>
    <w:rsid w:val="00F81012"/>
    <w:rsid w:val="00F8186E"/>
    <w:rsid w:val="00F825B4"/>
    <w:rsid w:val="00F82644"/>
    <w:rsid w:val="00F834E3"/>
    <w:rsid w:val="00F84507"/>
    <w:rsid w:val="00F863F5"/>
    <w:rsid w:val="00F86490"/>
    <w:rsid w:val="00F8657A"/>
    <w:rsid w:val="00F920F7"/>
    <w:rsid w:val="00F92856"/>
    <w:rsid w:val="00F92B3E"/>
    <w:rsid w:val="00F92F1F"/>
    <w:rsid w:val="00F931E1"/>
    <w:rsid w:val="00F93D44"/>
    <w:rsid w:val="00F94F12"/>
    <w:rsid w:val="00F94F1D"/>
    <w:rsid w:val="00F97455"/>
    <w:rsid w:val="00F97D62"/>
    <w:rsid w:val="00F97DC7"/>
    <w:rsid w:val="00FA235B"/>
    <w:rsid w:val="00FA29C8"/>
    <w:rsid w:val="00FA2E3E"/>
    <w:rsid w:val="00FA3173"/>
    <w:rsid w:val="00FA41E3"/>
    <w:rsid w:val="00FA4472"/>
    <w:rsid w:val="00FA4E87"/>
    <w:rsid w:val="00FA664B"/>
    <w:rsid w:val="00FA74BB"/>
    <w:rsid w:val="00FB055A"/>
    <w:rsid w:val="00FB057D"/>
    <w:rsid w:val="00FB060D"/>
    <w:rsid w:val="00FB07D4"/>
    <w:rsid w:val="00FB12B1"/>
    <w:rsid w:val="00FB13BC"/>
    <w:rsid w:val="00FB2463"/>
    <w:rsid w:val="00FB31FF"/>
    <w:rsid w:val="00FB3F40"/>
    <w:rsid w:val="00FB434E"/>
    <w:rsid w:val="00FB4563"/>
    <w:rsid w:val="00FB50BB"/>
    <w:rsid w:val="00FB5ADF"/>
    <w:rsid w:val="00FB6456"/>
    <w:rsid w:val="00FB66C8"/>
    <w:rsid w:val="00FB75EE"/>
    <w:rsid w:val="00FC01A4"/>
    <w:rsid w:val="00FC0717"/>
    <w:rsid w:val="00FC0969"/>
    <w:rsid w:val="00FC13DD"/>
    <w:rsid w:val="00FC1DB2"/>
    <w:rsid w:val="00FC37AB"/>
    <w:rsid w:val="00FC3D3B"/>
    <w:rsid w:val="00FC4C5F"/>
    <w:rsid w:val="00FC4C91"/>
    <w:rsid w:val="00FC50BF"/>
    <w:rsid w:val="00FC58D4"/>
    <w:rsid w:val="00FC5B6E"/>
    <w:rsid w:val="00FD04C7"/>
    <w:rsid w:val="00FD0712"/>
    <w:rsid w:val="00FD13B3"/>
    <w:rsid w:val="00FD3066"/>
    <w:rsid w:val="00FD32F6"/>
    <w:rsid w:val="00FD3F20"/>
    <w:rsid w:val="00FD4862"/>
    <w:rsid w:val="00FD551F"/>
    <w:rsid w:val="00FD637F"/>
    <w:rsid w:val="00FD6478"/>
    <w:rsid w:val="00FD70E3"/>
    <w:rsid w:val="00FD77A7"/>
    <w:rsid w:val="00FD78F6"/>
    <w:rsid w:val="00FE1153"/>
    <w:rsid w:val="00FE16F5"/>
    <w:rsid w:val="00FE2DC5"/>
    <w:rsid w:val="00FE3DA2"/>
    <w:rsid w:val="00FE49AD"/>
    <w:rsid w:val="00FE4BF3"/>
    <w:rsid w:val="00FE5183"/>
    <w:rsid w:val="00FE5C1C"/>
    <w:rsid w:val="00FE63DB"/>
    <w:rsid w:val="00FE64B9"/>
    <w:rsid w:val="00FE6BEA"/>
    <w:rsid w:val="00FE79D6"/>
    <w:rsid w:val="00FF0ADC"/>
    <w:rsid w:val="00FF17EF"/>
    <w:rsid w:val="00FF2342"/>
    <w:rsid w:val="00FF2F49"/>
    <w:rsid w:val="00FF35E3"/>
    <w:rsid w:val="00FF3E06"/>
    <w:rsid w:val="00FF3FDF"/>
    <w:rsid w:val="00FF3FE3"/>
    <w:rsid w:val="00FF4BE5"/>
    <w:rsid w:val="00FF4D28"/>
    <w:rsid w:val="00FF5EC0"/>
    <w:rsid w:val="00FF5F61"/>
    <w:rsid w:val="00FF67B4"/>
    <w:rsid w:val="00FF6BD9"/>
    <w:rsid w:val="00FF7072"/>
    <w:rsid w:val="0103C227"/>
    <w:rsid w:val="01295267"/>
    <w:rsid w:val="02035391"/>
    <w:rsid w:val="076B72D0"/>
    <w:rsid w:val="078A5CA9"/>
    <w:rsid w:val="084CAB96"/>
    <w:rsid w:val="088E77BF"/>
    <w:rsid w:val="0B2974A0"/>
    <w:rsid w:val="0C512539"/>
    <w:rsid w:val="0C525D8D"/>
    <w:rsid w:val="1050E208"/>
    <w:rsid w:val="113DF1D2"/>
    <w:rsid w:val="114469A0"/>
    <w:rsid w:val="12BFB5BE"/>
    <w:rsid w:val="1480F5DB"/>
    <w:rsid w:val="15FD0D5F"/>
    <w:rsid w:val="163F010B"/>
    <w:rsid w:val="172196C4"/>
    <w:rsid w:val="1749BF43"/>
    <w:rsid w:val="17D84C91"/>
    <w:rsid w:val="1855F8E6"/>
    <w:rsid w:val="1AB97150"/>
    <w:rsid w:val="1CA7BE95"/>
    <w:rsid w:val="2166D84C"/>
    <w:rsid w:val="21D02AC3"/>
    <w:rsid w:val="2318853E"/>
    <w:rsid w:val="23AFC323"/>
    <w:rsid w:val="24168993"/>
    <w:rsid w:val="248D627B"/>
    <w:rsid w:val="2656F4EC"/>
    <w:rsid w:val="26F01C35"/>
    <w:rsid w:val="275BFD03"/>
    <w:rsid w:val="2AED0946"/>
    <w:rsid w:val="2C0B2E88"/>
    <w:rsid w:val="2C83AF70"/>
    <w:rsid w:val="2F5388C8"/>
    <w:rsid w:val="304ED969"/>
    <w:rsid w:val="30E150C3"/>
    <w:rsid w:val="3271B404"/>
    <w:rsid w:val="32B1E5A6"/>
    <w:rsid w:val="32F9E3FE"/>
    <w:rsid w:val="34E478AC"/>
    <w:rsid w:val="35CB944A"/>
    <w:rsid w:val="37F64F80"/>
    <w:rsid w:val="3802E4FC"/>
    <w:rsid w:val="3A9ACEF9"/>
    <w:rsid w:val="3B40EBBB"/>
    <w:rsid w:val="3E0D6B6C"/>
    <w:rsid w:val="3F175F7E"/>
    <w:rsid w:val="3F92C0B0"/>
    <w:rsid w:val="42301E5C"/>
    <w:rsid w:val="4242D56F"/>
    <w:rsid w:val="43CF277A"/>
    <w:rsid w:val="455BF12F"/>
    <w:rsid w:val="459DD62D"/>
    <w:rsid w:val="4784C199"/>
    <w:rsid w:val="47B729BB"/>
    <w:rsid w:val="49435CEB"/>
    <w:rsid w:val="49529391"/>
    <w:rsid w:val="49909F88"/>
    <w:rsid w:val="4C8CFB5D"/>
    <w:rsid w:val="4F8C7878"/>
    <w:rsid w:val="504A40CB"/>
    <w:rsid w:val="50C91967"/>
    <w:rsid w:val="53C04A1D"/>
    <w:rsid w:val="54B9E623"/>
    <w:rsid w:val="55F4645D"/>
    <w:rsid w:val="56FF6C0F"/>
    <w:rsid w:val="5727DAEA"/>
    <w:rsid w:val="59F96528"/>
    <w:rsid w:val="5A22A1B0"/>
    <w:rsid w:val="5A39776B"/>
    <w:rsid w:val="5AAE54C0"/>
    <w:rsid w:val="5C6AD1EA"/>
    <w:rsid w:val="5CDF5186"/>
    <w:rsid w:val="5CE18C2E"/>
    <w:rsid w:val="5DF689B2"/>
    <w:rsid w:val="5DF8858C"/>
    <w:rsid w:val="5EB6A356"/>
    <w:rsid w:val="5F6C86B5"/>
    <w:rsid w:val="5F8C0C07"/>
    <w:rsid w:val="606A73DC"/>
    <w:rsid w:val="6312F562"/>
    <w:rsid w:val="662EF6DA"/>
    <w:rsid w:val="66A8187B"/>
    <w:rsid w:val="674931A9"/>
    <w:rsid w:val="69B034D1"/>
    <w:rsid w:val="69FFA014"/>
    <w:rsid w:val="6C30EEBF"/>
    <w:rsid w:val="6C9B7CF1"/>
    <w:rsid w:val="6D5F9D6F"/>
    <w:rsid w:val="6E6F6A0B"/>
    <w:rsid w:val="6F9F3FF6"/>
    <w:rsid w:val="70804F3D"/>
    <w:rsid w:val="7236C5A2"/>
    <w:rsid w:val="72419B24"/>
    <w:rsid w:val="726E4CC0"/>
    <w:rsid w:val="73AFDAA7"/>
    <w:rsid w:val="742D1810"/>
    <w:rsid w:val="75F3EAD5"/>
    <w:rsid w:val="7621094E"/>
    <w:rsid w:val="76B9A247"/>
    <w:rsid w:val="77B47508"/>
    <w:rsid w:val="78369857"/>
    <w:rsid w:val="785428B2"/>
    <w:rsid w:val="7936993C"/>
    <w:rsid w:val="7AE3495F"/>
    <w:rsid w:val="7B420C85"/>
    <w:rsid w:val="7C31B1EE"/>
    <w:rsid w:val="7C729DAE"/>
    <w:rsid w:val="7F3643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1B60EA"/>
  <w14:defaultImageDpi w14:val="96"/>
  <w15:docId w15:val="{A15080FC-6681-418A-A9DB-1486F8BFE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0" w:qFormat="1"/>
    <w:lsdException w:name="heading 2" w:semiHidden="1"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0E2FA8"/>
  </w:style>
  <w:style w:type="paragraph" w:styleId="Heading1">
    <w:name w:val="heading 1"/>
    <w:aliases w:val="Heading,Chapter Heading,Savell Bird..,Section Heading,Chapter,Chapter head,L1,CH,. (1.0),Do Not Use,Heading 1 - chapter,H1,H11,H12,Chapter1,Chapter2,Oscar Faber 1,Numbered 1,TITLE 1,Heading 1 Char1,Heading 1 Char Char,Heading 1 Char2,ADVICE 1"/>
    <w:basedOn w:val="STPR2Heading1"/>
    <w:next w:val="Normal"/>
    <w:link w:val="Heading1Char"/>
    <w:qFormat/>
    <w:rsid w:val="00EF6DF3"/>
    <w:pPr>
      <w:pageBreakBefore/>
      <w:numPr>
        <w:numId w:val="5"/>
      </w:numPr>
      <w:outlineLvl w:val="0"/>
    </w:pPr>
    <w:rPr>
      <w:lang w:val="en-GB"/>
    </w:rPr>
  </w:style>
  <w:style w:type="paragraph" w:styleId="Heading2">
    <w:name w:val="heading 2"/>
    <w:basedOn w:val="STPR2Heading2"/>
    <w:next w:val="Normal"/>
    <w:link w:val="Heading2Char"/>
    <w:qFormat/>
    <w:rsid w:val="000D181A"/>
    <w:pPr>
      <w:numPr>
        <w:numId w:val="5"/>
      </w:numPr>
      <w:outlineLvl w:val="1"/>
    </w:pPr>
    <w:rPr>
      <w:color w:val="414144"/>
      <w:lang w:val="en-GB"/>
    </w:rPr>
  </w:style>
  <w:style w:type="paragraph" w:styleId="Heading3">
    <w:name w:val="heading 3"/>
    <w:basedOn w:val="STPR2Heading3"/>
    <w:next w:val="Normal"/>
    <w:link w:val="Heading3Char"/>
    <w:autoRedefine/>
    <w:qFormat/>
    <w:rsid w:val="00B71FAC"/>
    <w:pPr>
      <w:numPr>
        <w:numId w:val="5"/>
      </w:numPr>
      <w:outlineLvl w:val="2"/>
    </w:pPr>
    <w:rPr>
      <w:rFonts w:ascii="Jacobs Chronos" w:hAnsi="Jacobs Chronos"/>
      <w:sz w:val="24"/>
      <w:lang w:val="en-GB"/>
    </w:rPr>
  </w:style>
  <w:style w:type="paragraph" w:styleId="Heading4">
    <w:name w:val="heading 4"/>
    <w:basedOn w:val="Normal"/>
    <w:next w:val="Normal"/>
    <w:link w:val="Heading4Char"/>
    <w:qFormat/>
    <w:rsid w:val="006234C6"/>
    <w:pPr>
      <w:keepNext/>
      <w:keepLines/>
      <w:spacing w:before="240" w:after="120" w:line="240" w:lineRule="atLeast"/>
      <w:ind w:left="851" w:hanging="851"/>
      <w:outlineLvl w:val="3"/>
    </w:pPr>
    <w:rPr>
      <w:rFonts w:ascii="Arial" w:eastAsiaTheme="majorEastAsia" w:hAnsi="Arial" w:cstheme="majorBidi"/>
      <w:b/>
      <w:bCs/>
      <w:iCs/>
      <w:sz w:val="24"/>
      <w:szCs w:val="24"/>
      <w:lang w:eastAsia="en-US"/>
    </w:rPr>
  </w:style>
  <w:style w:type="paragraph" w:styleId="Heading5">
    <w:name w:val="heading 5"/>
    <w:basedOn w:val="Normal"/>
    <w:next w:val="Normal"/>
    <w:link w:val="Heading5Char"/>
    <w:rsid w:val="000C6958"/>
    <w:pPr>
      <w:keepNext/>
      <w:keepLines/>
      <w:spacing w:before="240" w:after="120" w:line="240" w:lineRule="atLeast"/>
      <w:ind w:left="851" w:hanging="851"/>
      <w:outlineLvl w:val="4"/>
    </w:pPr>
    <w:rPr>
      <w:rFonts w:ascii="Arial" w:eastAsiaTheme="majorEastAsia" w:hAnsi="Arial" w:cstheme="majorBidi"/>
      <w:b/>
      <w:sz w:val="20"/>
      <w:szCs w:val="24"/>
      <w:lang w:eastAsia="en-US"/>
    </w:rPr>
  </w:style>
  <w:style w:type="paragraph" w:styleId="Heading6">
    <w:name w:val="heading 6"/>
    <w:basedOn w:val="Normal"/>
    <w:next w:val="Normal"/>
    <w:link w:val="Heading6Char"/>
    <w:rsid w:val="000C6958"/>
    <w:pPr>
      <w:keepNext/>
      <w:keepLines/>
      <w:spacing w:before="240" w:after="120" w:line="240" w:lineRule="atLeast"/>
      <w:ind w:left="851" w:hanging="851"/>
      <w:outlineLvl w:val="5"/>
    </w:pPr>
    <w:rPr>
      <w:rFonts w:ascii="Arial" w:eastAsiaTheme="majorEastAsia" w:hAnsi="Arial" w:cstheme="majorBidi"/>
      <w:b/>
      <w:iCs/>
      <w:sz w:val="20"/>
      <w:szCs w:val="24"/>
      <w:lang w:eastAsia="en-US"/>
    </w:rPr>
  </w:style>
  <w:style w:type="paragraph" w:styleId="Heading7">
    <w:name w:val="heading 7"/>
    <w:basedOn w:val="Normal"/>
    <w:next w:val="Normal"/>
    <w:link w:val="Heading7Char"/>
    <w:rsid w:val="000C6958"/>
    <w:pPr>
      <w:spacing w:before="240" w:after="120" w:line="360" w:lineRule="exact"/>
      <w:ind w:left="851" w:hanging="851"/>
      <w:outlineLvl w:val="6"/>
    </w:pPr>
    <w:rPr>
      <w:rFonts w:ascii="Arial" w:hAnsi="Arial"/>
      <w:b/>
      <w:color w:val="00338D"/>
      <w:sz w:val="20"/>
      <w:szCs w:val="24"/>
      <w:lang w:eastAsia="en-US"/>
    </w:rPr>
  </w:style>
  <w:style w:type="paragraph" w:styleId="Heading8">
    <w:name w:val="heading 8"/>
    <w:basedOn w:val="Heading2"/>
    <w:next w:val="Normal"/>
    <w:link w:val="Heading8Char"/>
    <w:qFormat/>
    <w:rsid w:val="000C6958"/>
    <w:pPr>
      <w:keepNext/>
      <w:keepLines/>
      <w:widowControl/>
      <w:numPr>
        <w:ilvl w:val="0"/>
        <w:numId w:val="0"/>
      </w:numPr>
      <w:suppressAutoHyphens w:val="0"/>
      <w:autoSpaceDE/>
      <w:autoSpaceDN/>
      <w:adjustRightInd/>
      <w:spacing w:before="240" w:after="120" w:line="240" w:lineRule="atLeast"/>
      <w:ind w:left="851" w:hanging="851"/>
      <w:textAlignment w:val="auto"/>
      <w:outlineLvl w:val="7"/>
    </w:pPr>
    <w:rPr>
      <w:rFonts w:eastAsiaTheme="majorEastAsia" w:cstheme="majorBidi"/>
      <w:color w:val="00338D"/>
      <w:sz w:val="24"/>
      <w:szCs w:val="26"/>
      <w:lang w:eastAsia="en-US"/>
    </w:rPr>
  </w:style>
  <w:style w:type="paragraph" w:styleId="Heading9">
    <w:name w:val="heading 9"/>
    <w:basedOn w:val="Normal"/>
    <w:next w:val="Normal"/>
    <w:link w:val="Heading9Char"/>
    <w:uiPriority w:val="9"/>
    <w:semiHidden/>
    <w:unhideWhenUsed/>
    <w:qFormat/>
    <w:rsid w:val="000C695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ink w:val="NoParagraphStyleChar"/>
    <w:uiPriority w:val="24"/>
    <w:pPr>
      <w:widowControl w:val="0"/>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STPR2BodyText">
    <w:name w:val="STPR2_Body Text"/>
    <w:basedOn w:val="NoParagraphStyle"/>
    <w:link w:val="STPR2BodyTextChar"/>
    <w:qFormat/>
    <w:rsid w:val="00D56DE8"/>
    <w:pPr>
      <w:widowControl/>
      <w:suppressAutoHyphens/>
      <w:spacing w:after="160" w:line="240" w:lineRule="auto"/>
    </w:pPr>
    <w:rPr>
      <w:rFonts w:ascii="Arial" w:eastAsia="Times New Roman" w:hAnsi="Arial" w:cs="Arial"/>
      <w:color w:val="auto"/>
      <w:shd w:val="clear" w:color="auto" w:fill="FFFFFF"/>
      <w:lang w:val="en-GB"/>
    </w:rPr>
  </w:style>
  <w:style w:type="paragraph" w:customStyle="1" w:styleId="STPR2BodyBold">
    <w:name w:val="STPR2_Body Bold"/>
    <w:basedOn w:val="STPR2BodyText"/>
    <w:uiPriority w:val="1"/>
    <w:rPr>
      <w:b/>
      <w:bCs/>
    </w:rPr>
  </w:style>
  <w:style w:type="paragraph" w:customStyle="1" w:styleId="STPR2BodyItalics">
    <w:name w:val="STPR2_Body Italics"/>
    <w:basedOn w:val="STPR2BodyText"/>
    <w:uiPriority w:val="2"/>
    <w:rPr>
      <w:i/>
      <w:iCs/>
    </w:rPr>
  </w:style>
  <w:style w:type="paragraph" w:customStyle="1" w:styleId="STPR2BodyItalicsBold">
    <w:name w:val="STPR2_Body Italics Bold"/>
    <w:basedOn w:val="STPR2BodyItalics"/>
    <w:uiPriority w:val="3"/>
    <w:rPr>
      <w:b/>
      <w:bCs/>
    </w:rPr>
  </w:style>
  <w:style w:type="paragraph" w:customStyle="1" w:styleId="STPR2Heading1">
    <w:name w:val="STPR2_Heading 1"/>
    <w:basedOn w:val="NoParagraphStyle"/>
    <w:link w:val="STPR2Heading1Char"/>
    <w:uiPriority w:val="4"/>
    <w:rsid w:val="004819DE"/>
    <w:pPr>
      <w:suppressAutoHyphens/>
      <w:spacing w:after="240" w:line="240" w:lineRule="auto"/>
    </w:pPr>
    <w:rPr>
      <w:rFonts w:ascii="Arial" w:hAnsi="Arial" w:cs="Arial"/>
      <w:b/>
      <w:bCs/>
      <w:color w:val="B06900"/>
      <w:sz w:val="36"/>
      <w:szCs w:val="36"/>
    </w:rPr>
  </w:style>
  <w:style w:type="paragraph" w:customStyle="1" w:styleId="STPR2Heading2">
    <w:name w:val="STPR2_Heading 2"/>
    <w:basedOn w:val="STPR2Heading1"/>
    <w:link w:val="STPR2Heading2Char"/>
    <w:uiPriority w:val="5"/>
    <w:rsid w:val="00915D45"/>
    <w:pPr>
      <w:numPr>
        <w:ilvl w:val="1"/>
      </w:numPr>
      <w:spacing w:after="160"/>
    </w:pPr>
    <w:rPr>
      <w:color w:val="626266"/>
      <w:sz w:val="28"/>
      <w:szCs w:val="28"/>
    </w:rPr>
  </w:style>
  <w:style w:type="paragraph" w:customStyle="1" w:styleId="STPR2Heading3">
    <w:name w:val="STPR2_Heading 3"/>
    <w:basedOn w:val="STPR2Heading1"/>
    <w:uiPriority w:val="6"/>
    <w:rsid w:val="00915D45"/>
    <w:pPr>
      <w:numPr>
        <w:ilvl w:val="2"/>
      </w:numPr>
      <w:spacing w:after="60"/>
    </w:pPr>
    <w:rPr>
      <w:i/>
      <w:color w:val="626266"/>
      <w:sz w:val="20"/>
      <w:szCs w:val="20"/>
    </w:rPr>
  </w:style>
  <w:style w:type="paragraph" w:customStyle="1" w:styleId="STPR2BulletsLevel1">
    <w:name w:val="STPR2_Bullets Level 1"/>
    <w:basedOn w:val="STPR2BodyText"/>
    <w:uiPriority w:val="7"/>
    <w:qFormat/>
    <w:rsid w:val="006F53DF"/>
    <w:pPr>
      <w:numPr>
        <w:numId w:val="1"/>
      </w:numPr>
      <w:contextualSpacing/>
    </w:pPr>
  </w:style>
  <w:style w:type="paragraph" w:customStyle="1" w:styleId="STPR2BulletsLevel2">
    <w:name w:val="STPR2_Bullets Level 2"/>
    <w:basedOn w:val="STPR2BulletsLevel1"/>
    <w:uiPriority w:val="7"/>
    <w:rsid w:val="002D397B"/>
    <w:pPr>
      <w:numPr>
        <w:numId w:val="2"/>
      </w:numPr>
      <w:ind w:left="714" w:hanging="357"/>
    </w:pPr>
  </w:style>
  <w:style w:type="paragraph" w:customStyle="1" w:styleId="STPR2NumberList">
    <w:name w:val="STPR2_Number List"/>
    <w:basedOn w:val="STPR2BodyText"/>
    <w:uiPriority w:val="9"/>
    <w:rsid w:val="00D56DE8"/>
    <w:pPr>
      <w:numPr>
        <w:numId w:val="43"/>
      </w:numPr>
      <w:spacing w:before="200"/>
      <w:contextualSpacing/>
    </w:pPr>
    <w:rPr>
      <w:rFonts w:eastAsiaTheme="minorEastAsia"/>
      <w:color w:val="000000"/>
      <w:szCs w:val="22"/>
      <w:shd w:val="clear" w:color="auto" w:fill="auto"/>
    </w:rPr>
  </w:style>
  <w:style w:type="paragraph" w:customStyle="1" w:styleId="STPR2LetterList">
    <w:name w:val="STPR2_Letter List"/>
    <w:basedOn w:val="STPR2BodyText"/>
    <w:uiPriority w:val="10"/>
    <w:qFormat/>
    <w:rsid w:val="00177546"/>
    <w:pPr>
      <w:numPr>
        <w:numId w:val="12"/>
      </w:numPr>
      <w:tabs>
        <w:tab w:val="left" w:pos="283"/>
      </w:tabs>
      <w:contextualSpacing/>
    </w:pPr>
  </w:style>
  <w:style w:type="paragraph" w:customStyle="1" w:styleId="STPR2TableBody">
    <w:name w:val="STPR2_Table Body"/>
    <w:basedOn w:val="STPR2BodyText"/>
    <w:uiPriority w:val="11"/>
    <w:rsid w:val="00BB3BA4"/>
    <w:pPr>
      <w:spacing w:before="80" w:after="80"/>
    </w:pPr>
    <w:rPr>
      <w:rFonts w:eastAsiaTheme="minorEastAsia"/>
      <w:color w:val="000000"/>
      <w:szCs w:val="18"/>
      <w:shd w:val="clear" w:color="auto" w:fill="auto"/>
    </w:rPr>
  </w:style>
  <w:style w:type="paragraph" w:customStyle="1" w:styleId="STPR2TableHeading">
    <w:name w:val="STPR2_Table Heading"/>
    <w:basedOn w:val="STPR2TableBody"/>
    <w:uiPriority w:val="12"/>
    <w:rsid w:val="00D85E61"/>
    <w:rPr>
      <w:b/>
      <w:bCs/>
      <w:caps/>
      <w:color w:val="000000" w:themeColor="text1"/>
    </w:rPr>
  </w:style>
  <w:style w:type="paragraph" w:customStyle="1" w:styleId="STPR2TableBullets">
    <w:name w:val="STPR2_Table Bullets"/>
    <w:basedOn w:val="STPR2TableBody"/>
    <w:uiPriority w:val="13"/>
    <w:rsid w:val="002D397B"/>
    <w:pPr>
      <w:tabs>
        <w:tab w:val="left" w:pos="170"/>
        <w:tab w:val="left" w:pos="283"/>
      </w:tabs>
      <w:contextualSpacing/>
    </w:pPr>
  </w:style>
  <w:style w:type="paragraph" w:customStyle="1" w:styleId="STPR2TableNumberList">
    <w:name w:val="STPR2_Table Number List"/>
    <w:basedOn w:val="STPR2TableBullets"/>
    <w:uiPriority w:val="14"/>
    <w:rsid w:val="00807998"/>
    <w:pPr>
      <w:numPr>
        <w:numId w:val="4"/>
      </w:numPr>
      <w:ind w:left="357" w:hanging="357"/>
    </w:pPr>
  </w:style>
  <w:style w:type="paragraph" w:customStyle="1" w:styleId="STPR2BodyCentred">
    <w:name w:val="STPR2_Body Centred"/>
    <w:basedOn w:val="STPR2BodyText"/>
    <w:uiPriority w:val="16"/>
    <w:pPr>
      <w:jc w:val="center"/>
    </w:pPr>
  </w:style>
  <w:style w:type="paragraph" w:customStyle="1" w:styleId="STPR2BodyCentredBold">
    <w:name w:val="STPR2_Body Centred Bold"/>
    <w:basedOn w:val="STPR2BodyCentred"/>
    <w:uiPriority w:val="17"/>
    <w:rPr>
      <w:b/>
      <w:bCs/>
    </w:rPr>
  </w:style>
  <w:style w:type="paragraph" w:customStyle="1" w:styleId="STPR2BodyCentredItalic">
    <w:name w:val="STPR2_Body Centred Italic"/>
    <w:basedOn w:val="STPR2BodyText"/>
    <w:uiPriority w:val="18"/>
    <w:pPr>
      <w:jc w:val="center"/>
    </w:pPr>
    <w:rPr>
      <w:i/>
      <w:iCs/>
    </w:rPr>
  </w:style>
  <w:style w:type="paragraph" w:customStyle="1" w:styleId="STPR2Caption">
    <w:name w:val="STPR2_Caption"/>
    <w:basedOn w:val="STPR2BodyText"/>
    <w:autoRedefine/>
    <w:uiPriority w:val="19"/>
    <w:qFormat/>
    <w:rsid w:val="00D56DE8"/>
    <w:pPr>
      <w:keepNext/>
      <w:keepLines/>
      <w:spacing w:before="200" w:line="235" w:lineRule="auto"/>
    </w:pPr>
    <w:rPr>
      <w:rFonts w:eastAsiaTheme="minorEastAsia"/>
      <w:b/>
      <w:color w:val="44546A" w:themeColor="text2"/>
      <w:szCs w:val="16"/>
      <w:shd w:val="clear" w:color="auto" w:fill="auto"/>
    </w:rPr>
  </w:style>
  <w:style w:type="paragraph" w:customStyle="1" w:styleId="STPR2Footnote">
    <w:name w:val="STPR2_Footnote"/>
    <w:basedOn w:val="STPR2BodyText"/>
    <w:uiPriority w:val="20"/>
    <w:pPr>
      <w:spacing w:line="200" w:lineRule="atLeast"/>
    </w:pPr>
    <w:rPr>
      <w:sz w:val="16"/>
      <w:szCs w:val="16"/>
    </w:rPr>
  </w:style>
  <w:style w:type="paragraph" w:customStyle="1" w:styleId="STPR2Title1">
    <w:name w:val="STPR2_Title 1"/>
    <w:basedOn w:val="NoParagraphStyle"/>
    <w:uiPriority w:val="21"/>
    <w:rsid w:val="00F61042"/>
    <w:pPr>
      <w:suppressAutoHyphens/>
      <w:spacing w:after="113" w:line="800" w:lineRule="atLeast"/>
      <w:contextualSpacing/>
      <w:jc w:val="center"/>
    </w:pPr>
    <w:rPr>
      <w:rFonts w:ascii="Jacobs Chronos" w:hAnsi="Jacobs Chronos" w:cs="Arial"/>
      <w:b/>
      <w:bCs/>
      <w:color w:val="7F7F7F" w:themeColor="text1" w:themeTint="80"/>
      <w:sz w:val="36"/>
      <w:szCs w:val="84"/>
    </w:rPr>
  </w:style>
  <w:style w:type="paragraph" w:customStyle="1" w:styleId="STPR2Title2">
    <w:name w:val="STPR2_Title 2"/>
    <w:basedOn w:val="STPR2Title1"/>
    <w:uiPriority w:val="22"/>
    <w:rsid w:val="00D92D31"/>
    <w:pPr>
      <w:spacing w:after="360" w:line="240" w:lineRule="auto"/>
    </w:pPr>
    <w:rPr>
      <w:color w:val="626266"/>
      <w:szCs w:val="36"/>
    </w:rPr>
  </w:style>
  <w:style w:type="paragraph" w:styleId="NormalWeb">
    <w:name w:val="Normal (Web)"/>
    <w:basedOn w:val="Normal"/>
    <w:uiPriority w:val="99"/>
    <w:unhideWhenUsed/>
    <w:rsid w:val="00F22C0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07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7FD5"/>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AC7FD5"/>
    <w:rPr>
      <w:rFonts w:ascii="Arial" w:hAnsi="Arial" w:cs="Arial"/>
      <w:b/>
      <w:color w:val="626266"/>
      <w:sz w:val="18"/>
      <w:szCs w:val="18"/>
    </w:rPr>
  </w:style>
  <w:style w:type="paragraph" w:styleId="Footer">
    <w:name w:val="footer"/>
    <w:basedOn w:val="Normal"/>
    <w:link w:val="FooterChar"/>
    <w:uiPriority w:val="99"/>
    <w:unhideWhenUsed/>
    <w:rsid w:val="00F110EE"/>
    <w:pPr>
      <w:tabs>
        <w:tab w:val="center" w:pos="4513"/>
        <w:tab w:val="right" w:pos="9026"/>
      </w:tabs>
      <w:spacing w:after="0" w:line="240" w:lineRule="auto"/>
    </w:pPr>
    <w:rPr>
      <w:rFonts w:ascii="Arial" w:hAnsi="Arial" w:cs="Arial"/>
      <w:color w:val="626266"/>
      <w:sz w:val="24"/>
      <w:szCs w:val="18"/>
    </w:rPr>
  </w:style>
  <w:style w:type="character" w:customStyle="1" w:styleId="FooterChar">
    <w:name w:val="Footer Char"/>
    <w:basedOn w:val="DefaultParagraphFont"/>
    <w:link w:val="Footer"/>
    <w:uiPriority w:val="99"/>
    <w:rsid w:val="00F110EE"/>
    <w:rPr>
      <w:rFonts w:ascii="Arial" w:hAnsi="Arial" w:cs="Arial"/>
      <w:color w:val="626266"/>
      <w:sz w:val="24"/>
      <w:szCs w:val="18"/>
    </w:rPr>
  </w:style>
  <w:style w:type="table" w:styleId="GridTable1Light">
    <w:name w:val="Grid Table 1 Light"/>
    <w:basedOn w:val="TableNormal"/>
    <w:uiPriority w:val="46"/>
    <w:rsid w:val="006674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aliases w:val="Heading Char,Chapter Heading Char,Savell Bird.. Char,Section Heading Char,Chapter Char,Chapter head Char,L1 Char,CH Char,. (1.0) Char,Do Not Use Char,Heading 1 - chapter Char,H1 Char,H11 Char,H12 Char,Chapter1 Char,Chapter2 Char"/>
    <w:basedOn w:val="DefaultParagraphFont"/>
    <w:link w:val="Heading1"/>
    <w:rsid w:val="00EF6DF3"/>
    <w:rPr>
      <w:rFonts w:ascii="Arial" w:hAnsi="Arial" w:cs="Arial"/>
      <w:b/>
      <w:bCs/>
      <w:color w:val="B06900"/>
      <w:sz w:val="36"/>
      <w:szCs w:val="36"/>
    </w:rPr>
  </w:style>
  <w:style w:type="paragraph" w:styleId="TOCHeading">
    <w:name w:val="TOC Heading"/>
    <w:basedOn w:val="Heading1"/>
    <w:next w:val="Normal"/>
    <w:uiPriority w:val="39"/>
    <w:unhideWhenUsed/>
    <w:qFormat/>
    <w:rsid w:val="00A84DE1"/>
    <w:pPr>
      <w:outlineLvl w:val="9"/>
    </w:pPr>
    <w:rPr>
      <w:b w:val="0"/>
      <w:color w:val="7E4B00"/>
      <w:lang w:val="en-US" w:eastAsia="en-US"/>
    </w:rPr>
  </w:style>
  <w:style w:type="character" w:customStyle="1" w:styleId="Heading2Char">
    <w:name w:val="Heading 2 Char"/>
    <w:basedOn w:val="DefaultParagraphFont"/>
    <w:link w:val="Heading2"/>
    <w:rsid w:val="000D181A"/>
    <w:rPr>
      <w:rFonts w:ascii="Arial" w:hAnsi="Arial" w:cs="Arial"/>
      <w:b/>
      <w:bCs/>
      <w:color w:val="414144"/>
      <w:sz w:val="28"/>
      <w:szCs w:val="28"/>
    </w:rPr>
  </w:style>
  <w:style w:type="character" w:customStyle="1" w:styleId="Heading3Char">
    <w:name w:val="Heading 3 Char"/>
    <w:basedOn w:val="DefaultParagraphFont"/>
    <w:link w:val="Heading3"/>
    <w:rsid w:val="00B71FAC"/>
    <w:rPr>
      <w:rFonts w:ascii="Jacobs Chronos" w:hAnsi="Jacobs Chronos" w:cs="Arial"/>
      <w:b/>
      <w:bCs/>
      <w:i/>
      <w:color w:val="626266"/>
      <w:sz w:val="24"/>
      <w:szCs w:val="20"/>
    </w:rPr>
  </w:style>
  <w:style w:type="paragraph" w:styleId="TOC1">
    <w:name w:val="toc 1"/>
    <w:basedOn w:val="Normal"/>
    <w:next w:val="Normal"/>
    <w:autoRedefine/>
    <w:uiPriority w:val="39"/>
    <w:unhideWhenUsed/>
    <w:qFormat/>
    <w:rsid w:val="00F110EE"/>
    <w:pPr>
      <w:tabs>
        <w:tab w:val="right" w:leader="dot" w:pos="9628"/>
      </w:tabs>
      <w:spacing w:after="100"/>
      <w:ind w:left="567" w:hanging="567"/>
    </w:pPr>
    <w:rPr>
      <w:rFonts w:ascii="Arial" w:hAnsi="Arial" w:cs="Arial"/>
      <w:b/>
      <w:noProof/>
      <w:color w:val="626266"/>
      <w:sz w:val="24"/>
      <w:szCs w:val="20"/>
    </w:rPr>
  </w:style>
  <w:style w:type="paragraph" w:styleId="TOC2">
    <w:name w:val="toc 2"/>
    <w:basedOn w:val="Normal"/>
    <w:next w:val="Normal"/>
    <w:autoRedefine/>
    <w:uiPriority w:val="39"/>
    <w:unhideWhenUsed/>
    <w:rsid w:val="00F110EE"/>
    <w:pPr>
      <w:tabs>
        <w:tab w:val="right" w:leader="dot" w:pos="9628"/>
      </w:tabs>
      <w:spacing w:after="100"/>
      <w:ind w:left="993" w:hanging="426"/>
      <w:contextualSpacing/>
    </w:pPr>
    <w:rPr>
      <w:rFonts w:ascii="Arial" w:hAnsi="Arial" w:cs="Arial"/>
      <w:noProof/>
      <w:color w:val="626266"/>
      <w:sz w:val="24"/>
      <w:szCs w:val="20"/>
    </w:rPr>
  </w:style>
  <w:style w:type="paragraph" w:styleId="TOC3">
    <w:name w:val="toc 3"/>
    <w:basedOn w:val="Normal"/>
    <w:next w:val="Normal"/>
    <w:autoRedefine/>
    <w:uiPriority w:val="39"/>
    <w:unhideWhenUsed/>
    <w:rsid w:val="00F110EE"/>
    <w:pPr>
      <w:tabs>
        <w:tab w:val="right" w:leader="dot" w:pos="9628"/>
      </w:tabs>
      <w:spacing w:after="100"/>
      <w:ind w:left="1134" w:hanging="567"/>
      <w:contextualSpacing/>
    </w:pPr>
    <w:rPr>
      <w:rFonts w:ascii="Arial" w:hAnsi="Arial" w:cs="Arial"/>
      <w:i/>
      <w:noProof/>
      <w:color w:val="626266"/>
      <w:sz w:val="24"/>
      <w:szCs w:val="20"/>
    </w:rPr>
  </w:style>
  <w:style w:type="character" w:styleId="Hyperlink">
    <w:name w:val="Hyperlink"/>
    <w:basedOn w:val="DefaultParagraphFont"/>
    <w:uiPriority w:val="99"/>
    <w:unhideWhenUsed/>
    <w:rsid w:val="00817474"/>
    <w:rPr>
      <w:color w:val="0563C1" w:themeColor="hyperlink"/>
      <w:u w:val="single"/>
    </w:rPr>
  </w:style>
  <w:style w:type="paragraph" w:customStyle="1" w:styleId="STPR2Heading1Nonumbering">
    <w:name w:val="STPR2_Heading 1_No numbering"/>
    <w:basedOn w:val="STPR2Heading1"/>
    <w:uiPriority w:val="23"/>
    <w:qFormat/>
    <w:rsid w:val="004819DE"/>
  </w:style>
  <w:style w:type="paragraph" w:customStyle="1" w:styleId="AppendicesHeading">
    <w:name w:val="Appendices Heading"/>
    <w:basedOn w:val="STPR2Heading1Nonumbering"/>
    <w:autoRedefine/>
    <w:uiPriority w:val="23"/>
    <w:qFormat/>
    <w:rsid w:val="00F110EE"/>
  </w:style>
  <w:style w:type="paragraph" w:customStyle="1" w:styleId="STPR2AppendicesHeading2">
    <w:name w:val="STPR2_Appendices_Heading 2"/>
    <w:basedOn w:val="STPR2Heading2"/>
    <w:autoRedefine/>
    <w:uiPriority w:val="23"/>
    <w:qFormat/>
    <w:rsid w:val="00F110EE"/>
    <w:pPr>
      <w:keepNext/>
      <w:numPr>
        <w:ilvl w:val="0"/>
      </w:numPr>
      <w:ind w:left="562" w:hanging="562"/>
    </w:pPr>
  </w:style>
  <w:style w:type="paragraph" w:customStyle="1" w:styleId="STPR2Title3">
    <w:name w:val="STPR2_Title 3"/>
    <w:basedOn w:val="STPR2Title1"/>
    <w:uiPriority w:val="23"/>
    <w:qFormat/>
    <w:rsid w:val="006F53DF"/>
    <w:pPr>
      <w:spacing w:after="0" w:line="240" w:lineRule="auto"/>
    </w:pPr>
    <w:rPr>
      <w:color w:val="626266"/>
      <w:sz w:val="28"/>
      <w:szCs w:val="28"/>
    </w:rPr>
  </w:style>
  <w:style w:type="character" w:styleId="UnresolvedMention">
    <w:name w:val="Unresolved Mention"/>
    <w:basedOn w:val="DefaultParagraphFont"/>
    <w:uiPriority w:val="99"/>
    <w:unhideWhenUsed/>
    <w:rsid w:val="00CF389F"/>
    <w:rPr>
      <w:color w:val="808080"/>
      <w:shd w:val="clear" w:color="auto" w:fill="E6E6E6"/>
    </w:rPr>
  </w:style>
  <w:style w:type="paragraph" w:customStyle="1" w:styleId="STPR2ProofBoxHeader">
    <w:name w:val="STPR2_Proof Box_Header"/>
    <w:basedOn w:val="STPR2BodyBold"/>
    <w:uiPriority w:val="3"/>
    <w:rsid w:val="004819DE"/>
    <w:pPr>
      <w:spacing w:after="80"/>
    </w:pPr>
    <w:rPr>
      <w:i/>
      <w:color w:val="231EDC"/>
    </w:rPr>
  </w:style>
  <w:style w:type="paragraph" w:customStyle="1" w:styleId="STPR2ProofBoxNormal">
    <w:name w:val="STPR2_Proof Box_Normal"/>
    <w:basedOn w:val="STPR2BodyText"/>
    <w:uiPriority w:val="3"/>
    <w:qFormat/>
    <w:rsid w:val="00A84DE1"/>
    <w:pPr>
      <w:pBdr>
        <w:top w:val="single" w:sz="18" w:space="4" w:color="4472C4" w:themeColor="accent5"/>
        <w:left w:val="single" w:sz="18" w:space="4" w:color="4472C4" w:themeColor="accent5"/>
        <w:bottom w:val="single" w:sz="18" w:space="4" w:color="4472C4" w:themeColor="accent5"/>
        <w:right w:val="single" w:sz="18" w:space="4" w:color="4472C4" w:themeColor="accent5"/>
      </w:pBdr>
    </w:pPr>
    <w:rPr>
      <w:color w:val="000000" w:themeColor="text1"/>
    </w:rPr>
  </w:style>
  <w:style w:type="table" w:styleId="ListTable4-Accent6">
    <w:name w:val="List Table 4 Accent 6"/>
    <w:aliases w:val="STPR2"/>
    <w:basedOn w:val="TableNormal"/>
    <w:uiPriority w:val="49"/>
    <w:rsid w:val="00E818E4"/>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BalloonText">
    <w:name w:val="Balloon Text"/>
    <w:basedOn w:val="Normal"/>
    <w:link w:val="BalloonTextChar"/>
    <w:uiPriority w:val="99"/>
    <w:semiHidden/>
    <w:unhideWhenUsed/>
    <w:rsid w:val="00F356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685"/>
    <w:rPr>
      <w:rFonts w:ascii="Segoe UI" w:hAnsi="Segoe UI" w:cs="Segoe UI"/>
      <w:sz w:val="18"/>
      <w:szCs w:val="18"/>
    </w:rPr>
  </w:style>
  <w:style w:type="character" w:customStyle="1" w:styleId="STPR2Proofboxheading">
    <w:name w:val="STPR2_Proof_box_heading"/>
    <w:basedOn w:val="DefaultParagraphFont"/>
    <w:uiPriority w:val="1"/>
    <w:qFormat/>
    <w:rsid w:val="00A84DE1"/>
    <w:rPr>
      <w:b/>
      <w:color w:val="0070C0"/>
    </w:rPr>
  </w:style>
  <w:style w:type="paragraph" w:styleId="BodyText">
    <w:name w:val="Body Text"/>
    <w:basedOn w:val="Normal"/>
    <w:link w:val="BodyTextChar"/>
    <w:uiPriority w:val="99"/>
    <w:unhideWhenUsed/>
    <w:qFormat/>
    <w:rsid w:val="00A84DE1"/>
    <w:pPr>
      <w:spacing w:after="120"/>
    </w:pPr>
  </w:style>
  <w:style w:type="character" w:customStyle="1" w:styleId="BodyTextChar">
    <w:name w:val="Body Text Char"/>
    <w:basedOn w:val="DefaultParagraphFont"/>
    <w:link w:val="BodyText"/>
    <w:uiPriority w:val="99"/>
    <w:rsid w:val="00A84DE1"/>
  </w:style>
  <w:style w:type="paragraph" w:customStyle="1" w:styleId="AppendixHeading2">
    <w:name w:val="Appendix Heading 2"/>
    <w:basedOn w:val="Heading2"/>
    <w:autoRedefine/>
    <w:uiPriority w:val="23"/>
    <w:qFormat/>
    <w:rsid w:val="00F110EE"/>
    <w:pPr>
      <w:numPr>
        <w:numId w:val="41"/>
      </w:numPr>
    </w:pPr>
  </w:style>
  <w:style w:type="table" w:styleId="TableGridLight">
    <w:name w:val="Grid Table Light"/>
    <w:basedOn w:val="TableNormal"/>
    <w:uiPriority w:val="40"/>
    <w:rsid w:val="007060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rsid w:val="000C6958"/>
    <w:rPr>
      <w:rFonts w:ascii="Arial" w:eastAsiaTheme="majorEastAsia" w:hAnsi="Arial" w:cstheme="majorBidi"/>
      <w:b/>
      <w:bCs/>
      <w:iCs/>
      <w:sz w:val="24"/>
      <w:szCs w:val="24"/>
      <w:lang w:eastAsia="en-US"/>
    </w:rPr>
  </w:style>
  <w:style w:type="character" w:customStyle="1" w:styleId="Heading5Char">
    <w:name w:val="Heading 5 Char"/>
    <w:basedOn w:val="DefaultParagraphFont"/>
    <w:link w:val="Heading5"/>
    <w:rsid w:val="000C6958"/>
    <w:rPr>
      <w:rFonts w:ascii="Arial" w:eastAsiaTheme="majorEastAsia" w:hAnsi="Arial" w:cstheme="majorBidi"/>
      <w:b/>
      <w:sz w:val="20"/>
      <w:szCs w:val="24"/>
      <w:lang w:eastAsia="en-US"/>
    </w:rPr>
  </w:style>
  <w:style w:type="character" w:customStyle="1" w:styleId="Heading6Char">
    <w:name w:val="Heading 6 Char"/>
    <w:basedOn w:val="DefaultParagraphFont"/>
    <w:link w:val="Heading6"/>
    <w:rsid w:val="000C6958"/>
    <w:rPr>
      <w:rFonts w:ascii="Arial" w:eastAsiaTheme="majorEastAsia" w:hAnsi="Arial" w:cstheme="majorBidi"/>
      <w:b/>
      <w:iCs/>
      <w:sz w:val="20"/>
      <w:szCs w:val="24"/>
      <w:lang w:eastAsia="en-US"/>
    </w:rPr>
  </w:style>
  <w:style w:type="character" w:customStyle="1" w:styleId="Heading7Char">
    <w:name w:val="Heading 7 Char"/>
    <w:basedOn w:val="DefaultParagraphFont"/>
    <w:link w:val="Heading7"/>
    <w:rsid w:val="000C6958"/>
    <w:rPr>
      <w:rFonts w:ascii="Arial" w:hAnsi="Arial"/>
      <w:b/>
      <w:color w:val="00338D"/>
      <w:sz w:val="20"/>
      <w:szCs w:val="24"/>
      <w:lang w:eastAsia="en-US"/>
    </w:rPr>
  </w:style>
  <w:style w:type="character" w:customStyle="1" w:styleId="Heading8Char">
    <w:name w:val="Heading 8 Char"/>
    <w:basedOn w:val="DefaultParagraphFont"/>
    <w:link w:val="Heading8"/>
    <w:rsid w:val="000C6958"/>
    <w:rPr>
      <w:rFonts w:ascii="Arial" w:eastAsiaTheme="majorEastAsia" w:hAnsi="Arial" w:cstheme="majorBidi"/>
      <w:b/>
      <w:bCs/>
      <w:color w:val="00338D"/>
      <w:sz w:val="24"/>
      <w:szCs w:val="26"/>
      <w:lang w:eastAsia="en-US"/>
    </w:rPr>
  </w:style>
  <w:style w:type="character" w:customStyle="1" w:styleId="Heading9Char">
    <w:name w:val="Heading 9 Char"/>
    <w:basedOn w:val="DefaultParagraphFont"/>
    <w:link w:val="Heading9"/>
    <w:uiPriority w:val="9"/>
    <w:semiHidden/>
    <w:rsid w:val="000C6958"/>
    <w:rPr>
      <w:rFonts w:asciiTheme="majorHAnsi" w:eastAsiaTheme="majorEastAsia" w:hAnsiTheme="majorHAnsi" w:cstheme="majorBidi"/>
      <w:i/>
      <w:iCs/>
      <w:color w:val="272727" w:themeColor="text1" w:themeTint="D8"/>
      <w:sz w:val="21"/>
      <w:szCs w:val="21"/>
    </w:rPr>
  </w:style>
  <w:style w:type="paragraph" w:customStyle="1" w:styleId="STPR2AppendicesHeading1">
    <w:name w:val="STPR2_Appendices_Heading 1"/>
    <w:basedOn w:val="STPR2Heading1Nonumbering"/>
    <w:uiPriority w:val="23"/>
    <w:qFormat/>
    <w:rsid w:val="00F110EE"/>
    <w:pPr>
      <w:pageBreakBefore/>
      <w:numPr>
        <w:numId w:val="42"/>
      </w:numPr>
    </w:pPr>
  </w:style>
  <w:style w:type="character" w:styleId="CommentReference">
    <w:name w:val="annotation reference"/>
    <w:basedOn w:val="DefaultParagraphFont"/>
    <w:uiPriority w:val="99"/>
    <w:unhideWhenUsed/>
    <w:rsid w:val="000C6958"/>
    <w:rPr>
      <w:sz w:val="16"/>
      <w:szCs w:val="16"/>
    </w:rPr>
  </w:style>
  <w:style w:type="paragraph" w:styleId="CommentText">
    <w:name w:val="annotation text"/>
    <w:basedOn w:val="Normal"/>
    <w:link w:val="CommentTextChar"/>
    <w:uiPriority w:val="99"/>
    <w:semiHidden/>
    <w:unhideWhenUsed/>
    <w:rsid w:val="000C6958"/>
    <w:pPr>
      <w:spacing w:line="240" w:lineRule="auto"/>
    </w:pPr>
    <w:rPr>
      <w:sz w:val="20"/>
      <w:szCs w:val="20"/>
    </w:rPr>
  </w:style>
  <w:style w:type="character" w:customStyle="1" w:styleId="CommentTextChar">
    <w:name w:val="Comment Text Char"/>
    <w:basedOn w:val="DefaultParagraphFont"/>
    <w:link w:val="CommentText"/>
    <w:uiPriority w:val="99"/>
    <w:semiHidden/>
    <w:rsid w:val="000C6958"/>
    <w:rPr>
      <w:sz w:val="20"/>
      <w:szCs w:val="20"/>
    </w:rPr>
  </w:style>
  <w:style w:type="paragraph" w:styleId="ListParagraph">
    <w:name w:val="List Paragraph"/>
    <w:basedOn w:val="Normal"/>
    <w:uiPriority w:val="34"/>
    <w:qFormat/>
    <w:rsid w:val="000C6958"/>
    <w:pPr>
      <w:ind w:left="720"/>
      <w:contextualSpacing/>
    </w:pPr>
  </w:style>
  <w:style w:type="paragraph" w:styleId="FootnoteText">
    <w:name w:val="footnote text"/>
    <w:aliases w:val=" Char1 Char Char, Char1 Char,Char1 Char Char,Char1 Char, Char5,Char5,fn,footnote text,Footnotes,Footnote ak,Char,Footnote Text Char1,Footnote Text Char Char,Footnote Text Char1 Char Char,Footnote Text Char Char Char Char"/>
    <w:basedOn w:val="Normal"/>
    <w:link w:val="FootnoteTextChar"/>
    <w:uiPriority w:val="99"/>
    <w:unhideWhenUsed/>
    <w:qFormat/>
    <w:rsid w:val="000C6958"/>
    <w:pPr>
      <w:spacing w:after="0" w:line="240" w:lineRule="auto"/>
    </w:pPr>
    <w:rPr>
      <w:rFonts w:ascii="Arial" w:hAnsi="Arial" w:cs="Arial"/>
      <w:sz w:val="18"/>
      <w:szCs w:val="18"/>
    </w:rPr>
  </w:style>
  <w:style w:type="character" w:customStyle="1" w:styleId="FootnoteTextChar">
    <w:name w:val="Footnote Text Char"/>
    <w:aliases w:val=" Char1 Char Char Char, Char1 Char Char1,Char1 Char Char Char,Char1 Char Char1, Char5 Char,Char5 Char,fn Char,footnote text Char,Footnotes Char,Footnote ak Char,Char Char,Footnote Text Char1 Char,Footnote Text Char Char Char"/>
    <w:basedOn w:val="DefaultParagraphFont"/>
    <w:link w:val="FootnoteText"/>
    <w:uiPriority w:val="99"/>
    <w:rsid w:val="000C6958"/>
    <w:rPr>
      <w:rFonts w:ascii="Arial" w:hAnsi="Arial" w:cs="Arial"/>
      <w:sz w:val="18"/>
      <w:szCs w:val="18"/>
    </w:rPr>
  </w:style>
  <w:style w:type="character" w:styleId="FootnoteReference">
    <w:name w:val="footnote reference"/>
    <w:aliases w:val="stylish,SUPERS,Footnote Reference - Carlos,BVI fnr,RSC_WP (footnote reference),number,Footnote reference number,Footnote symbol,note TESI,-E Fußnotenzeichen,Footnote,Times 10 Point,Exposant 3 Point,Fußnotenzeichen,Footnote number,No"/>
    <w:basedOn w:val="DefaultParagraphFont"/>
    <w:uiPriority w:val="99"/>
    <w:unhideWhenUsed/>
    <w:qFormat/>
    <w:rsid w:val="000C6958"/>
    <w:rPr>
      <w:vertAlign w:val="superscript"/>
    </w:rPr>
  </w:style>
  <w:style w:type="paragraph" w:customStyle="1" w:styleId="BulletLevel1">
    <w:name w:val="Bullet Level 1"/>
    <w:basedOn w:val="BodyText"/>
    <w:qFormat/>
    <w:rsid w:val="000C6958"/>
    <w:pPr>
      <w:numPr>
        <w:numId w:val="6"/>
      </w:numPr>
      <w:spacing w:line="240" w:lineRule="auto"/>
    </w:pPr>
    <w:rPr>
      <w:rFonts w:ascii="Arial" w:eastAsia="Times New Roman" w:hAnsi="Arial" w:cs="Times New Roman"/>
      <w:sz w:val="20"/>
      <w:szCs w:val="20"/>
      <w:lang w:val="en-US" w:eastAsia="en-US"/>
    </w:rPr>
  </w:style>
  <w:style w:type="character" w:styleId="Strong">
    <w:name w:val="Strong"/>
    <w:uiPriority w:val="22"/>
    <w:qFormat/>
    <w:rsid w:val="000C6958"/>
    <w:rPr>
      <w:b/>
      <w:bCs/>
    </w:rPr>
  </w:style>
  <w:style w:type="paragraph" w:customStyle="1" w:styleId="Report-Heading1">
    <w:name w:val="Report - Heading 1"/>
    <w:basedOn w:val="Heading1"/>
    <w:next w:val="Report-Heading2"/>
    <w:autoRedefine/>
    <w:qFormat/>
    <w:rsid w:val="000C6958"/>
    <w:pPr>
      <w:keepNext/>
      <w:keepLines/>
      <w:widowControl/>
      <w:numPr>
        <w:numId w:val="7"/>
      </w:numPr>
      <w:autoSpaceDE/>
      <w:adjustRightInd/>
      <w:spacing w:after="360"/>
      <w:textAlignment w:val="baseline"/>
    </w:pPr>
    <w:rPr>
      <w:rFonts w:eastAsia="Times New Roman"/>
      <w:b w:val="0"/>
      <w:color w:val="44546A" w:themeColor="text2"/>
      <w:sz w:val="40"/>
      <w:szCs w:val="40"/>
    </w:rPr>
  </w:style>
  <w:style w:type="paragraph" w:customStyle="1" w:styleId="Report-Heading2">
    <w:name w:val="Report - Heading 2"/>
    <w:basedOn w:val="Report-Heading1"/>
    <w:autoRedefine/>
    <w:qFormat/>
    <w:rsid w:val="000C6958"/>
    <w:pPr>
      <w:keepNext w:val="0"/>
      <w:keepLines w:val="0"/>
      <w:numPr>
        <w:ilvl w:val="1"/>
      </w:numPr>
      <w:spacing w:before="240" w:after="240" w:line="240" w:lineRule="atLeast"/>
    </w:pPr>
    <w:rPr>
      <w:sz w:val="32"/>
      <w:szCs w:val="32"/>
    </w:rPr>
  </w:style>
  <w:style w:type="paragraph" w:customStyle="1" w:styleId="Report-Bodytext">
    <w:name w:val="Report - Body text"/>
    <w:basedOn w:val="Report-Heading2"/>
    <w:autoRedefine/>
    <w:qFormat/>
    <w:rsid w:val="000C6958"/>
    <w:pPr>
      <w:numPr>
        <w:ilvl w:val="0"/>
        <w:numId w:val="0"/>
      </w:numPr>
      <w:tabs>
        <w:tab w:val="left" w:pos="851"/>
      </w:tabs>
      <w:spacing w:before="0" w:after="160" w:line="240" w:lineRule="auto"/>
      <w:jc w:val="both"/>
      <w:textAlignment w:val="auto"/>
    </w:pPr>
    <w:rPr>
      <w:rFonts w:asciiTheme="minorHAnsi" w:hAnsiTheme="minorHAnsi" w:cstheme="minorHAnsi"/>
      <w:color w:val="auto"/>
      <w:sz w:val="22"/>
      <w:szCs w:val="22"/>
    </w:rPr>
  </w:style>
  <w:style w:type="paragraph" w:customStyle="1" w:styleId="Report-TablesDescription">
    <w:name w:val="Report - Tables Description"/>
    <w:basedOn w:val="Normal"/>
    <w:rsid w:val="000C6958"/>
    <w:pPr>
      <w:numPr>
        <w:ilvl w:val="4"/>
        <w:numId w:val="7"/>
      </w:numPr>
      <w:suppressAutoHyphens/>
      <w:autoSpaceDN w:val="0"/>
      <w:spacing w:before="240" w:after="120" w:line="264" w:lineRule="auto"/>
      <w:textAlignment w:val="baseline"/>
    </w:pPr>
    <w:rPr>
      <w:rFonts w:ascii="Arial" w:eastAsia="Times New Roman" w:hAnsi="Arial" w:cs="Arial"/>
      <w:b/>
      <w:color w:val="FF0000"/>
      <w:sz w:val="24"/>
      <w:szCs w:val="24"/>
    </w:rPr>
  </w:style>
  <w:style w:type="paragraph" w:customStyle="1" w:styleId="Report-FiguresDescription">
    <w:name w:val="Report - Figures Description"/>
    <w:basedOn w:val="Report-TablesDescription"/>
    <w:rsid w:val="000C6958"/>
    <w:pPr>
      <w:numPr>
        <w:ilvl w:val="3"/>
      </w:numPr>
    </w:pPr>
  </w:style>
  <w:style w:type="paragraph" w:customStyle="1" w:styleId="Report-footnote">
    <w:name w:val="Report - footnote"/>
    <w:basedOn w:val="FootnoteText"/>
    <w:qFormat/>
    <w:rsid w:val="000C6958"/>
    <w:pPr>
      <w:suppressAutoHyphens/>
      <w:autoSpaceDN w:val="0"/>
      <w:spacing w:before="60" w:after="60"/>
      <w:textAlignment w:val="baseline"/>
    </w:pPr>
    <w:rPr>
      <w:rFonts w:eastAsia="Times New Roman"/>
      <w:szCs w:val="24"/>
    </w:rPr>
  </w:style>
  <w:style w:type="paragraph" w:styleId="CommentSubject">
    <w:name w:val="annotation subject"/>
    <w:basedOn w:val="CommentText"/>
    <w:next w:val="CommentText"/>
    <w:link w:val="CommentSubjectChar"/>
    <w:uiPriority w:val="99"/>
    <w:semiHidden/>
    <w:unhideWhenUsed/>
    <w:rsid w:val="000C6958"/>
    <w:rPr>
      <w:b/>
      <w:bCs/>
    </w:rPr>
  </w:style>
  <w:style w:type="character" w:customStyle="1" w:styleId="CommentSubjectChar">
    <w:name w:val="Comment Subject Char"/>
    <w:basedOn w:val="CommentTextChar"/>
    <w:link w:val="CommentSubject"/>
    <w:uiPriority w:val="99"/>
    <w:semiHidden/>
    <w:rsid w:val="000C6958"/>
    <w:rPr>
      <w:b/>
      <w:bCs/>
      <w:sz w:val="20"/>
      <w:szCs w:val="20"/>
    </w:rPr>
  </w:style>
  <w:style w:type="paragraph" w:customStyle="1" w:styleId="Default">
    <w:name w:val="Default"/>
    <w:rsid w:val="000C6958"/>
    <w:pPr>
      <w:autoSpaceDE w:val="0"/>
      <w:autoSpaceDN w:val="0"/>
      <w:adjustRightInd w:val="0"/>
      <w:spacing w:after="0" w:line="240" w:lineRule="auto"/>
    </w:pPr>
    <w:rPr>
      <w:rFonts w:ascii="Arial" w:hAnsi="Arial" w:cs="Arial"/>
      <w:color w:val="000000"/>
      <w:sz w:val="24"/>
      <w:szCs w:val="24"/>
    </w:rPr>
  </w:style>
  <w:style w:type="paragraph" w:styleId="NormalIndent">
    <w:name w:val="Normal Indent"/>
    <w:aliases w:val="Normal Indent Char Char Char Char,SSR Requirement Response,Normal Indent Char Char Char Char Cha,Normal Indent Char Char Char Char Char Char,Normal Indent Char Char Char Char Char Char Char Char,YF normal indent, Char,Body,Body Char Char"/>
    <w:basedOn w:val="Normal"/>
    <w:link w:val="NormalIndentChar"/>
    <w:rsid w:val="000C6958"/>
    <w:pPr>
      <w:spacing w:after="220" w:line="240" w:lineRule="atLeast"/>
      <w:ind w:left="720"/>
    </w:pPr>
    <w:rPr>
      <w:rFonts w:ascii="Arial" w:hAnsi="Arial"/>
      <w:sz w:val="20"/>
      <w:szCs w:val="24"/>
      <w:lang w:eastAsia="en-US"/>
    </w:rPr>
  </w:style>
  <w:style w:type="character" w:customStyle="1" w:styleId="NormalIndentChar">
    <w:name w:val="Normal Indent Char"/>
    <w:aliases w:val="Normal Indent Char Char Char Char Char,SSR Requirement Response Char,Normal Indent Char Char Char Char Cha Char,Normal Indent Char Char Char Char Char Char Char,Normal Indent Char Char Char Char Char Char Char Char Char, Char Char"/>
    <w:basedOn w:val="DefaultParagraphFont"/>
    <w:link w:val="NormalIndent"/>
    <w:rsid w:val="000C6958"/>
    <w:rPr>
      <w:rFonts w:ascii="Arial" w:hAnsi="Arial"/>
      <w:sz w:val="20"/>
      <w:szCs w:val="24"/>
      <w:lang w:eastAsia="en-US"/>
    </w:rPr>
  </w:style>
  <w:style w:type="paragraph" w:customStyle="1" w:styleId="Report-NTSBodytext">
    <w:name w:val="Report - NTS Body text"/>
    <w:basedOn w:val="Report-Bodytext"/>
    <w:rsid w:val="000C6958"/>
    <w:pPr>
      <w:tabs>
        <w:tab w:val="clear" w:pos="851"/>
      </w:tabs>
      <w:spacing w:before="120"/>
      <w:textAlignment w:val="baseline"/>
      <w:outlineLvl w:val="9"/>
    </w:pPr>
    <w:rPr>
      <w:rFonts w:eastAsiaTheme="minorHAnsi"/>
      <w:lang w:eastAsia="en-US"/>
    </w:rPr>
  </w:style>
  <w:style w:type="paragraph" w:customStyle="1" w:styleId="Report-Bulleted1">
    <w:name w:val="Report - Bulleted 1"/>
    <w:basedOn w:val="Normal"/>
    <w:autoRedefine/>
    <w:qFormat/>
    <w:rsid w:val="000C6958"/>
    <w:pPr>
      <w:numPr>
        <w:numId w:val="8"/>
      </w:numPr>
      <w:tabs>
        <w:tab w:val="left" w:pos="0"/>
        <w:tab w:val="left" w:pos="1418"/>
        <w:tab w:val="left" w:pos="2160"/>
        <w:tab w:val="left" w:pos="3960"/>
        <w:tab w:val="left" w:pos="4680"/>
        <w:tab w:val="right" w:pos="8280"/>
      </w:tabs>
      <w:suppressAutoHyphens/>
      <w:autoSpaceDN w:val="0"/>
      <w:spacing w:before="60" w:after="60" w:line="264" w:lineRule="auto"/>
      <w:ind w:left="1418" w:hanging="284"/>
      <w:textAlignment w:val="baseline"/>
    </w:pPr>
    <w:rPr>
      <w:rFonts w:ascii="Arial" w:eastAsia="Times New Roman" w:hAnsi="Arial" w:cs="Arial"/>
      <w:sz w:val="24"/>
      <w:szCs w:val="24"/>
      <w:lang w:eastAsia="en-US"/>
    </w:rPr>
  </w:style>
  <w:style w:type="paragraph" w:customStyle="1" w:styleId="Report-AppCHeading1">
    <w:name w:val="Report - App C Heading 1"/>
    <w:rsid w:val="000C6958"/>
    <w:pPr>
      <w:autoSpaceDN w:val="0"/>
      <w:spacing w:after="200" w:line="276" w:lineRule="auto"/>
      <w:ind w:left="851" w:hanging="851"/>
      <w:textAlignment w:val="baseline"/>
    </w:pPr>
    <w:rPr>
      <w:rFonts w:ascii="Arial" w:eastAsia="Times New Roman" w:hAnsi="Arial" w:cs="Arial"/>
      <w:bCs/>
      <w:color w:val="44546A" w:themeColor="text2"/>
      <w:sz w:val="32"/>
      <w:szCs w:val="32"/>
    </w:rPr>
  </w:style>
  <w:style w:type="paragraph" w:customStyle="1" w:styleId="paragraph">
    <w:name w:val="paragraph"/>
    <w:basedOn w:val="Normal"/>
    <w:rsid w:val="000C6958"/>
    <w:pPr>
      <w:spacing w:after="0"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0C6958"/>
  </w:style>
  <w:style w:type="character" w:customStyle="1" w:styleId="normaltextrun1">
    <w:name w:val="normaltextrun1"/>
    <w:basedOn w:val="DefaultParagraphFont"/>
    <w:rsid w:val="000C6958"/>
  </w:style>
  <w:style w:type="character" w:customStyle="1" w:styleId="eop">
    <w:name w:val="eop"/>
    <w:basedOn w:val="DefaultParagraphFont"/>
    <w:rsid w:val="000C6958"/>
  </w:style>
  <w:style w:type="character" w:customStyle="1" w:styleId="advancedproofingissue">
    <w:name w:val="advancedproofingissue"/>
    <w:basedOn w:val="DefaultParagraphFont"/>
    <w:rsid w:val="000C6958"/>
  </w:style>
  <w:style w:type="character" w:customStyle="1" w:styleId="contextualspellingandgrammarerror">
    <w:name w:val="contextualspellingandgrammarerror"/>
    <w:basedOn w:val="DefaultParagraphFont"/>
    <w:rsid w:val="000C6958"/>
  </w:style>
  <w:style w:type="paragraph" w:styleId="Revision">
    <w:name w:val="Revision"/>
    <w:hidden/>
    <w:uiPriority w:val="99"/>
    <w:semiHidden/>
    <w:rsid w:val="000C6958"/>
    <w:pPr>
      <w:spacing w:after="0" w:line="240" w:lineRule="auto"/>
    </w:pPr>
  </w:style>
  <w:style w:type="table" w:styleId="GridTable4-Accent5">
    <w:name w:val="Grid Table 4 Accent 5"/>
    <w:basedOn w:val="TableNormal"/>
    <w:uiPriority w:val="49"/>
    <w:rsid w:val="000C6958"/>
    <w:pPr>
      <w:spacing w:after="0" w:line="240" w:lineRule="auto"/>
    </w:pPr>
    <w:rPr>
      <w:rFonts w:eastAsiaTheme="minorHAnsi"/>
      <w:lang w:val="en-US" w:eastAsia="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ra0">
    <w:name w:val="Para 0"/>
    <w:basedOn w:val="Normal"/>
    <w:rsid w:val="000C6958"/>
    <w:pPr>
      <w:suppressAutoHyphens/>
      <w:autoSpaceDN w:val="0"/>
      <w:spacing w:before="240" w:after="120" w:line="240" w:lineRule="atLeast"/>
      <w:textAlignment w:val="baseline"/>
    </w:pPr>
    <w:rPr>
      <w:rFonts w:ascii="Arial" w:eastAsia="SimSun" w:hAnsi="Arial" w:cs="Times New Roman"/>
      <w:sz w:val="20"/>
      <w:szCs w:val="24"/>
      <w:lang w:eastAsia="en-US"/>
    </w:rPr>
  </w:style>
  <w:style w:type="paragraph" w:customStyle="1" w:styleId="Bodynarrow">
    <w:name w:val="Body narrow"/>
    <w:basedOn w:val="Normal"/>
    <w:rsid w:val="000C6958"/>
    <w:pPr>
      <w:suppressAutoHyphens/>
      <w:autoSpaceDN w:val="0"/>
      <w:spacing w:before="40" w:after="120" w:line="240" w:lineRule="atLeast"/>
      <w:ind w:left="3402"/>
      <w:textAlignment w:val="baseline"/>
    </w:pPr>
    <w:rPr>
      <w:rFonts w:ascii="Arial" w:eastAsia="SimSun" w:hAnsi="Arial" w:cs="Times New Roman"/>
      <w:sz w:val="20"/>
      <w:szCs w:val="24"/>
      <w:lang w:eastAsia="en-US"/>
    </w:rPr>
  </w:style>
  <w:style w:type="paragraph" w:customStyle="1" w:styleId="HeaderSpacer">
    <w:name w:val="Header Spacer"/>
    <w:basedOn w:val="Header"/>
    <w:rsid w:val="000C6958"/>
    <w:pPr>
      <w:tabs>
        <w:tab w:val="clear" w:pos="4513"/>
        <w:tab w:val="clear" w:pos="9026"/>
      </w:tabs>
      <w:suppressAutoHyphens/>
      <w:autoSpaceDN w:val="0"/>
      <w:spacing w:line="480" w:lineRule="exact"/>
      <w:textAlignment w:val="baseline"/>
    </w:pPr>
    <w:rPr>
      <w:rFonts w:eastAsia="SimSun" w:cs="Times New Roman"/>
      <w:color w:val="666666"/>
      <w:sz w:val="22"/>
      <w:szCs w:val="24"/>
      <w:lang w:eastAsia="en-US"/>
    </w:rPr>
  </w:style>
  <w:style w:type="paragraph" w:customStyle="1" w:styleId="Tablesmalltext">
    <w:name w:val="Table small text"/>
    <w:basedOn w:val="Normal"/>
    <w:uiPriority w:val="15"/>
    <w:qFormat/>
    <w:rsid w:val="000C6958"/>
    <w:pPr>
      <w:spacing w:before="40" w:after="40" w:line="240" w:lineRule="atLeast"/>
    </w:pPr>
    <w:rPr>
      <w:rFonts w:ascii="Arial" w:hAnsi="Arial"/>
      <w:sz w:val="16"/>
      <w:szCs w:val="24"/>
      <w:lang w:eastAsia="en-US"/>
    </w:rPr>
  </w:style>
  <w:style w:type="paragraph" w:customStyle="1" w:styleId="Table2number">
    <w:name w:val="Table 2 number"/>
    <w:basedOn w:val="Normal"/>
    <w:uiPriority w:val="15"/>
    <w:rsid w:val="000C6958"/>
    <w:pPr>
      <w:numPr>
        <w:numId w:val="9"/>
      </w:numPr>
      <w:spacing w:before="60" w:after="60" w:line="240" w:lineRule="atLeast"/>
    </w:pPr>
    <w:rPr>
      <w:rFonts w:ascii="Arial" w:hAnsi="Arial"/>
      <w:sz w:val="20"/>
      <w:szCs w:val="24"/>
      <w:lang w:val="en-US" w:eastAsia="en-US"/>
    </w:rPr>
  </w:style>
  <w:style w:type="paragraph" w:customStyle="1" w:styleId="Para0bullet">
    <w:name w:val="Para 0 bullet"/>
    <w:basedOn w:val="Para0"/>
    <w:uiPriority w:val="4"/>
    <w:qFormat/>
    <w:rsid w:val="000C6958"/>
    <w:pPr>
      <w:numPr>
        <w:numId w:val="10"/>
      </w:numPr>
      <w:tabs>
        <w:tab w:val="left" w:pos="851"/>
      </w:tabs>
      <w:suppressAutoHyphens w:val="0"/>
      <w:autoSpaceDN/>
      <w:spacing w:before="0"/>
      <w:textAlignment w:val="auto"/>
    </w:pPr>
    <w:rPr>
      <w:rFonts w:eastAsiaTheme="minorEastAsia" w:cstheme="minorBidi"/>
    </w:rPr>
  </w:style>
  <w:style w:type="paragraph" w:customStyle="1" w:styleId="Para1narrowarrow">
    <w:name w:val="Para 1 narrow arrow"/>
    <w:basedOn w:val="Normal"/>
    <w:uiPriority w:val="5"/>
    <w:semiHidden/>
    <w:rsid w:val="000C6958"/>
    <w:pPr>
      <w:numPr>
        <w:ilvl w:val="1"/>
        <w:numId w:val="10"/>
      </w:numPr>
      <w:tabs>
        <w:tab w:val="left" w:pos="851"/>
      </w:tabs>
      <w:spacing w:after="120" w:line="240" w:lineRule="atLeast"/>
    </w:pPr>
    <w:rPr>
      <w:rFonts w:ascii="Arial" w:hAnsi="Arial"/>
      <w:sz w:val="20"/>
      <w:szCs w:val="24"/>
      <w:lang w:eastAsia="en-US"/>
    </w:rPr>
  </w:style>
  <w:style w:type="paragraph" w:customStyle="1" w:styleId="Para1bullet">
    <w:name w:val="Para 1 bullet"/>
    <w:basedOn w:val="Para0bullet"/>
    <w:uiPriority w:val="5"/>
    <w:rsid w:val="000C6958"/>
    <w:pPr>
      <w:ind w:left="850"/>
    </w:pPr>
  </w:style>
  <w:style w:type="numbering" w:customStyle="1" w:styleId="JacobsBulletList1">
    <w:name w:val="Jacobs Bullet List 1"/>
    <w:uiPriority w:val="99"/>
    <w:rsid w:val="000C6958"/>
    <w:pPr>
      <w:numPr>
        <w:numId w:val="10"/>
      </w:numPr>
    </w:pPr>
  </w:style>
  <w:style w:type="paragraph" w:customStyle="1" w:styleId="AppendixHeading1">
    <w:name w:val="Appendix Heading 1"/>
    <w:basedOn w:val="Heading9"/>
    <w:next w:val="BodyText"/>
    <w:rsid w:val="000C6958"/>
    <w:pPr>
      <w:keepLines w:val="0"/>
      <w:spacing w:before="240" w:after="120" w:line="240" w:lineRule="auto"/>
      <w:ind w:left="1004" w:hanging="360"/>
      <w:outlineLvl w:val="0"/>
    </w:pPr>
    <w:rPr>
      <w:rFonts w:ascii="Arial" w:eastAsiaTheme="minorEastAsia" w:hAnsi="Arial" w:cstheme="minorBidi"/>
      <w:b/>
      <w:i w:val="0"/>
      <w:iCs w:val="0"/>
      <w:noProof/>
      <w:color w:val="00338D"/>
      <w:sz w:val="32"/>
      <w:szCs w:val="24"/>
      <w:lang w:val="en-US" w:eastAsia="en-US"/>
    </w:rPr>
  </w:style>
  <w:style w:type="paragraph" w:customStyle="1" w:styleId="AppendixHeading3">
    <w:name w:val="Appendix Heading 3"/>
    <w:basedOn w:val="Normal"/>
    <w:next w:val="BodyText"/>
    <w:uiPriority w:val="2"/>
    <w:qFormat/>
    <w:rsid w:val="000C6958"/>
    <w:pPr>
      <w:keepNext/>
      <w:spacing w:before="240" w:after="120" w:line="240" w:lineRule="auto"/>
      <w:ind w:left="907" w:hanging="907"/>
      <w:outlineLvl w:val="2"/>
    </w:pPr>
    <w:rPr>
      <w:rFonts w:ascii="Arial" w:hAnsi="Arial"/>
      <w:b/>
      <w:color w:val="00338D"/>
      <w:sz w:val="20"/>
      <w:szCs w:val="24"/>
      <w:lang w:val="en-US" w:eastAsia="en-US"/>
    </w:rPr>
  </w:style>
  <w:style w:type="paragraph" w:customStyle="1" w:styleId="AppendixHeading4">
    <w:name w:val="Appendix Heading 4"/>
    <w:basedOn w:val="AppendixHeading3"/>
    <w:next w:val="BodyText"/>
    <w:uiPriority w:val="2"/>
    <w:rsid w:val="000C6958"/>
    <w:pPr>
      <w:outlineLvl w:val="3"/>
    </w:pPr>
    <w:rPr>
      <w:color w:val="auto"/>
    </w:rPr>
  </w:style>
  <w:style w:type="paragraph" w:customStyle="1" w:styleId="STPRHeading2">
    <w:name w:val="STPR Heading 2+"/>
    <w:basedOn w:val="STPR2Heading2"/>
    <w:link w:val="STPRHeading2Char"/>
    <w:uiPriority w:val="23"/>
    <w:qFormat/>
    <w:rsid w:val="000C6958"/>
    <w:pPr>
      <w:numPr>
        <w:ilvl w:val="0"/>
      </w:numPr>
      <w:ind w:left="1440" w:hanging="360"/>
    </w:pPr>
  </w:style>
  <w:style w:type="character" w:customStyle="1" w:styleId="NoParagraphStyleChar">
    <w:name w:val="[No Paragraph Style] Char"/>
    <w:basedOn w:val="DefaultParagraphFont"/>
    <w:link w:val="NoParagraphStyle"/>
    <w:uiPriority w:val="24"/>
    <w:rsid w:val="000C6958"/>
    <w:rPr>
      <w:rFonts w:ascii="Minion Pro" w:hAnsi="Minion Pro" w:cs="Minion Pro"/>
      <w:color w:val="000000"/>
      <w:sz w:val="24"/>
      <w:szCs w:val="24"/>
      <w:lang w:val="en-US"/>
    </w:rPr>
  </w:style>
  <w:style w:type="character" w:customStyle="1" w:styleId="STPR2Heading1Char">
    <w:name w:val="STPR2_Heading 1 Char"/>
    <w:basedOn w:val="NoParagraphStyleChar"/>
    <w:link w:val="STPR2Heading1"/>
    <w:uiPriority w:val="4"/>
    <w:rsid w:val="000C6958"/>
    <w:rPr>
      <w:rFonts w:ascii="Arial" w:hAnsi="Arial" w:cs="Arial"/>
      <w:b/>
      <w:bCs/>
      <w:color w:val="B06900"/>
      <w:sz w:val="36"/>
      <w:szCs w:val="36"/>
      <w:lang w:val="en-US"/>
    </w:rPr>
  </w:style>
  <w:style w:type="character" w:customStyle="1" w:styleId="STPR2Heading2Char">
    <w:name w:val="STPR2_Heading 2 Char"/>
    <w:basedOn w:val="STPR2Heading1Char"/>
    <w:link w:val="STPR2Heading2"/>
    <w:uiPriority w:val="5"/>
    <w:rsid w:val="000C6958"/>
    <w:rPr>
      <w:rFonts w:ascii="Arial" w:hAnsi="Arial" w:cs="Arial"/>
      <w:b/>
      <w:bCs/>
      <w:color w:val="626266"/>
      <w:sz w:val="28"/>
      <w:szCs w:val="28"/>
      <w:lang w:val="en-US"/>
    </w:rPr>
  </w:style>
  <w:style w:type="character" w:customStyle="1" w:styleId="STPRHeading2Char">
    <w:name w:val="STPR Heading 2+ Char"/>
    <w:basedOn w:val="STPR2Heading2Char"/>
    <w:link w:val="STPRHeading2"/>
    <w:uiPriority w:val="23"/>
    <w:rsid w:val="000C6958"/>
    <w:rPr>
      <w:rFonts w:ascii="Arial" w:hAnsi="Arial" w:cs="Arial"/>
      <w:b/>
      <w:bCs/>
      <w:color w:val="626266"/>
      <w:sz w:val="28"/>
      <w:szCs w:val="28"/>
      <w:lang w:val="en-US"/>
    </w:rPr>
  </w:style>
  <w:style w:type="paragraph" w:styleId="ListBullet">
    <w:name w:val="List Bullet"/>
    <w:basedOn w:val="Normal"/>
    <w:link w:val="ListBulletChar"/>
    <w:uiPriority w:val="9"/>
    <w:qFormat/>
    <w:rsid w:val="000C6958"/>
    <w:pPr>
      <w:numPr>
        <w:numId w:val="11"/>
      </w:numPr>
      <w:spacing w:after="120" w:line="240" w:lineRule="atLeast"/>
      <w:jc w:val="both"/>
    </w:pPr>
    <w:rPr>
      <w:rFonts w:eastAsiaTheme="minorHAnsi"/>
      <w:kern w:val="18"/>
      <w:sz w:val="20"/>
      <w:szCs w:val="18"/>
      <w:lang w:eastAsia="en-US"/>
    </w:rPr>
  </w:style>
  <w:style w:type="paragraph" w:styleId="ListBullet2">
    <w:name w:val="List Bullet 2"/>
    <w:basedOn w:val="Normal"/>
    <w:uiPriority w:val="10"/>
    <w:qFormat/>
    <w:rsid w:val="000C6958"/>
    <w:pPr>
      <w:numPr>
        <w:ilvl w:val="1"/>
        <w:numId w:val="11"/>
      </w:numPr>
      <w:spacing w:after="120" w:line="240" w:lineRule="atLeast"/>
    </w:pPr>
    <w:rPr>
      <w:rFonts w:eastAsiaTheme="minorHAnsi"/>
      <w:kern w:val="18"/>
      <w:sz w:val="20"/>
      <w:szCs w:val="18"/>
      <w:lang w:eastAsia="en-US"/>
    </w:rPr>
  </w:style>
  <w:style w:type="paragraph" w:styleId="ListBullet3">
    <w:name w:val="List Bullet 3"/>
    <w:basedOn w:val="Normal"/>
    <w:uiPriority w:val="11"/>
    <w:qFormat/>
    <w:rsid w:val="000C6958"/>
    <w:pPr>
      <w:numPr>
        <w:ilvl w:val="2"/>
        <w:numId w:val="11"/>
      </w:numPr>
      <w:spacing w:after="120" w:line="240" w:lineRule="atLeast"/>
    </w:pPr>
    <w:rPr>
      <w:rFonts w:eastAsiaTheme="minorHAnsi"/>
      <w:kern w:val="18"/>
      <w:sz w:val="20"/>
      <w:szCs w:val="18"/>
      <w:lang w:eastAsia="en-US"/>
    </w:rPr>
  </w:style>
  <w:style w:type="paragraph" w:customStyle="1" w:styleId="Sidebartext">
    <w:name w:val="Sidebar text"/>
    <w:basedOn w:val="Normal"/>
    <w:uiPriority w:val="12"/>
    <w:qFormat/>
    <w:rsid w:val="000C6958"/>
    <w:pPr>
      <w:framePr w:hSpace="181" w:wrap="around" w:hAnchor="margin" w:x="109" w:y="182"/>
      <w:spacing w:before="40" w:after="120" w:line="240" w:lineRule="atLeast"/>
    </w:pPr>
    <w:rPr>
      <w:rFonts w:ascii="Arial" w:hAnsi="Arial"/>
      <w:sz w:val="18"/>
      <w:szCs w:val="24"/>
      <w:lang w:val="en-US" w:eastAsia="en-US"/>
    </w:rPr>
  </w:style>
  <w:style w:type="paragraph" w:styleId="Caption">
    <w:name w:val="caption"/>
    <w:basedOn w:val="Normal"/>
    <w:next w:val="Normal"/>
    <w:uiPriority w:val="35"/>
    <w:unhideWhenUsed/>
    <w:qFormat/>
    <w:rsid w:val="000C6958"/>
    <w:pPr>
      <w:spacing w:after="200" w:line="240" w:lineRule="auto"/>
    </w:pPr>
    <w:rPr>
      <w:i/>
      <w:iCs/>
      <w:color w:val="44546A" w:themeColor="text2"/>
      <w:sz w:val="18"/>
      <w:szCs w:val="18"/>
    </w:rPr>
  </w:style>
  <w:style w:type="paragraph" w:customStyle="1" w:styleId="CopyrightInfo">
    <w:name w:val="Copyright Info"/>
    <w:basedOn w:val="Normal"/>
    <w:rsid w:val="000C6958"/>
    <w:pPr>
      <w:spacing w:before="200" w:after="30" w:line="180" w:lineRule="exact"/>
      <w:ind w:right="851"/>
      <w:jc w:val="both"/>
    </w:pPr>
    <w:rPr>
      <w:rFonts w:ascii="Arial" w:eastAsiaTheme="minorHAnsi" w:hAnsi="Arial" w:cs="Arial"/>
      <w:sz w:val="14"/>
      <w:szCs w:val="14"/>
      <w:lang w:eastAsia="en-US"/>
    </w:rPr>
  </w:style>
  <w:style w:type="character" w:customStyle="1" w:styleId="STPR2BodyTextChar">
    <w:name w:val="STPR2_Body Text Char"/>
    <w:basedOn w:val="NoParagraphStyleChar"/>
    <w:link w:val="STPR2BodyText"/>
    <w:rsid w:val="00D56DE8"/>
    <w:rPr>
      <w:rFonts w:ascii="Arial" w:eastAsia="Times New Roman" w:hAnsi="Arial" w:cs="Arial"/>
      <w:color w:val="000000"/>
      <w:sz w:val="24"/>
      <w:szCs w:val="24"/>
      <w:lang w:val="en-US"/>
    </w:rPr>
  </w:style>
  <w:style w:type="table" w:customStyle="1" w:styleId="TableGrid1">
    <w:name w:val="Table Grid1"/>
    <w:basedOn w:val="TableNormal"/>
    <w:next w:val="TableGrid"/>
    <w:uiPriority w:val="3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0C6958"/>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DC6"/>
    </w:tcPr>
    <w:tblStylePr w:type="firstRow">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8CC540"/>
      </w:tcPr>
    </w:tblStylePr>
  </w:style>
  <w:style w:type="character" w:styleId="FollowedHyperlink">
    <w:name w:val="FollowedHyperlink"/>
    <w:basedOn w:val="DefaultParagraphFont"/>
    <w:uiPriority w:val="99"/>
    <w:semiHidden/>
    <w:unhideWhenUsed/>
    <w:rsid w:val="000C6958"/>
    <w:rPr>
      <w:color w:val="954F72" w:themeColor="followedHyperlink"/>
      <w:u w:val="single"/>
    </w:rPr>
  </w:style>
  <w:style w:type="paragraph" w:customStyle="1" w:styleId="Tabletext">
    <w:name w:val="Table text"/>
    <w:basedOn w:val="BodyText"/>
    <w:uiPriority w:val="1"/>
    <w:qFormat/>
    <w:rsid w:val="000C6958"/>
    <w:pPr>
      <w:spacing w:before="40" w:after="40" w:line="240" w:lineRule="auto"/>
    </w:pPr>
    <w:rPr>
      <w:rFonts w:eastAsiaTheme="minorHAnsi"/>
      <w:kern w:val="18"/>
      <w:sz w:val="16"/>
      <w:szCs w:val="18"/>
      <w:lang w:eastAsia="en-US"/>
    </w:rPr>
  </w:style>
  <w:style w:type="paragraph" w:customStyle="1" w:styleId="Tableheading">
    <w:name w:val="Table heading"/>
    <w:basedOn w:val="Normal"/>
    <w:uiPriority w:val="14"/>
    <w:qFormat/>
    <w:rsid w:val="000C6958"/>
    <w:pPr>
      <w:keepNext/>
      <w:spacing w:before="100" w:after="100" w:line="240" w:lineRule="atLeast"/>
    </w:pPr>
    <w:rPr>
      <w:rFonts w:ascii="Jacobs Chronos" w:hAnsi="Jacobs Chronos" w:cs="Jacobs Chronos"/>
      <w:b/>
      <w:sz w:val="20"/>
      <w:szCs w:val="24"/>
      <w:lang w:eastAsia="en-US"/>
    </w:rPr>
  </w:style>
  <w:style w:type="table" w:customStyle="1" w:styleId="TableGrid5">
    <w:name w:val="Table Grid5"/>
    <w:basedOn w:val="TableNormal"/>
    <w:next w:val="TableGrid"/>
    <w:uiPriority w:val="5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itle">
    <w:name w:val="Page Title"/>
    <w:basedOn w:val="Normal"/>
    <w:semiHidden/>
    <w:rsid w:val="000C6958"/>
    <w:pPr>
      <w:spacing w:after="0" w:line="240" w:lineRule="auto"/>
      <w:ind w:left="3402"/>
    </w:pPr>
    <w:rPr>
      <w:rFonts w:ascii="Jacobs Chronos" w:hAnsi="Jacobs Chronos" w:cs="Jacobs Chronos"/>
      <w:b/>
      <w:color w:val="999999"/>
      <w:sz w:val="24"/>
      <w:szCs w:val="24"/>
      <w:lang w:eastAsia="en-US"/>
    </w:rPr>
  </w:style>
  <w:style w:type="paragraph" w:customStyle="1" w:styleId="DocumentTitle">
    <w:name w:val="Document Title"/>
    <w:basedOn w:val="Normal"/>
    <w:uiPriority w:val="19"/>
    <w:rsid w:val="00D763DE"/>
    <w:pPr>
      <w:spacing w:after="60" w:line="240" w:lineRule="atLeast"/>
    </w:pPr>
    <w:rPr>
      <w:rFonts w:ascii="Jacobs Chronos" w:hAnsi="Jacobs Chronos" w:cs="Jacobs Chronos"/>
      <w:sz w:val="20"/>
      <w:szCs w:val="24"/>
      <w:lang w:val="en-US" w:eastAsia="en-US"/>
    </w:rPr>
  </w:style>
  <w:style w:type="character" w:styleId="Mention">
    <w:name w:val="Mention"/>
    <w:basedOn w:val="DefaultParagraphFont"/>
    <w:uiPriority w:val="99"/>
    <w:unhideWhenUsed/>
    <w:rsid w:val="005163E2"/>
    <w:rPr>
      <w:color w:val="2B579A"/>
      <w:shd w:val="clear" w:color="auto" w:fill="E1DFDD"/>
    </w:rPr>
  </w:style>
  <w:style w:type="character" w:customStyle="1" w:styleId="normaltextrun">
    <w:name w:val="normaltextrun"/>
    <w:basedOn w:val="DefaultParagraphFont"/>
    <w:rsid w:val="00717181"/>
  </w:style>
  <w:style w:type="table" w:customStyle="1" w:styleId="AECOMtable">
    <w:name w:val="AECOM table"/>
    <w:basedOn w:val="TableNormal"/>
    <w:uiPriority w:val="99"/>
    <w:unhideWhenUsed/>
    <w:rsid w:val="00861735"/>
    <w:pPr>
      <w:spacing w:after="0" w:line="240" w:lineRule="auto"/>
    </w:pPr>
    <w:rPr>
      <w:rFonts w:eastAsiaTheme="minorHAnsi"/>
      <w:sz w:val="16"/>
      <w:szCs w:val="18"/>
      <w:lang w:eastAsia="en-US"/>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5B9BD5" w:themeColor="accent1"/>
        <w:sz w:val="16"/>
      </w:rPr>
      <w:tblPr/>
      <w:tcPr>
        <w:tcBorders>
          <w:top w:val="nil"/>
          <w:left w:val="nil"/>
          <w:bottom w:val="single" w:sz="12" w:space="0" w:color="5B9BD5" w:themeColor="accent1"/>
          <w:right w:val="nil"/>
          <w:insideH w:val="nil"/>
          <w:insideV w:val="nil"/>
          <w:tl2br w:val="nil"/>
          <w:tr2bl w:val="nil"/>
        </w:tcBorders>
      </w:tcPr>
    </w:tblStylePr>
  </w:style>
  <w:style w:type="paragraph" w:customStyle="1" w:styleId="TableListBullet">
    <w:name w:val="Table List Bullet"/>
    <w:basedOn w:val="Normal"/>
    <w:uiPriority w:val="16"/>
    <w:qFormat/>
    <w:rsid w:val="00861735"/>
    <w:pPr>
      <w:numPr>
        <w:numId w:val="18"/>
      </w:numPr>
      <w:spacing w:after="40" w:line="240" w:lineRule="auto"/>
    </w:pPr>
    <w:rPr>
      <w:rFonts w:eastAsiaTheme="minorHAnsi"/>
      <w:kern w:val="18"/>
      <w:sz w:val="16"/>
      <w:szCs w:val="18"/>
      <w:lang w:eastAsia="en-US"/>
    </w:rPr>
  </w:style>
  <w:style w:type="paragraph" w:customStyle="1" w:styleId="TableListBullet2">
    <w:name w:val="Table List Bullet 2"/>
    <w:basedOn w:val="Normal"/>
    <w:uiPriority w:val="17"/>
    <w:qFormat/>
    <w:rsid w:val="00861735"/>
    <w:pPr>
      <w:numPr>
        <w:ilvl w:val="1"/>
        <w:numId w:val="18"/>
      </w:numPr>
      <w:spacing w:after="40" w:line="240" w:lineRule="auto"/>
    </w:pPr>
    <w:rPr>
      <w:rFonts w:eastAsiaTheme="minorHAnsi"/>
      <w:kern w:val="18"/>
      <w:sz w:val="16"/>
      <w:szCs w:val="18"/>
      <w:lang w:eastAsia="en-US"/>
    </w:rPr>
  </w:style>
  <w:style w:type="paragraph" w:customStyle="1" w:styleId="TableListBullet3">
    <w:name w:val="Table List Bullet 3"/>
    <w:basedOn w:val="Normal"/>
    <w:uiPriority w:val="18"/>
    <w:qFormat/>
    <w:rsid w:val="00861735"/>
    <w:pPr>
      <w:numPr>
        <w:ilvl w:val="2"/>
        <w:numId w:val="18"/>
      </w:numPr>
      <w:spacing w:after="40" w:line="240" w:lineRule="auto"/>
    </w:pPr>
    <w:rPr>
      <w:rFonts w:eastAsiaTheme="minorHAnsi"/>
      <w:kern w:val="18"/>
      <w:sz w:val="16"/>
      <w:szCs w:val="18"/>
      <w:lang w:eastAsia="en-US"/>
    </w:rPr>
  </w:style>
  <w:style w:type="character" w:customStyle="1" w:styleId="ListBulletChar">
    <w:name w:val="List Bullet Char"/>
    <w:basedOn w:val="DefaultParagraphFont"/>
    <w:link w:val="ListBullet"/>
    <w:uiPriority w:val="9"/>
    <w:locked/>
    <w:rsid w:val="00A448AE"/>
    <w:rPr>
      <w:rFonts w:eastAsiaTheme="minorHAnsi"/>
      <w:kern w:val="18"/>
      <w:sz w:val="20"/>
      <w:szCs w:val="18"/>
      <w:lang w:eastAsia="en-US"/>
    </w:rPr>
  </w:style>
  <w:style w:type="paragraph" w:customStyle="1" w:styleId="legclearfix">
    <w:name w:val="legclearfix"/>
    <w:basedOn w:val="Normal"/>
    <w:rsid w:val="00A164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gds">
    <w:name w:val="legds"/>
    <w:basedOn w:val="DefaultParagraphFont"/>
    <w:rsid w:val="00A16471"/>
  </w:style>
  <w:style w:type="paragraph" w:customStyle="1" w:styleId="legrhs">
    <w:name w:val="legrhs"/>
    <w:basedOn w:val="Normal"/>
    <w:rsid w:val="00A16471"/>
    <w:pPr>
      <w:spacing w:before="100" w:beforeAutospacing="1" w:after="100" w:afterAutospacing="1" w:line="240" w:lineRule="auto"/>
    </w:pPr>
    <w:rPr>
      <w:rFonts w:ascii="Times New Roman" w:eastAsia="Times New Roman" w:hAnsi="Times New Roman" w:cs="Times New Roman"/>
      <w:sz w:val="24"/>
      <w:szCs w:val="24"/>
    </w:rPr>
  </w:style>
  <w:style w:type="paragraph" w:styleId="TableofFigures">
    <w:name w:val="table of figures"/>
    <w:basedOn w:val="Normal"/>
    <w:next w:val="Normal"/>
    <w:autoRedefine/>
    <w:uiPriority w:val="99"/>
    <w:unhideWhenUsed/>
    <w:rsid w:val="00F110EE"/>
    <w:pPr>
      <w:tabs>
        <w:tab w:val="right" w:leader="dot" w:pos="9628"/>
      </w:tabs>
      <w:spacing w:after="0"/>
    </w:pPr>
    <w:rPr>
      <w:rFonts w:ascii="Arial" w:hAnsi="Arial"/>
      <w:noProof/>
      <w:color w:val="626266"/>
      <w:sz w:val="24"/>
    </w:rPr>
  </w:style>
  <w:style w:type="paragraph" w:customStyle="1" w:styleId="Appendix">
    <w:name w:val="Appendix"/>
    <w:basedOn w:val="Heading1"/>
    <w:next w:val="BodyText"/>
    <w:autoRedefine/>
    <w:uiPriority w:val="7"/>
    <w:qFormat/>
    <w:rsid w:val="005725BB"/>
    <w:pPr>
      <w:keepNext/>
      <w:keepLines/>
      <w:widowControl/>
      <w:numPr>
        <w:numId w:val="41"/>
      </w:numPr>
      <w:suppressAutoHyphens w:val="0"/>
      <w:autoSpaceDE/>
      <w:autoSpaceDN/>
      <w:adjustRightInd/>
      <w:ind w:left="2250" w:hanging="2250"/>
      <w:textAlignment w:val="auto"/>
    </w:pPr>
    <w:rPr>
      <w:rFonts w:eastAsiaTheme="majorEastAsia" w:cstheme="majorBidi"/>
      <w:kern w:val="18"/>
      <w:szCs w:val="28"/>
      <w:lang w:eastAsia="en-US"/>
    </w:rPr>
  </w:style>
  <w:style w:type="paragraph" w:customStyle="1" w:styleId="TABLEHEADINGWHITE">
    <w:name w:val="TABLE HEADING WHITE"/>
    <w:basedOn w:val="STPR2TableHeading"/>
    <w:uiPriority w:val="23"/>
    <w:qFormat/>
    <w:rsid w:val="00BB3BA4"/>
    <w:rPr>
      <w:bCs w:val="0"/>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22459">
      <w:bodyDiv w:val="1"/>
      <w:marLeft w:val="0"/>
      <w:marRight w:val="0"/>
      <w:marTop w:val="0"/>
      <w:marBottom w:val="0"/>
      <w:divBdr>
        <w:top w:val="none" w:sz="0" w:space="0" w:color="auto"/>
        <w:left w:val="none" w:sz="0" w:space="0" w:color="auto"/>
        <w:bottom w:val="none" w:sz="0" w:space="0" w:color="auto"/>
        <w:right w:val="none" w:sz="0" w:space="0" w:color="auto"/>
      </w:divBdr>
      <w:divsChild>
        <w:div w:id="84956287">
          <w:marLeft w:val="0"/>
          <w:marRight w:val="0"/>
          <w:marTop w:val="0"/>
          <w:marBottom w:val="0"/>
          <w:divBdr>
            <w:top w:val="none" w:sz="0" w:space="0" w:color="auto"/>
            <w:left w:val="none" w:sz="0" w:space="0" w:color="auto"/>
            <w:bottom w:val="none" w:sz="0" w:space="0" w:color="auto"/>
            <w:right w:val="none" w:sz="0" w:space="0" w:color="auto"/>
          </w:divBdr>
          <w:divsChild>
            <w:div w:id="1858079067">
              <w:marLeft w:val="0"/>
              <w:marRight w:val="0"/>
              <w:marTop w:val="0"/>
              <w:marBottom w:val="0"/>
              <w:divBdr>
                <w:top w:val="none" w:sz="0" w:space="0" w:color="auto"/>
                <w:left w:val="none" w:sz="0" w:space="0" w:color="auto"/>
                <w:bottom w:val="none" w:sz="0" w:space="0" w:color="auto"/>
                <w:right w:val="none" w:sz="0" w:space="0" w:color="auto"/>
              </w:divBdr>
            </w:div>
          </w:divsChild>
        </w:div>
        <w:div w:id="108202001">
          <w:marLeft w:val="0"/>
          <w:marRight w:val="0"/>
          <w:marTop w:val="0"/>
          <w:marBottom w:val="0"/>
          <w:divBdr>
            <w:top w:val="none" w:sz="0" w:space="0" w:color="auto"/>
            <w:left w:val="none" w:sz="0" w:space="0" w:color="auto"/>
            <w:bottom w:val="none" w:sz="0" w:space="0" w:color="auto"/>
            <w:right w:val="none" w:sz="0" w:space="0" w:color="auto"/>
          </w:divBdr>
          <w:divsChild>
            <w:div w:id="1561557941">
              <w:marLeft w:val="0"/>
              <w:marRight w:val="0"/>
              <w:marTop w:val="0"/>
              <w:marBottom w:val="0"/>
              <w:divBdr>
                <w:top w:val="none" w:sz="0" w:space="0" w:color="auto"/>
                <w:left w:val="none" w:sz="0" w:space="0" w:color="auto"/>
                <w:bottom w:val="none" w:sz="0" w:space="0" w:color="auto"/>
                <w:right w:val="none" w:sz="0" w:space="0" w:color="auto"/>
              </w:divBdr>
            </w:div>
          </w:divsChild>
        </w:div>
        <w:div w:id="120610646">
          <w:marLeft w:val="0"/>
          <w:marRight w:val="0"/>
          <w:marTop w:val="0"/>
          <w:marBottom w:val="0"/>
          <w:divBdr>
            <w:top w:val="none" w:sz="0" w:space="0" w:color="auto"/>
            <w:left w:val="none" w:sz="0" w:space="0" w:color="auto"/>
            <w:bottom w:val="none" w:sz="0" w:space="0" w:color="auto"/>
            <w:right w:val="none" w:sz="0" w:space="0" w:color="auto"/>
          </w:divBdr>
          <w:divsChild>
            <w:div w:id="2018266478">
              <w:marLeft w:val="0"/>
              <w:marRight w:val="0"/>
              <w:marTop w:val="0"/>
              <w:marBottom w:val="0"/>
              <w:divBdr>
                <w:top w:val="none" w:sz="0" w:space="0" w:color="auto"/>
                <w:left w:val="none" w:sz="0" w:space="0" w:color="auto"/>
                <w:bottom w:val="none" w:sz="0" w:space="0" w:color="auto"/>
                <w:right w:val="none" w:sz="0" w:space="0" w:color="auto"/>
              </w:divBdr>
            </w:div>
          </w:divsChild>
        </w:div>
        <w:div w:id="271013219">
          <w:marLeft w:val="0"/>
          <w:marRight w:val="0"/>
          <w:marTop w:val="0"/>
          <w:marBottom w:val="0"/>
          <w:divBdr>
            <w:top w:val="none" w:sz="0" w:space="0" w:color="auto"/>
            <w:left w:val="none" w:sz="0" w:space="0" w:color="auto"/>
            <w:bottom w:val="none" w:sz="0" w:space="0" w:color="auto"/>
            <w:right w:val="none" w:sz="0" w:space="0" w:color="auto"/>
          </w:divBdr>
          <w:divsChild>
            <w:div w:id="2122605689">
              <w:marLeft w:val="0"/>
              <w:marRight w:val="0"/>
              <w:marTop w:val="0"/>
              <w:marBottom w:val="0"/>
              <w:divBdr>
                <w:top w:val="none" w:sz="0" w:space="0" w:color="auto"/>
                <w:left w:val="none" w:sz="0" w:space="0" w:color="auto"/>
                <w:bottom w:val="none" w:sz="0" w:space="0" w:color="auto"/>
                <w:right w:val="none" w:sz="0" w:space="0" w:color="auto"/>
              </w:divBdr>
            </w:div>
          </w:divsChild>
        </w:div>
        <w:div w:id="460462741">
          <w:marLeft w:val="0"/>
          <w:marRight w:val="0"/>
          <w:marTop w:val="0"/>
          <w:marBottom w:val="0"/>
          <w:divBdr>
            <w:top w:val="none" w:sz="0" w:space="0" w:color="auto"/>
            <w:left w:val="none" w:sz="0" w:space="0" w:color="auto"/>
            <w:bottom w:val="none" w:sz="0" w:space="0" w:color="auto"/>
            <w:right w:val="none" w:sz="0" w:space="0" w:color="auto"/>
          </w:divBdr>
          <w:divsChild>
            <w:div w:id="2034913977">
              <w:marLeft w:val="0"/>
              <w:marRight w:val="0"/>
              <w:marTop w:val="0"/>
              <w:marBottom w:val="0"/>
              <w:divBdr>
                <w:top w:val="none" w:sz="0" w:space="0" w:color="auto"/>
                <w:left w:val="none" w:sz="0" w:space="0" w:color="auto"/>
                <w:bottom w:val="none" w:sz="0" w:space="0" w:color="auto"/>
                <w:right w:val="none" w:sz="0" w:space="0" w:color="auto"/>
              </w:divBdr>
            </w:div>
          </w:divsChild>
        </w:div>
        <w:div w:id="802314026">
          <w:marLeft w:val="0"/>
          <w:marRight w:val="0"/>
          <w:marTop w:val="0"/>
          <w:marBottom w:val="0"/>
          <w:divBdr>
            <w:top w:val="none" w:sz="0" w:space="0" w:color="auto"/>
            <w:left w:val="none" w:sz="0" w:space="0" w:color="auto"/>
            <w:bottom w:val="none" w:sz="0" w:space="0" w:color="auto"/>
            <w:right w:val="none" w:sz="0" w:space="0" w:color="auto"/>
          </w:divBdr>
          <w:divsChild>
            <w:div w:id="1899432815">
              <w:marLeft w:val="0"/>
              <w:marRight w:val="0"/>
              <w:marTop w:val="0"/>
              <w:marBottom w:val="0"/>
              <w:divBdr>
                <w:top w:val="none" w:sz="0" w:space="0" w:color="auto"/>
                <w:left w:val="none" w:sz="0" w:space="0" w:color="auto"/>
                <w:bottom w:val="none" w:sz="0" w:space="0" w:color="auto"/>
                <w:right w:val="none" w:sz="0" w:space="0" w:color="auto"/>
              </w:divBdr>
            </w:div>
          </w:divsChild>
        </w:div>
        <w:div w:id="994995330">
          <w:marLeft w:val="0"/>
          <w:marRight w:val="0"/>
          <w:marTop w:val="0"/>
          <w:marBottom w:val="0"/>
          <w:divBdr>
            <w:top w:val="none" w:sz="0" w:space="0" w:color="auto"/>
            <w:left w:val="none" w:sz="0" w:space="0" w:color="auto"/>
            <w:bottom w:val="none" w:sz="0" w:space="0" w:color="auto"/>
            <w:right w:val="none" w:sz="0" w:space="0" w:color="auto"/>
          </w:divBdr>
          <w:divsChild>
            <w:div w:id="90591269">
              <w:marLeft w:val="0"/>
              <w:marRight w:val="0"/>
              <w:marTop w:val="0"/>
              <w:marBottom w:val="0"/>
              <w:divBdr>
                <w:top w:val="none" w:sz="0" w:space="0" w:color="auto"/>
                <w:left w:val="none" w:sz="0" w:space="0" w:color="auto"/>
                <w:bottom w:val="none" w:sz="0" w:space="0" w:color="auto"/>
                <w:right w:val="none" w:sz="0" w:space="0" w:color="auto"/>
              </w:divBdr>
            </w:div>
          </w:divsChild>
        </w:div>
        <w:div w:id="1308048705">
          <w:marLeft w:val="0"/>
          <w:marRight w:val="0"/>
          <w:marTop w:val="0"/>
          <w:marBottom w:val="0"/>
          <w:divBdr>
            <w:top w:val="none" w:sz="0" w:space="0" w:color="auto"/>
            <w:left w:val="none" w:sz="0" w:space="0" w:color="auto"/>
            <w:bottom w:val="none" w:sz="0" w:space="0" w:color="auto"/>
            <w:right w:val="none" w:sz="0" w:space="0" w:color="auto"/>
          </w:divBdr>
          <w:divsChild>
            <w:div w:id="655375379">
              <w:marLeft w:val="0"/>
              <w:marRight w:val="0"/>
              <w:marTop w:val="0"/>
              <w:marBottom w:val="0"/>
              <w:divBdr>
                <w:top w:val="none" w:sz="0" w:space="0" w:color="auto"/>
                <w:left w:val="none" w:sz="0" w:space="0" w:color="auto"/>
                <w:bottom w:val="none" w:sz="0" w:space="0" w:color="auto"/>
                <w:right w:val="none" w:sz="0" w:space="0" w:color="auto"/>
              </w:divBdr>
            </w:div>
          </w:divsChild>
        </w:div>
        <w:div w:id="1334187091">
          <w:marLeft w:val="0"/>
          <w:marRight w:val="0"/>
          <w:marTop w:val="0"/>
          <w:marBottom w:val="0"/>
          <w:divBdr>
            <w:top w:val="none" w:sz="0" w:space="0" w:color="auto"/>
            <w:left w:val="none" w:sz="0" w:space="0" w:color="auto"/>
            <w:bottom w:val="none" w:sz="0" w:space="0" w:color="auto"/>
            <w:right w:val="none" w:sz="0" w:space="0" w:color="auto"/>
          </w:divBdr>
          <w:divsChild>
            <w:div w:id="894854780">
              <w:marLeft w:val="0"/>
              <w:marRight w:val="0"/>
              <w:marTop w:val="0"/>
              <w:marBottom w:val="0"/>
              <w:divBdr>
                <w:top w:val="none" w:sz="0" w:space="0" w:color="auto"/>
                <w:left w:val="none" w:sz="0" w:space="0" w:color="auto"/>
                <w:bottom w:val="none" w:sz="0" w:space="0" w:color="auto"/>
                <w:right w:val="none" w:sz="0" w:space="0" w:color="auto"/>
              </w:divBdr>
            </w:div>
          </w:divsChild>
        </w:div>
        <w:div w:id="1566719408">
          <w:marLeft w:val="0"/>
          <w:marRight w:val="0"/>
          <w:marTop w:val="0"/>
          <w:marBottom w:val="0"/>
          <w:divBdr>
            <w:top w:val="none" w:sz="0" w:space="0" w:color="auto"/>
            <w:left w:val="none" w:sz="0" w:space="0" w:color="auto"/>
            <w:bottom w:val="none" w:sz="0" w:space="0" w:color="auto"/>
            <w:right w:val="none" w:sz="0" w:space="0" w:color="auto"/>
          </w:divBdr>
          <w:divsChild>
            <w:div w:id="2029600871">
              <w:marLeft w:val="0"/>
              <w:marRight w:val="0"/>
              <w:marTop w:val="0"/>
              <w:marBottom w:val="0"/>
              <w:divBdr>
                <w:top w:val="none" w:sz="0" w:space="0" w:color="auto"/>
                <w:left w:val="none" w:sz="0" w:space="0" w:color="auto"/>
                <w:bottom w:val="none" w:sz="0" w:space="0" w:color="auto"/>
                <w:right w:val="none" w:sz="0" w:space="0" w:color="auto"/>
              </w:divBdr>
            </w:div>
          </w:divsChild>
        </w:div>
        <w:div w:id="1680235246">
          <w:marLeft w:val="0"/>
          <w:marRight w:val="0"/>
          <w:marTop w:val="0"/>
          <w:marBottom w:val="0"/>
          <w:divBdr>
            <w:top w:val="none" w:sz="0" w:space="0" w:color="auto"/>
            <w:left w:val="none" w:sz="0" w:space="0" w:color="auto"/>
            <w:bottom w:val="none" w:sz="0" w:space="0" w:color="auto"/>
            <w:right w:val="none" w:sz="0" w:space="0" w:color="auto"/>
          </w:divBdr>
          <w:divsChild>
            <w:div w:id="1379016388">
              <w:marLeft w:val="0"/>
              <w:marRight w:val="0"/>
              <w:marTop w:val="0"/>
              <w:marBottom w:val="0"/>
              <w:divBdr>
                <w:top w:val="none" w:sz="0" w:space="0" w:color="auto"/>
                <w:left w:val="none" w:sz="0" w:space="0" w:color="auto"/>
                <w:bottom w:val="none" w:sz="0" w:space="0" w:color="auto"/>
                <w:right w:val="none" w:sz="0" w:space="0" w:color="auto"/>
              </w:divBdr>
            </w:div>
          </w:divsChild>
        </w:div>
        <w:div w:id="1845895834">
          <w:marLeft w:val="0"/>
          <w:marRight w:val="0"/>
          <w:marTop w:val="0"/>
          <w:marBottom w:val="0"/>
          <w:divBdr>
            <w:top w:val="none" w:sz="0" w:space="0" w:color="auto"/>
            <w:left w:val="none" w:sz="0" w:space="0" w:color="auto"/>
            <w:bottom w:val="none" w:sz="0" w:space="0" w:color="auto"/>
            <w:right w:val="none" w:sz="0" w:space="0" w:color="auto"/>
          </w:divBdr>
          <w:divsChild>
            <w:div w:id="16614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0436">
      <w:bodyDiv w:val="1"/>
      <w:marLeft w:val="0"/>
      <w:marRight w:val="0"/>
      <w:marTop w:val="0"/>
      <w:marBottom w:val="0"/>
      <w:divBdr>
        <w:top w:val="none" w:sz="0" w:space="0" w:color="auto"/>
        <w:left w:val="none" w:sz="0" w:space="0" w:color="auto"/>
        <w:bottom w:val="none" w:sz="0" w:space="0" w:color="auto"/>
        <w:right w:val="none" w:sz="0" w:space="0" w:color="auto"/>
      </w:divBdr>
      <w:divsChild>
        <w:div w:id="169369499">
          <w:marLeft w:val="0"/>
          <w:marRight w:val="0"/>
          <w:marTop w:val="0"/>
          <w:marBottom w:val="0"/>
          <w:divBdr>
            <w:top w:val="none" w:sz="0" w:space="0" w:color="auto"/>
            <w:left w:val="none" w:sz="0" w:space="0" w:color="auto"/>
            <w:bottom w:val="none" w:sz="0" w:space="0" w:color="auto"/>
            <w:right w:val="none" w:sz="0" w:space="0" w:color="auto"/>
          </w:divBdr>
        </w:div>
        <w:div w:id="234978625">
          <w:marLeft w:val="0"/>
          <w:marRight w:val="0"/>
          <w:marTop w:val="0"/>
          <w:marBottom w:val="0"/>
          <w:divBdr>
            <w:top w:val="none" w:sz="0" w:space="0" w:color="auto"/>
            <w:left w:val="none" w:sz="0" w:space="0" w:color="auto"/>
            <w:bottom w:val="none" w:sz="0" w:space="0" w:color="auto"/>
            <w:right w:val="none" w:sz="0" w:space="0" w:color="auto"/>
          </w:divBdr>
        </w:div>
        <w:div w:id="274531754">
          <w:marLeft w:val="0"/>
          <w:marRight w:val="0"/>
          <w:marTop w:val="0"/>
          <w:marBottom w:val="0"/>
          <w:divBdr>
            <w:top w:val="none" w:sz="0" w:space="0" w:color="auto"/>
            <w:left w:val="none" w:sz="0" w:space="0" w:color="auto"/>
            <w:bottom w:val="none" w:sz="0" w:space="0" w:color="auto"/>
            <w:right w:val="none" w:sz="0" w:space="0" w:color="auto"/>
          </w:divBdr>
        </w:div>
        <w:div w:id="497842811">
          <w:marLeft w:val="0"/>
          <w:marRight w:val="0"/>
          <w:marTop w:val="0"/>
          <w:marBottom w:val="0"/>
          <w:divBdr>
            <w:top w:val="none" w:sz="0" w:space="0" w:color="auto"/>
            <w:left w:val="none" w:sz="0" w:space="0" w:color="auto"/>
            <w:bottom w:val="none" w:sz="0" w:space="0" w:color="auto"/>
            <w:right w:val="none" w:sz="0" w:space="0" w:color="auto"/>
          </w:divBdr>
        </w:div>
        <w:div w:id="511845162">
          <w:marLeft w:val="0"/>
          <w:marRight w:val="0"/>
          <w:marTop w:val="0"/>
          <w:marBottom w:val="0"/>
          <w:divBdr>
            <w:top w:val="none" w:sz="0" w:space="0" w:color="auto"/>
            <w:left w:val="none" w:sz="0" w:space="0" w:color="auto"/>
            <w:bottom w:val="none" w:sz="0" w:space="0" w:color="auto"/>
            <w:right w:val="none" w:sz="0" w:space="0" w:color="auto"/>
          </w:divBdr>
        </w:div>
        <w:div w:id="530529773">
          <w:marLeft w:val="0"/>
          <w:marRight w:val="0"/>
          <w:marTop w:val="0"/>
          <w:marBottom w:val="0"/>
          <w:divBdr>
            <w:top w:val="none" w:sz="0" w:space="0" w:color="auto"/>
            <w:left w:val="none" w:sz="0" w:space="0" w:color="auto"/>
            <w:bottom w:val="none" w:sz="0" w:space="0" w:color="auto"/>
            <w:right w:val="none" w:sz="0" w:space="0" w:color="auto"/>
          </w:divBdr>
        </w:div>
        <w:div w:id="659625998">
          <w:marLeft w:val="0"/>
          <w:marRight w:val="0"/>
          <w:marTop w:val="0"/>
          <w:marBottom w:val="0"/>
          <w:divBdr>
            <w:top w:val="none" w:sz="0" w:space="0" w:color="auto"/>
            <w:left w:val="none" w:sz="0" w:space="0" w:color="auto"/>
            <w:bottom w:val="none" w:sz="0" w:space="0" w:color="auto"/>
            <w:right w:val="none" w:sz="0" w:space="0" w:color="auto"/>
          </w:divBdr>
        </w:div>
        <w:div w:id="662516034">
          <w:marLeft w:val="0"/>
          <w:marRight w:val="0"/>
          <w:marTop w:val="0"/>
          <w:marBottom w:val="0"/>
          <w:divBdr>
            <w:top w:val="none" w:sz="0" w:space="0" w:color="auto"/>
            <w:left w:val="none" w:sz="0" w:space="0" w:color="auto"/>
            <w:bottom w:val="none" w:sz="0" w:space="0" w:color="auto"/>
            <w:right w:val="none" w:sz="0" w:space="0" w:color="auto"/>
          </w:divBdr>
        </w:div>
        <w:div w:id="691147769">
          <w:marLeft w:val="0"/>
          <w:marRight w:val="0"/>
          <w:marTop w:val="0"/>
          <w:marBottom w:val="0"/>
          <w:divBdr>
            <w:top w:val="none" w:sz="0" w:space="0" w:color="auto"/>
            <w:left w:val="none" w:sz="0" w:space="0" w:color="auto"/>
            <w:bottom w:val="none" w:sz="0" w:space="0" w:color="auto"/>
            <w:right w:val="none" w:sz="0" w:space="0" w:color="auto"/>
          </w:divBdr>
        </w:div>
        <w:div w:id="722172461">
          <w:marLeft w:val="0"/>
          <w:marRight w:val="0"/>
          <w:marTop w:val="0"/>
          <w:marBottom w:val="0"/>
          <w:divBdr>
            <w:top w:val="none" w:sz="0" w:space="0" w:color="auto"/>
            <w:left w:val="none" w:sz="0" w:space="0" w:color="auto"/>
            <w:bottom w:val="none" w:sz="0" w:space="0" w:color="auto"/>
            <w:right w:val="none" w:sz="0" w:space="0" w:color="auto"/>
          </w:divBdr>
        </w:div>
        <w:div w:id="733822395">
          <w:marLeft w:val="0"/>
          <w:marRight w:val="0"/>
          <w:marTop w:val="0"/>
          <w:marBottom w:val="0"/>
          <w:divBdr>
            <w:top w:val="none" w:sz="0" w:space="0" w:color="auto"/>
            <w:left w:val="none" w:sz="0" w:space="0" w:color="auto"/>
            <w:bottom w:val="none" w:sz="0" w:space="0" w:color="auto"/>
            <w:right w:val="none" w:sz="0" w:space="0" w:color="auto"/>
          </w:divBdr>
        </w:div>
        <w:div w:id="789205724">
          <w:marLeft w:val="0"/>
          <w:marRight w:val="0"/>
          <w:marTop w:val="0"/>
          <w:marBottom w:val="0"/>
          <w:divBdr>
            <w:top w:val="none" w:sz="0" w:space="0" w:color="auto"/>
            <w:left w:val="none" w:sz="0" w:space="0" w:color="auto"/>
            <w:bottom w:val="none" w:sz="0" w:space="0" w:color="auto"/>
            <w:right w:val="none" w:sz="0" w:space="0" w:color="auto"/>
          </w:divBdr>
        </w:div>
        <w:div w:id="915045623">
          <w:marLeft w:val="0"/>
          <w:marRight w:val="0"/>
          <w:marTop w:val="0"/>
          <w:marBottom w:val="0"/>
          <w:divBdr>
            <w:top w:val="none" w:sz="0" w:space="0" w:color="auto"/>
            <w:left w:val="none" w:sz="0" w:space="0" w:color="auto"/>
            <w:bottom w:val="none" w:sz="0" w:space="0" w:color="auto"/>
            <w:right w:val="none" w:sz="0" w:space="0" w:color="auto"/>
          </w:divBdr>
        </w:div>
        <w:div w:id="966737391">
          <w:marLeft w:val="0"/>
          <w:marRight w:val="0"/>
          <w:marTop w:val="0"/>
          <w:marBottom w:val="0"/>
          <w:divBdr>
            <w:top w:val="none" w:sz="0" w:space="0" w:color="auto"/>
            <w:left w:val="none" w:sz="0" w:space="0" w:color="auto"/>
            <w:bottom w:val="none" w:sz="0" w:space="0" w:color="auto"/>
            <w:right w:val="none" w:sz="0" w:space="0" w:color="auto"/>
          </w:divBdr>
        </w:div>
        <w:div w:id="981737483">
          <w:marLeft w:val="0"/>
          <w:marRight w:val="0"/>
          <w:marTop w:val="0"/>
          <w:marBottom w:val="0"/>
          <w:divBdr>
            <w:top w:val="none" w:sz="0" w:space="0" w:color="auto"/>
            <w:left w:val="none" w:sz="0" w:space="0" w:color="auto"/>
            <w:bottom w:val="none" w:sz="0" w:space="0" w:color="auto"/>
            <w:right w:val="none" w:sz="0" w:space="0" w:color="auto"/>
          </w:divBdr>
        </w:div>
        <w:div w:id="1047877732">
          <w:marLeft w:val="0"/>
          <w:marRight w:val="0"/>
          <w:marTop w:val="0"/>
          <w:marBottom w:val="0"/>
          <w:divBdr>
            <w:top w:val="none" w:sz="0" w:space="0" w:color="auto"/>
            <w:left w:val="none" w:sz="0" w:space="0" w:color="auto"/>
            <w:bottom w:val="none" w:sz="0" w:space="0" w:color="auto"/>
            <w:right w:val="none" w:sz="0" w:space="0" w:color="auto"/>
          </w:divBdr>
        </w:div>
        <w:div w:id="1085539717">
          <w:marLeft w:val="0"/>
          <w:marRight w:val="0"/>
          <w:marTop w:val="0"/>
          <w:marBottom w:val="0"/>
          <w:divBdr>
            <w:top w:val="none" w:sz="0" w:space="0" w:color="auto"/>
            <w:left w:val="none" w:sz="0" w:space="0" w:color="auto"/>
            <w:bottom w:val="none" w:sz="0" w:space="0" w:color="auto"/>
            <w:right w:val="none" w:sz="0" w:space="0" w:color="auto"/>
          </w:divBdr>
        </w:div>
        <w:div w:id="1234698731">
          <w:marLeft w:val="0"/>
          <w:marRight w:val="0"/>
          <w:marTop w:val="0"/>
          <w:marBottom w:val="0"/>
          <w:divBdr>
            <w:top w:val="none" w:sz="0" w:space="0" w:color="auto"/>
            <w:left w:val="none" w:sz="0" w:space="0" w:color="auto"/>
            <w:bottom w:val="none" w:sz="0" w:space="0" w:color="auto"/>
            <w:right w:val="none" w:sz="0" w:space="0" w:color="auto"/>
          </w:divBdr>
        </w:div>
        <w:div w:id="1324356016">
          <w:marLeft w:val="0"/>
          <w:marRight w:val="0"/>
          <w:marTop w:val="0"/>
          <w:marBottom w:val="0"/>
          <w:divBdr>
            <w:top w:val="none" w:sz="0" w:space="0" w:color="auto"/>
            <w:left w:val="none" w:sz="0" w:space="0" w:color="auto"/>
            <w:bottom w:val="none" w:sz="0" w:space="0" w:color="auto"/>
            <w:right w:val="none" w:sz="0" w:space="0" w:color="auto"/>
          </w:divBdr>
        </w:div>
        <w:div w:id="1375689348">
          <w:marLeft w:val="0"/>
          <w:marRight w:val="0"/>
          <w:marTop w:val="0"/>
          <w:marBottom w:val="0"/>
          <w:divBdr>
            <w:top w:val="none" w:sz="0" w:space="0" w:color="auto"/>
            <w:left w:val="none" w:sz="0" w:space="0" w:color="auto"/>
            <w:bottom w:val="none" w:sz="0" w:space="0" w:color="auto"/>
            <w:right w:val="none" w:sz="0" w:space="0" w:color="auto"/>
          </w:divBdr>
        </w:div>
        <w:div w:id="1453285780">
          <w:marLeft w:val="0"/>
          <w:marRight w:val="0"/>
          <w:marTop w:val="0"/>
          <w:marBottom w:val="0"/>
          <w:divBdr>
            <w:top w:val="none" w:sz="0" w:space="0" w:color="auto"/>
            <w:left w:val="none" w:sz="0" w:space="0" w:color="auto"/>
            <w:bottom w:val="none" w:sz="0" w:space="0" w:color="auto"/>
            <w:right w:val="none" w:sz="0" w:space="0" w:color="auto"/>
          </w:divBdr>
        </w:div>
        <w:div w:id="1491873997">
          <w:marLeft w:val="0"/>
          <w:marRight w:val="0"/>
          <w:marTop w:val="0"/>
          <w:marBottom w:val="0"/>
          <w:divBdr>
            <w:top w:val="none" w:sz="0" w:space="0" w:color="auto"/>
            <w:left w:val="none" w:sz="0" w:space="0" w:color="auto"/>
            <w:bottom w:val="none" w:sz="0" w:space="0" w:color="auto"/>
            <w:right w:val="none" w:sz="0" w:space="0" w:color="auto"/>
          </w:divBdr>
        </w:div>
        <w:div w:id="1580289312">
          <w:marLeft w:val="0"/>
          <w:marRight w:val="0"/>
          <w:marTop w:val="0"/>
          <w:marBottom w:val="0"/>
          <w:divBdr>
            <w:top w:val="none" w:sz="0" w:space="0" w:color="auto"/>
            <w:left w:val="none" w:sz="0" w:space="0" w:color="auto"/>
            <w:bottom w:val="none" w:sz="0" w:space="0" w:color="auto"/>
            <w:right w:val="none" w:sz="0" w:space="0" w:color="auto"/>
          </w:divBdr>
        </w:div>
        <w:div w:id="1588539994">
          <w:marLeft w:val="0"/>
          <w:marRight w:val="0"/>
          <w:marTop w:val="0"/>
          <w:marBottom w:val="0"/>
          <w:divBdr>
            <w:top w:val="none" w:sz="0" w:space="0" w:color="auto"/>
            <w:left w:val="none" w:sz="0" w:space="0" w:color="auto"/>
            <w:bottom w:val="none" w:sz="0" w:space="0" w:color="auto"/>
            <w:right w:val="none" w:sz="0" w:space="0" w:color="auto"/>
          </w:divBdr>
        </w:div>
        <w:div w:id="1726905466">
          <w:marLeft w:val="0"/>
          <w:marRight w:val="0"/>
          <w:marTop w:val="0"/>
          <w:marBottom w:val="0"/>
          <w:divBdr>
            <w:top w:val="none" w:sz="0" w:space="0" w:color="auto"/>
            <w:left w:val="none" w:sz="0" w:space="0" w:color="auto"/>
            <w:bottom w:val="none" w:sz="0" w:space="0" w:color="auto"/>
            <w:right w:val="none" w:sz="0" w:space="0" w:color="auto"/>
          </w:divBdr>
        </w:div>
        <w:div w:id="1758356127">
          <w:marLeft w:val="0"/>
          <w:marRight w:val="0"/>
          <w:marTop w:val="0"/>
          <w:marBottom w:val="0"/>
          <w:divBdr>
            <w:top w:val="none" w:sz="0" w:space="0" w:color="auto"/>
            <w:left w:val="none" w:sz="0" w:space="0" w:color="auto"/>
            <w:bottom w:val="none" w:sz="0" w:space="0" w:color="auto"/>
            <w:right w:val="none" w:sz="0" w:space="0" w:color="auto"/>
          </w:divBdr>
        </w:div>
        <w:div w:id="1880240002">
          <w:marLeft w:val="0"/>
          <w:marRight w:val="0"/>
          <w:marTop w:val="0"/>
          <w:marBottom w:val="0"/>
          <w:divBdr>
            <w:top w:val="none" w:sz="0" w:space="0" w:color="auto"/>
            <w:left w:val="none" w:sz="0" w:space="0" w:color="auto"/>
            <w:bottom w:val="none" w:sz="0" w:space="0" w:color="auto"/>
            <w:right w:val="none" w:sz="0" w:space="0" w:color="auto"/>
          </w:divBdr>
        </w:div>
        <w:div w:id="2019849383">
          <w:marLeft w:val="0"/>
          <w:marRight w:val="0"/>
          <w:marTop w:val="0"/>
          <w:marBottom w:val="0"/>
          <w:divBdr>
            <w:top w:val="none" w:sz="0" w:space="0" w:color="auto"/>
            <w:left w:val="none" w:sz="0" w:space="0" w:color="auto"/>
            <w:bottom w:val="none" w:sz="0" w:space="0" w:color="auto"/>
            <w:right w:val="none" w:sz="0" w:space="0" w:color="auto"/>
          </w:divBdr>
        </w:div>
        <w:div w:id="2046834218">
          <w:marLeft w:val="0"/>
          <w:marRight w:val="0"/>
          <w:marTop w:val="0"/>
          <w:marBottom w:val="0"/>
          <w:divBdr>
            <w:top w:val="none" w:sz="0" w:space="0" w:color="auto"/>
            <w:left w:val="none" w:sz="0" w:space="0" w:color="auto"/>
            <w:bottom w:val="none" w:sz="0" w:space="0" w:color="auto"/>
            <w:right w:val="none" w:sz="0" w:space="0" w:color="auto"/>
          </w:divBdr>
        </w:div>
        <w:div w:id="2084255765">
          <w:marLeft w:val="0"/>
          <w:marRight w:val="0"/>
          <w:marTop w:val="0"/>
          <w:marBottom w:val="0"/>
          <w:divBdr>
            <w:top w:val="none" w:sz="0" w:space="0" w:color="auto"/>
            <w:left w:val="none" w:sz="0" w:space="0" w:color="auto"/>
            <w:bottom w:val="none" w:sz="0" w:space="0" w:color="auto"/>
            <w:right w:val="none" w:sz="0" w:space="0" w:color="auto"/>
          </w:divBdr>
        </w:div>
      </w:divsChild>
    </w:div>
    <w:div w:id="140730092">
      <w:bodyDiv w:val="1"/>
      <w:marLeft w:val="0"/>
      <w:marRight w:val="0"/>
      <w:marTop w:val="0"/>
      <w:marBottom w:val="0"/>
      <w:divBdr>
        <w:top w:val="none" w:sz="0" w:space="0" w:color="auto"/>
        <w:left w:val="none" w:sz="0" w:space="0" w:color="auto"/>
        <w:bottom w:val="none" w:sz="0" w:space="0" w:color="auto"/>
        <w:right w:val="none" w:sz="0" w:space="0" w:color="auto"/>
      </w:divBdr>
    </w:div>
    <w:div w:id="193078389">
      <w:bodyDiv w:val="1"/>
      <w:marLeft w:val="0"/>
      <w:marRight w:val="0"/>
      <w:marTop w:val="0"/>
      <w:marBottom w:val="0"/>
      <w:divBdr>
        <w:top w:val="none" w:sz="0" w:space="0" w:color="auto"/>
        <w:left w:val="none" w:sz="0" w:space="0" w:color="auto"/>
        <w:bottom w:val="none" w:sz="0" w:space="0" w:color="auto"/>
        <w:right w:val="none" w:sz="0" w:space="0" w:color="auto"/>
      </w:divBdr>
    </w:div>
    <w:div w:id="228224762">
      <w:bodyDiv w:val="1"/>
      <w:marLeft w:val="0"/>
      <w:marRight w:val="0"/>
      <w:marTop w:val="0"/>
      <w:marBottom w:val="0"/>
      <w:divBdr>
        <w:top w:val="none" w:sz="0" w:space="0" w:color="auto"/>
        <w:left w:val="none" w:sz="0" w:space="0" w:color="auto"/>
        <w:bottom w:val="none" w:sz="0" w:space="0" w:color="auto"/>
        <w:right w:val="none" w:sz="0" w:space="0" w:color="auto"/>
      </w:divBdr>
    </w:div>
    <w:div w:id="306477158">
      <w:bodyDiv w:val="1"/>
      <w:marLeft w:val="0"/>
      <w:marRight w:val="0"/>
      <w:marTop w:val="0"/>
      <w:marBottom w:val="0"/>
      <w:divBdr>
        <w:top w:val="none" w:sz="0" w:space="0" w:color="auto"/>
        <w:left w:val="none" w:sz="0" w:space="0" w:color="auto"/>
        <w:bottom w:val="none" w:sz="0" w:space="0" w:color="auto"/>
        <w:right w:val="none" w:sz="0" w:space="0" w:color="auto"/>
      </w:divBdr>
    </w:div>
    <w:div w:id="396783890">
      <w:bodyDiv w:val="1"/>
      <w:marLeft w:val="0"/>
      <w:marRight w:val="0"/>
      <w:marTop w:val="0"/>
      <w:marBottom w:val="0"/>
      <w:divBdr>
        <w:top w:val="none" w:sz="0" w:space="0" w:color="auto"/>
        <w:left w:val="none" w:sz="0" w:space="0" w:color="auto"/>
        <w:bottom w:val="none" w:sz="0" w:space="0" w:color="auto"/>
        <w:right w:val="none" w:sz="0" w:space="0" w:color="auto"/>
      </w:divBdr>
      <w:divsChild>
        <w:div w:id="937907823">
          <w:marLeft w:val="0"/>
          <w:marRight w:val="0"/>
          <w:marTop w:val="0"/>
          <w:marBottom w:val="0"/>
          <w:divBdr>
            <w:top w:val="none" w:sz="0" w:space="0" w:color="auto"/>
            <w:left w:val="none" w:sz="0" w:space="0" w:color="auto"/>
            <w:bottom w:val="none" w:sz="0" w:space="0" w:color="auto"/>
            <w:right w:val="none" w:sz="0" w:space="0" w:color="auto"/>
          </w:divBdr>
        </w:div>
        <w:div w:id="1002583984">
          <w:marLeft w:val="0"/>
          <w:marRight w:val="0"/>
          <w:marTop w:val="0"/>
          <w:marBottom w:val="0"/>
          <w:divBdr>
            <w:top w:val="none" w:sz="0" w:space="0" w:color="auto"/>
            <w:left w:val="none" w:sz="0" w:space="0" w:color="auto"/>
            <w:bottom w:val="none" w:sz="0" w:space="0" w:color="auto"/>
            <w:right w:val="none" w:sz="0" w:space="0" w:color="auto"/>
          </w:divBdr>
        </w:div>
        <w:div w:id="1411661537">
          <w:marLeft w:val="0"/>
          <w:marRight w:val="0"/>
          <w:marTop w:val="0"/>
          <w:marBottom w:val="0"/>
          <w:divBdr>
            <w:top w:val="none" w:sz="0" w:space="0" w:color="auto"/>
            <w:left w:val="none" w:sz="0" w:space="0" w:color="auto"/>
            <w:bottom w:val="none" w:sz="0" w:space="0" w:color="auto"/>
            <w:right w:val="none" w:sz="0" w:space="0" w:color="auto"/>
          </w:divBdr>
        </w:div>
        <w:div w:id="1667901363">
          <w:marLeft w:val="0"/>
          <w:marRight w:val="0"/>
          <w:marTop w:val="0"/>
          <w:marBottom w:val="0"/>
          <w:divBdr>
            <w:top w:val="none" w:sz="0" w:space="0" w:color="auto"/>
            <w:left w:val="none" w:sz="0" w:space="0" w:color="auto"/>
            <w:bottom w:val="none" w:sz="0" w:space="0" w:color="auto"/>
            <w:right w:val="none" w:sz="0" w:space="0" w:color="auto"/>
          </w:divBdr>
        </w:div>
        <w:div w:id="1780685859">
          <w:marLeft w:val="0"/>
          <w:marRight w:val="0"/>
          <w:marTop w:val="0"/>
          <w:marBottom w:val="0"/>
          <w:divBdr>
            <w:top w:val="none" w:sz="0" w:space="0" w:color="auto"/>
            <w:left w:val="none" w:sz="0" w:space="0" w:color="auto"/>
            <w:bottom w:val="none" w:sz="0" w:space="0" w:color="auto"/>
            <w:right w:val="none" w:sz="0" w:space="0" w:color="auto"/>
          </w:divBdr>
        </w:div>
        <w:div w:id="2110152626">
          <w:marLeft w:val="0"/>
          <w:marRight w:val="0"/>
          <w:marTop w:val="0"/>
          <w:marBottom w:val="0"/>
          <w:divBdr>
            <w:top w:val="none" w:sz="0" w:space="0" w:color="auto"/>
            <w:left w:val="none" w:sz="0" w:space="0" w:color="auto"/>
            <w:bottom w:val="none" w:sz="0" w:space="0" w:color="auto"/>
            <w:right w:val="none" w:sz="0" w:space="0" w:color="auto"/>
          </w:divBdr>
        </w:div>
        <w:div w:id="2117020258">
          <w:marLeft w:val="0"/>
          <w:marRight w:val="0"/>
          <w:marTop w:val="0"/>
          <w:marBottom w:val="0"/>
          <w:divBdr>
            <w:top w:val="none" w:sz="0" w:space="0" w:color="auto"/>
            <w:left w:val="none" w:sz="0" w:space="0" w:color="auto"/>
            <w:bottom w:val="none" w:sz="0" w:space="0" w:color="auto"/>
            <w:right w:val="none" w:sz="0" w:space="0" w:color="auto"/>
          </w:divBdr>
        </w:div>
      </w:divsChild>
    </w:div>
    <w:div w:id="720056920">
      <w:bodyDiv w:val="1"/>
      <w:marLeft w:val="0"/>
      <w:marRight w:val="0"/>
      <w:marTop w:val="0"/>
      <w:marBottom w:val="0"/>
      <w:divBdr>
        <w:top w:val="none" w:sz="0" w:space="0" w:color="auto"/>
        <w:left w:val="none" w:sz="0" w:space="0" w:color="auto"/>
        <w:bottom w:val="none" w:sz="0" w:space="0" w:color="auto"/>
        <w:right w:val="none" w:sz="0" w:space="0" w:color="auto"/>
      </w:divBdr>
      <w:divsChild>
        <w:div w:id="350840343">
          <w:marLeft w:val="0"/>
          <w:marRight w:val="0"/>
          <w:marTop w:val="0"/>
          <w:marBottom w:val="0"/>
          <w:divBdr>
            <w:top w:val="none" w:sz="0" w:space="0" w:color="auto"/>
            <w:left w:val="none" w:sz="0" w:space="0" w:color="auto"/>
            <w:bottom w:val="none" w:sz="0" w:space="0" w:color="auto"/>
            <w:right w:val="none" w:sz="0" w:space="0" w:color="auto"/>
          </w:divBdr>
        </w:div>
        <w:div w:id="391274483">
          <w:marLeft w:val="0"/>
          <w:marRight w:val="0"/>
          <w:marTop w:val="0"/>
          <w:marBottom w:val="0"/>
          <w:divBdr>
            <w:top w:val="none" w:sz="0" w:space="0" w:color="auto"/>
            <w:left w:val="none" w:sz="0" w:space="0" w:color="auto"/>
            <w:bottom w:val="none" w:sz="0" w:space="0" w:color="auto"/>
            <w:right w:val="none" w:sz="0" w:space="0" w:color="auto"/>
          </w:divBdr>
        </w:div>
      </w:divsChild>
    </w:div>
    <w:div w:id="877359616">
      <w:bodyDiv w:val="1"/>
      <w:marLeft w:val="0"/>
      <w:marRight w:val="0"/>
      <w:marTop w:val="0"/>
      <w:marBottom w:val="0"/>
      <w:divBdr>
        <w:top w:val="none" w:sz="0" w:space="0" w:color="auto"/>
        <w:left w:val="none" w:sz="0" w:space="0" w:color="auto"/>
        <w:bottom w:val="none" w:sz="0" w:space="0" w:color="auto"/>
        <w:right w:val="none" w:sz="0" w:space="0" w:color="auto"/>
      </w:divBdr>
    </w:div>
    <w:div w:id="919678376">
      <w:bodyDiv w:val="1"/>
      <w:marLeft w:val="0"/>
      <w:marRight w:val="0"/>
      <w:marTop w:val="0"/>
      <w:marBottom w:val="0"/>
      <w:divBdr>
        <w:top w:val="none" w:sz="0" w:space="0" w:color="auto"/>
        <w:left w:val="none" w:sz="0" w:space="0" w:color="auto"/>
        <w:bottom w:val="none" w:sz="0" w:space="0" w:color="auto"/>
        <w:right w:val="none" w:sz="0" w:space="0" w:color="auto"/>
      </w:divBdr>
    </w:div>
    <w:div w:id="981228830">
      <w:bodyDiv w:val="1"/>
      <w:marLeft w:val="0"/>
      <w:marRight w:val="0"/>
      <w:marTop w:val="0"/>
      <w:marBottom w:val="0"/>
      <w:divBdr>
        <w:top w:val="none" w:sz="0" w:space="0" w:color="auto"/>
        <w:left w:val="none" w:sz="0" w:space="0" w:color="auto"/>
        <w:bottom w:val="none" w:sz="0" w:space="0" w:color="auto"/>
        <w:right w:val="none" w:sz="0" w:space="0" w:color="auto"/>
      </w:divBdr>
      <w:divsChild>
        <w:div w:id="165754853">
          <w:marLeft w:val="0"/>
          <w:marRight w:val="0"/>
          <w:marTop w:val="0"/>
          <w:marBottom w:val="0"/>
          <w:divBdr>
            <w:top w:val="none" w:sz="0" w:space="0" w:color="auto"/>
            <w:left w:val="none" w:sz="0" w:space="0" w:color="auto"/>
            <w:bottom w:val="none" w:sz="0" w:space="0" w:color="auto"/>
            <w:right w:val="none" w:sz="0" w:space="0" w:color="auto"/>
          </w:divBdr>
        </w:div>
        <w:div w:id="324862016">
          <w:marLeft w:val="0"/>
          <w:marRight w:val="0"/>
          <w:marTop w:val="0"/>
          <w:marBottom w:val="0"/>
          <w:divBdr>
            <w:top w:val="none" w:sz="0" w:space="0" w:color="auto"/>
            <w:left w:val="none" w:sz="0" w:space="0" w:color="auto"/>
            <w:bottom w:val="none" w:sz="0" w:space="0" w:color="auto"/>
            <w:right w:val="none" w:sz="0" w:space="0" w:color="auto"/>
          </w:divBdr>
          <w:divsChild>
            <w:div w:id="1518932950">
              <w:marLeft w:val="0"/>
              <w:marRight w:val="0"/>
              <w:marTop w:val="0"/>
              <w:marBottom w:val="0"/>
              <w:divBdr>
                <w:top w:val="none" w:sz="0" w:space="0" w:color="auto"/>
                <w:left w:val="none" w:sz="0" w:space="0" w:color="auto"/>
                <w:bottom w:val="none" w:sz="0" w:space="0" w:color="auto"/>
                <w:right w:val="none" w:sz="0" w:space="0" w:color="auto"/>
              </w:divBdr>
            </w:div>
          </w:divsChild>
        </w:div>
        <w:div w:id="1754354028">
          <w:marLeft w:val="0"/>
          <w:marRight w:val="0"/>
          <w:marTop w:val="0"/>
          <w:marBottom w:val="0"/>
          <w:divBdr>
            <w:top w:val="none" w:sz="0" w:space="0" w:color="auto"/>
            <w:left w:val="none" w:sz="0" w:space="0" w:color="auto"/>
            <w:bottom w:val="none" w:sz="0" w:space="0" w:color="auto"/>
            <w:right w:val="none" w:sz="0" w:space="0" w:color="auto"/>
          </w:divBdr>
        </w:div>
        <w:div w:id="2083023654">
          <w:marLeft w:val="0"/>
          <w:marRight w:val="0"/>
          <w:marTop w:val="0"/>
          <w:marBottom w:val="0"/>
          <w:divBdr>
            <w:top w:val="none" w:sz="0" w:space="0" w:color="auto"/>
            <w:left w:val="none" w:sz="0" w:space="0" w:color="auto"/>
            <w:bottom w:val="none" w:sz="0" w:space="0" w:color="auto"/>
            <w:right w:val="none" w:sz="0" w:space="0" w:color="auto"/>
          </w:divBdr>
          <w:divsChild>
            <w:div w:id="1363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01664">
      <w:bodyDiv w:val="1"/>
      <w:marLeft w:val="0"/>
      <w:marRight w:val="0"/>
      <w:marTop w:val="0"/>
      <w:marBottom w:val="0"/>
      <w:divBdr>
        <w:top w:val="none" w:sz="0" w:space="0" w:color="auto"/>
        <w:left w:val="none" w:sz="0" w:space="0" w:color="auto"/>
        <w:bottom w:val="none" w:sz="0" w:space="0" w:color="auto"/>
        <w:right w:val="none" w:sz="0" w:space="0" w:color="auto"/>
      </w:divBdr>
    </w:div>
    <w:div w:id="1055737854">
      <w:bodyDiv w:val="1"/>
      <w:marLeft w:val="0"/>
      <w:marRight w:val="0"/>
      <w:marTop w:val="0"/>
      <w:marBottom w:val="0"/>
      <w:divBdr>
        <w:top w:val="none" w:sz="0" w:space="0" w:color="auto"/>
        <w:left w:val="none" w:sz="0" w:space="0" w:color="auto"/>
        <w:bottom w:val="none" w:sz="0" w:space="0" w:color="auto"/>
        <w:right w:val="none" w:sz="0" w:space="0" w:color="auto"/>
      </w:divBdr>
      <w:divsChild>
        <w:div w:id="220211004">
          <w:marLeft w:val="0"/>
          <w:marRight w:val="0"/>
          <w:marTop w:val="0"/>
          <w:marBottom w:val="0"/>
          <w:divBdr>
            <w:top w:val="none" w:sz="0" w:space="0" w:color="auto"/>
            <w:left w:val="none" w:sz="0" w:space="0" w:color="auto"/>
            <w:bottom w:val="none" w:sz="0" w:space="0" w:color="auto"/>
            <w:right w:val="none" w:sz="0" w:space="0" w:color="auto"/>
          </w:divBdr>
          <w:divsChild>
            <w:div w:id="146559235">
              <w:marLeft w:val="0"/>
              <w:marRight w:val="0"/>
              <w:marTop w:val="0"/>
              <w:marBottom w:val="0"/>
              <w:divBdr>
                <w:top w:val="none" w:sz="0" w:space="0" w:color="auto"/>
                <w:left w:val="none" w:sz="0" w:space="0" w:color="auto"/>
                <w:bottom w:val="none" w:sz="0" w:space="0" w:color="auto"/>
                <w:right w:val="none" w:sz="0" w:space="0" w:color="auto"/>
              </w:divBdr>
              <w:divsChild>
                <w:div w:id="1641576930">
                  <w:marLeft w:val="0"/>
                  <w:marRight w:val="0"/>
                  <w:marTop w:val="0"/>
                  <w:marBottom w:val="0"/>
                  <w:divBdr>
                    <w:top w:val="none" w:sz="0" w:space="0" w:color="auto"/>
                    <w:left w:val="none" w:sz="0" w:space="0" w:color="auto"/>
                    <w:bottom w:val="none" w:sz="0" w:space="0" w:color="auto"/>
                    <w:right w:val="none" w:sz="0" w:space="0" w:color="auto"/>
                  </w:divBdr>
                </w:div>
              </w:divsChild>
            </w:div>
            <w:div w:id="253368704">
              <w:marLeft w:val="0"/>
              <w:marRight w:val="0"/>
              <w:marTop w:val="0"/>
              <w:marBottom w:val="0"/>
              <w:divBdr>
                <w:top w:val="none" w:sz="0" w:space="0" w:color="auto"/>
                <w:left w:val="none" w:sz="0" w:space="0" w:color="auto"/>
                <w:bottom w:val="none" w:sz="0" w:space="0" w:color="auto"/>
                <w:right w:val="none" w:sz="0" w:space="0" w:color="auto"/>
              </w:divBdr>
              <w:divsChild>
                <w:div w:id="932664556">
                  <w:marLeft w:val="0"/>
                  <w:marRight w:val="0"/>
                  <w:marTop w:val="0"/>
                  <w:marBottom w:val="0"/>
                  <w:divBdr>
                    <w:top w:val="none" w:sz="0" w:space="0" w:color="auto"/>
                    <w:left w:val="none" w:sz="0" w:space="0" w:color="auto"/>
                    <w:bottom w:val="none" w:sz="0" w:space="0" w:color="auto"/>
                    <w:right w:val="none" w:sz="0" w:space="0" w:color="auto"/>
                  </w:divBdr>
                </w:div>
              </w:divsChild>
            </w:div>
            <w:div w:id="443576051">
              <w:marLeft w:val="0"/>
              <w:marRight w:val="0"/>
              <w:marTop w:val="0"/>
              <w:marBottom w:val="0"/>
              <w:divBdr>
                <w:top w:val="none" w:sz="0" w:space="0" w:color="auto"/>
                <w:left w:val="none" w:sz="0" w:space="0" w:color="auto"/>
                <w:bottom w:val="none" w:sz="0" w:space="0" w:color="auto"/>
                <w:right w:val="none" w:sz="0" w:space="0" w:color="auto"/>
              </w:divBdr>
              <w:divsChild>
                <w:div w:id="1342198190">
                  <w:marLeft w:val="0"/>
                  <w:marRight w:val="0"/>
                  <w:marTop w:val="0"/>
                  <w:marBottom w:val="0"/>
                  <w:divBdr>
                    <w:top w:val="none" w:sz="0" w:space="0" w:color="auto"/>
                    <w:left w:val="none" w:sz="0" w:space="0" w:color="auto"/>
                    <w:bottom w:val="none" w:sz="0" w:space="0" w:color="auto"/>
                    <w:right w:val="none" w:sz="0" w:space="0" w:color="auto"/>
                  </w:divBdr>
                </w:div>
              </w:divsChild>
            </w:div>
            <w:div w:id="888954529">
              <w:marLeft w:val="0"/>
              <w:marRight w:val="0"/>
              <w:marTop w:val="0"/>
              <w:marBottom w:val="0"/>
              <w:divBdr>
                <w:top w:val="none" w:sz="0" w:space="0" w:color="auto"/>
                <w:left w:val="none" w:sz="0" w:space="0" w:color="auto"/>
                <w:bottom w:val="none" w:sz="0" w:space="0" w:color="auto"/>
                <w:right w:val="none" w:sz="0" w:space="0" w:color="auto"/>
              </w:divBdr>
              <w:divsChild>
                <w:div w:id="1410997912">
                  <w:marLeft w:val="0"/>
                  <w:marRight w:val="0"/>
                  <w:marTop w:val="0"/>
                  <w:marBottom w:val="0"/>
                  <w:divBdr>
                    <w:top w:val="none" w:sz="0" w:space="0" w:color="auto"/>
                    <w:left w:val="none" w:sz="0" w:space="0" w:color="auto"/>
                    <w:bottom w:val="none" w:sz="0" w:space="0" w:color="auto"/>
                    <w:right w:val="none" w:sz="0" w:space="0" w:color="auto"/>
                  </w:divBdr>
                </w:div>
              </w:divsChild>
            </w:div>
            <w:div w:id="1538199038">
              <w:marLeft w:val="0"/>
              <w:marRight w:val="0"/>
              <w:marTop w:val="0"/>
              <w:marBottom w:val="0"/>
              <w:divBdr>
                <w:top w:val="none" w:sz="0" w:space="0" w:color="auto"/>
                <w:left w:val="none" w:sz="0" w:space="0" w:color="auto"/>
                <w:bottom w:val="none" w:sz="0" w:space="0" w:color="auto"/>
                <w:right w:val="none" w:sz="0" w:space="0" w:color="auto"/>
              </w:divBdr>
              <w:divsChild>
                <w:div w:id="1855536698">
                  <w:marLeft w:val="0"/>
                  <w:marRight w:val="0"/>
                  <w:marTop w:val="0"/>
                  <w:marBottom w:val="0"/>
                  <w:divBdr>
                    <w:top w:val="none" w:sz="0" w:space="0" w:color="auto"/>
                    <w:left w:val="none" w:sz="0" w:space="0" w:color="auto"/>
                    <w:bottom w:val="none" w:sz="0" w:space="0" w:color="auto"/>
                    <w:right w:val="none" w:sz="0" w:space="0" w:color="auto"/>
                  </w:divBdr>
                </w:div>
              </w:divsChild>
            </w:div>
            <w:div w:id="1910647249">
              <w:marLeft w:val="0"/>
              <w:marRight w:val="0"/>
              <w:marTop w:val="0"/>
              <w:marBottom w:val="0"/>
              <w:divBdr>
                <w:top w:val="none" w:sz="0" w:space="0" w:color="auto"/>
                <w:left w:val="none" w:sz="0" w:space="0" w:color="auto"/>
                <w:bottom w:val="none" w:sz="0" w:space="0" w:color="auto"/>
                <w:right w:val="none" w:sz="0" w:space="0" w:color="auto"/>
              </w:divBdr>
              <w:divsChild>
                <w:div w:id="28855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102961">
      <w:bodyDiv w:val="1"/>
      <w:marLeft w:val="0"/>
      <w:marRight w:val="0"/>
      <w:marTop w:val="0"/>
      <w:marBottom w:val="0"/>
      <w:divBdr>
        <w:top w:val="none" w:sz="0" w:space="0" w:color="auto"/>
        <w:left w:val="none" w:sz="0" w:space="0" w:color="auto"/>
        <w:bottom w:val="none" w:sz="0" w:space="0" w:color="auto"/>
        <w:right w:val="none" w:sz="0" w:space="0" w:color="auto"/>
      </w:divBdr>
      <w:divsChild>
        <w:div w:id="124399419">
          <w:marLeft w:val="0"/>
          <w:marRight w:val="0"/>
          <w:marTop w:val="0"/>
          <w:marBottom w:val="0"/>
          <w:divBdr>
            <w:top w:val="none" w:sz="0" w:space="0" w:color="auto"/>
            <w:left w:val="none" w:sz="0" w:space="0" w:color="auto"/>
            <w:bottom w:val="none" w:sz="0" w:space="0" w:color="auto"/>
            <w:right w:val="none" w:sz="0" w:space="0" w:color="auto"/>
          </w:divBdr>
          <w:divsChild>
            <w:div w:id="1427119189">
              <w:marLeft w:val="0"/>
              <w:marRight w:val="0"/>
              <w:marTop w:val="0"/>
              <w:marBottom w:val="0"/>
              <w:divBdr>
                <w:top w:val="none" w:sz="0" w:space="0" w:color="auto"/>
                <w:left w:val="none" w:sz="0" w:space="0" w:color="auto"/>
                <w:bottom w:val="none" w:sz="0" w:space="0" w:color="auto"/>
                <w:right w:val="none" w:sz="0" w:space="0" w:color="auto"/>
              </w:divBdr>
            </w:div>
          </w:divsChild>
        </w:div>
        <w:div w:id="128397452">
          <w:marLeft w:val="0"/>
          <w:marRight w:val="0"/>
          <w:marTop w:val="0"/>
          <w:marBottom w:val="0"/>
          <w:divBdr>
            <w:top w:val="none" w:sz="0" w:space="0" w:color="auto"/>
            <w:left w:val="none" w:sz="0" w:space="0" w:color="auto"/>
            <w:bottom w:val="none" w:sz="0" w:space="0" w:color="auto"/>
            <w:right w:val="none" w:sz="0" w:space="0" w:color="auto"/>
          </w:divBdr>
          <w:divsChild>
            <w:div w:id="895430446">
              <w:marLeft w:val="0"/>
              <w:marRight w:val="0"/>
              <w:marTop w:val="0"/>
              <w:marBottom w:val="0"/>
              <w:divBdr>
                <w:top w:val="none" w:sz="0" w:space="0" w:color="auto"/>
                <w:left w:val="none" w:sz="0" w:space="0" w:color="auto"/>
                <w:bottom w:val="none" w:sz="0" w:space="0" w:color="auto"/>
                <w:right w:val="none" w:sz="0" w:space="0" w:color="auto"/>
              </w:divBdr>
            </w:div>
          </w:divsChild>
        </w:div>
        <w:div w:id="260382239">
          <w:marLeft w:val="0"/>
          <w:marRight w:val="0"/>
          <w:marTop w:val="0"/>
          <w:marBottom w:val="0"/>
          <w:divBdr>
            <w:top w:val="none" w:sz="0" w:space="0" w:color="auto"/>
            <w:left w:val="none" w:sz="0" w:space="0" w:color="auto"/>
            <w:bottom w:val="none" w:sz="0" w:space="0" w:color="auto"/>
            <w:right w:val="none" w:sz="0" w:space="0" w:color="auto"/>
          </w:divBdr>
          <w:divsChild>
            <w:div w:id="1417050511">
              <w:marLeft w:val="0"/>
              <w:marRight w:val="0"/>
              <w:marTop w:val="0"/>
              <w:marBottom w:val="0"/>
              <w:divBdr>
                <w:top w:val="none" w:sz="0" w:space="0" w:color="auto"/>
                <w:left w:val="none" w:sz="0" w:space="0" w:color="auto"/>
                <w:bottom w:val="none" w:sz="0" w:space="0" w:color="auto"/>
                <w:right w:val="none" w:sz="0" w:space="0" w:color="auto"/>
              </w:divBdr>
            </w:div>
          </w:divsChild>
        </w:div>
        <w:div w:id="308901728">
          <w:marLeft w:val="0"/>
          <w:marRight w:val="0"/>
          <w:marTop w:val="0"/>
          <w:marBottom w:val="0"/>
          <w:divBdr>
            <w:top w:val="none" w:sz="0" w:space="0" w:color="auto"/>
            <w:left w:val="none" w:sz="0" w:space="0" w:color="auto"/>
            <w:bottom w:val="none" w:sz="0" w:space="0" w:color="auto"/>
            <w:right w:val="none" w:sz="0" w:space="0" w:color="auto"/>
          </w:divBdr>
          <w:divsChild>
            <w:div w:id="195049953">
              <w:marLeft w:val="0"/>
              <w:marRight w:val="0"/>
              <w:marTop w:val="0"/>
              <w:marBottom w:val="0"/>
              <w:divBdr>
                <w:top w:val="none" w:sz="0" w:space="0" w:color="auto"/>
                <w:left w:val="none" w:sz="0" w:space="0" w:color="auto"/>
                <w:bottom w:val="none" w:sz="0" w:space="0" w:color="auto"/>
                <w:right w:val="none" w:sz="0" w:space="0" w:color="auto"/>
              </w:divBdr>
            </w:div>
          </w:divsChild>
        </w:div>
        <w:div w:id="313990883">
          <w:marLeft w:val="0"/>
          <w:marRight w:val="0"/>
          <w:marTop w:val="0"/>
          <w:marBottom w:val="0"/>
          <w:divBdr>
            <w:top w:val="none" w:sz="0" w:space="0" w:color="auto"/>
            <w:left w:val="none" w:sz="0" w:space="0" w:color="auto"/>
            <w:bottom w:val="none" w:sz="0" w:space="0" w:color="auto"/>
            <w:right w:val="none" w:sz="0" w:space="0" w:color="auto"/>
          </w:divBdr>
          <w:divsChild>
            <w:div w:id="928081407">
              <w:marLeft w:val="0"/>
              <w:marRight w:val="0"/>
              <w:marTop w:val="0"/>
              <w:marBottom w:val="0"/>
              <w:divBdr>
                <w:top w:val="none" w:sz="0" w:space="0" w:color="auto"/>
                <w:left w:val="none" w:sz="0" w:space="0" w:color="auto"/>
                <w:bottom w:val="none" w:sz="0" w:space="0" w:color="auto"/>
                <w:right w:val="none" w:sz="0" w:space="0" w:color="auto"/>
              </w:divBdr>
            </w:div>
          </w:divsChild>
        </w:div>
        <w:div w:id="357972404">
          <w:marLeft w:val="0"/>
          <w:marRight w:val="0"/>
          <w:marTop w:val="0"/>
          <w:marBottom w:val="0"/>
          <w:divBdr>
            <w:top w:val="none" w:sz="0" w:space="0" w:color="auto"/>
            <w:left w:val="none" w:sz="0" w:space="0" w:color="auto"/>
            <w:bottom w:val="none" w:sz="0" w:space="0" w:color="auto"/>
            <w:right w:val="none" w:sz="0" w:space="0" w:color="auto"/>
          </w:divBdr>
          <w:divsChild>
            <w:div w:id="178008548">
              <w:marLeft w:val="0"/>
              <w:marRight w:val="0"/>
              <w:marTop w:val="0"/>
              <w:marBottom w:val="0"/>
              <w:divBdr>
                <w:top w:val="none" w:sz="0" w:space="0" w:color="auto"/>
                <w:left w:val="none" w:sz="0" w:space="0" w:color="auto"/>
                <w:bottom w:val="none" w:sz="0" w:space="0" w:color="auto"/>
                <w:right w:val="none" w:sz="0" w:space="0" w:color="auto"/>
              </w:divBdr>
            </w:div>
          </w:divsChild>
        </w:div>
        <w:div w:id="409815012">
          <w:marLeft w:val="0"/>
          <w:marRight w:val="0"/>
          <w:marTop w:val="0"/>
          <w:marBottom w:val="0"/>
          <w:divBdr>
            <w:top w:val="none" w:sz="0" w:space="0" w:color="auto"/>
            <w:left w:val="none" w:sz="0" w:space="0" w:color="auto"/>
            <w:bottom w:val="none" w:sz="0" w:space="0" w:color="auto"/>
            <w:right w:val="none" w:sz="0" w:space="0" w:color="auto"/>
          </w:divBdr>
          <w:divsChild>
            <w:div w:id="1662850036">
              <w:marLeft w:val="0"/>
              <w:marRight w:val="0"/>
              <w:marTop w:val="0"/>
              <w:marBottom w:val="0"/>
              <w:divBdr>
                <w:top w:val="none" w:sz="0" w:space="0" w:color="auto"/>
                <w:left w:val="none" w:sz="0" w:space="0" w:color="auto"/>
                <w:bottom w:val="none" w:sz="0" w:space="0" w:color="auto"/>
                <w:right w:val="none" w:sz="0" w:space="0" w:color="auto"/>
              </w:divBdr>
            </w:div>
          </w:divsChild>
        </w:div>
        <w:div w:id="659383585">
          <w:marLeft w:val="0"/>
          <w:marRight w:val="0"/>
          <w:marTop w:val="0"/>
          <w:marBottom w:val="0"/>
          <w:divBdr>
            <w:top w:val="none" w:sz="0" w:space="0" w:color="auto"/>
            <w:left w:val="none" w:sz="0" w:space="0" w:color="auto"/>
            <w:bottom w:val="none" w:sz="0" w:space="0" w:color="auto"/>
            <w:right w:val="none" w:sz="0" w:space="0" w:color="auto"/>
          </w:divBdr>
          <w:divsChild>
            <w:div w:id="768816079">
              <w:marLeft w:val="0"/>
              <w:marRight w:val="0"/>
              <w:marTop w:val="0"/>
              <w:marBottom w:val="0"/>
              <w:divBdr>
                <w:top w:val="none" w:sz="0" w:space="0" w:color="auto"/>
                <w:left w:val="none" w:sz="0" w:space="0" w:color="auto"/>
                <w:bottom w:val="none" w:sz="0" w:space="0" w:color="auto"/>
                <w:right w:val="none" w:sz="0" w:space="0" w:color="auto"/>
              </w:divBdr>
            </w:div>
          </w:divsChild>
        </w:div>
        <w:div w:id="668563446">
          <w:marLeft w:val="0"/>
          <w:marRight w:val="0"/>
          <w:marTop w:val="0"/>
          <w:marBottom w:val="0"/>
          <w:divBdr>
            <w:top w:val="none" w:sz="0" w:space="0" w:color="auto"/>
            <w:left w:val="none" w:sz="0" w:space="0" w:color="auto"/>
            <w:bottom w:val="none" w:sz="0" w:space="0" w:color="auto"/>
            <w:right w:val="none" w:sz="0" w:space="0" w:color="auto"/>
          </w:divBdr>
          <w:divsChild>
            <w:div w:id="591813499">
              <w:marLeft w:val="0"/>
              <w:marRight w:val="0"/>
              <w:marTop w:val="0"/>
              <w:marBottom w:val="0"/>
              <w:divBdr>
                <w:top w:val="none" w:sz="0" w:space="0" w:color="auto"/>
                <w:left w:val="none" w:sz="0" w:space="0" w:color="auto"/>
                <w:bottom w:val="none" w:sz="0" w:space="0" w:color="auto"/>
                <w:right w:val="none" w:sz="0" w:space="0" w:color="auto"/>
              </w:divBdr>
            </w:div>
          </w:divsChild>
        </w:div>
        <w:div w:id="670332782">
          <w:marLeft w:val="0"/>
          <w:marRight w:val="0"/>
          <w:marTop w:val="0"/>
          <w:marBottom w:val="0"/>
          <w:divBdr>
            <w:top w:val="none" w:sz="0" w:space="0" w:color="auto"/>
            <w:left w:val="none" w:sz="0" w:space="0" w:color="auto"/>
            <w:bottom w:val="none" w:sz="0" w:space="0" w:color="auto"/>
            <w:right w:val="none" w:sz="0" w:space="0" w:color="auto"/>
          </w:divBdr>
          <w:divsChild>
            <w:div w:id="372923212">
              <w:marLeft w:val="0"/>
              <w:marRight w:val="0"/>
              <w:marTop w:val="0"/>
              <w:marBottom w:val="0"/>
              <w:divBdr>
                <w:top w:val="none" w:sz="0" w:space="0" w:color="auto"/>
                <w:left w:val="none" w:sz="0" w:space="0" w:color="auto"/>
                <w:bottom w:val="none" w:sz="0" w:space="0" w:color="auto"/>
                <w:right w:val="none" w:sz="0" w:space="0" w:color="auto"/>
              </w:divBdr>
            </w:div>
          </w:divsChild>
        </w:div>
        <w:div w:id="713383940">
          <w:marLeft w:val="0"/>
          <w:marRight w:val="0"/>
          <w:marTop w:val="0"/>
          <w:marBottom w:val="0"/>
          <w:divBdr>
            <w:top w:val="none" w:sz="0" w:space="0" w:color="auto"/>
            <w:left w:val="none" w:sz="0" w:space="0" w:color="auto"/>
            <w:bottom w:val="none" w:sz="0" w:space="0" w:color="auto"/>
            <w:right w:val="none" w:sz="0" w:space="0" w:color="auto"/>
          </w:divBdr>
          <w:divsChild>
            <w:div w:id="1514566331">
              <w:marLeft w:val="0"/>
              <w:marRight w:val="0"/>
              <w:marTop w:val="0"/>
              <w:marBottom w:val="0"/>
              <w:divBdr>
                <w:top w:val="none" w:sz="0" w:space="0" w:color="auto"/>
                <w:left w:val="none" w:sz="0" w:space="0" w:color="auto"/>
                <w:bottom w:val="none" w:sz="0" w:space="0" w:color="auto"/>
                <w:right w:val="none" w:sz="0" w:space="0" w:color="auto"/>
              </w:divBdr>
            </w:div>
          </w:divsChild>
        </w:div>
        <w:div w:id="721179026">
          <w:marLeft w:val="0"/>
          <w:marRight w:val="0"/>
          <w:marTop w:val="0"/>
          <w:marBottom w:val="0"/>
          <w:divBdr>
            <w:top w:val="none" w:sz="0" w:space="0" w:color="auto"/>
            <w:left w:val="none" w:sz="0" w:space="0" w:color="auto"/>
            <w:bottom w:val="none" w:sz="0" w:space="0" w:color="auto"/>
            <w:right w:val="none" w:sz="0" w:space="0" w:color="auto"/>
          </w:divBdr>
          <w:divsChild>
            <w:div w:id="479080042">
              <w:marLeft w:val="0"/>
              <w:marRight w:val="0"/>
              <w:marTop w:val="0"/>
              <w:marBottom w:val="0"/>
              <w:divBdr>
                <w:top w:val="none" w:sz="0" w:space="0" w:color="auto"/>
                <w:left w:val="none" w:sz="0" w:space="0" w:color="auto"/>
                <w:bottom w:val="none" w:sz="0" w:space="0" w:color="auto"/>
                <w:right w:val="none" w:sz="0" w:space="0" w:color="auto"/>
              </w:divBdr>
            </w:div>
          </w:divsChild>
        </w:div>
        <w:div w:id="739593023">
          <w:marLeft w:val="0"/>
          <w:marRight w:val="0"/>
          <w:marTop w:val="0"/>
          <w:marBottom w:val="0"/>
          <w:divBdr>
            <w:top w:val="none" w:sz="0" w:space="0" w:color="auto"/>
            <w:left w:val="none" w:sz="0" w:space="0" w:color="auto"/>
            <w:bottom w:val="none" w:sz="0" w:space="0" w:color="auto"/>
            <w:right w:val="none" w:sz="0" w:space="0" w:color="auto"/>
          </w:divBdr>
          <w:divsChild>
            <w:div w:id="646323089">
              <w:marLeft w:val="0"/>
              <w:marRight w:val="0"/>
              <w:marTop w:val="0"/>
              <w:marBottom w:val="0"/>
              <w:divBdr>
                <w:top w:val="none" w:sz="0" w:space="0" w:color="auto"/>
                <w:left w:val="none" w:sz="0" w:space="0" w:color="auto"/>
                <w:bottom w:val="none" w:sz="0" w:space="0" w:color="auto"/>
                <w:right w:val="none" w:sz="0" w:space="0" w:color="auto"/>
              </w:divBdr>
            </w:div>
          </w:divsChild>
        </w:div>
        <w:div w:id="767626905">
          <w:marLeft w:val="0"/>
          <w:marRight w:val="0"/>
          <w:marTop w:val="0"/>
          <w:marBottom w:val="0"/>
          <w:divBdr>
            <w:top w:val="none" w:sz="0" w:space="0" w:color="auto"/>
            <w:left w:val="none" w:sz="0" w:space="0" w:color="auto"/>
            <w:bottom w:val="none" w:sz="0" w:space="0" w:color="auto"/>
            <w:right w:val="none" w:sz="0" w:space="0" w:color="auto"/>
          </w:divBdr>
          <w:divsChild>
            <w:div w:id="568734231">
              <w:marLeft w:val="0"/>
              <w:marRight w:val="0"/>
              <w:marTop w:val="0"/>
              <w:marBottom w:val="0"/>
              <w:divBdr>
                <w:top w:val="none" w:sz="0" w:space="0" w:color="auto"/>
                <w:left w:val="none" w:sz="0" w:space="0" w:color="auto"/>
                <w:bottom w:val="none" w:sz="0" w:space="0" w:color="auto"/>
                <w:right w:val="none" w:sz="0" w:space="0" w:color="auto"/>
              </w:divBdr>
            </w:div>
          </w:divsChild>
        </w:div>
        <w:div w:id="1056124778">
          <w:marLeft w:val="0"/>
          <w:marRight w:val="0"/>
          <w:marTop w:val="0"/>
          <w:marBottom w:val="0"/>
          <w:divBdr>
            <w:top w:val="none" w:sz="0" w:space="0" w:color="auto"/>
            <w:left w:val="none" w:sz="0" w:space="0" w:color="auto"/>
            <w:bottom w:val="none" w:sz="0" w:space="0" w:color="auto"/>
            <w:right w:val="none" w:sz="0" w:space="0" w:color="auto"/>
          </w:divBdr>
          <w:divsChild>
            <w:div w:id="84813318">
              <w:marLeft w:val="0"/>
              <w:marRight w:val="0"/>
              <w:marTop w:val="0"/>
              <w:marBottom w:val="0"/>
              <w:divBdr>
                <w:top w:val="none" w:sz="0" w:space="0" w:color="auto"/>
                <w:left w:val="none" w:sz="0" w:space="0" w:color="auto"/>
                <w:bottom w:val="none" w:sz="0" w:space="0" w:color="auto"/>
                <w:right w:val="none" w:sz="0" w:space="0" w:color="auto"/>
              </w:divBdr>
            </w:div>
          </w:divsChild>
        </w:div>
        <w:div w:id="1309239993">
          <w:marLeft w:val="0"/>
          <w:marRight w:val="0"/>
          <w:marTop w:val="0"/>
          <w:marBottom w:val="0"/>
          <w:divBdr>
            <w:top w:val="none" w:sz="0" w:space="0" w:color="auto"/>
            <w:left w:val="none" w:sz="0" w:space="0" w:color="auto"/>
            <w:bottom w:val="none" w:sz="0" w:space="0" w:color="auto"/>
            <w:right w:val="none" w:sz="0" w:space="0" w:color="auto"/>
          </w:divBdr>
          <w:divsChild>
            <w:div w:id="960648810">
              <w:marLeft w:val="0"/>
              <w:marRight w:val="0"/>
              <w:marTop w:val="0"/>
              <w:marBottom w:val="0"/>
              <w:divBdr>
                <w:top w:val="none" w:sz="0" w:space="0" w:color="auto"/>
                <w:left w:val="none" w:sz="0" w:space="0" w:color="auto"/>
                <w:bottom w:val="none" w:sz="0" w:space="0" w:color="auto"/>
                <w:right w:val="none" w:sz="0" w:space="0" w:color="auto"/>
              </w:divBdr>
            </w:div>
          </w:divsChild>
        </w:div>
        <w:div w:id="1352030505">
          <w:marLeft w:val="0"/>
          <w:marRight w:val="0"/>
          <w:marTop w:val="0"/>
          <w:marBottom w:val="0"/>
          <w:divBdr>
            <w:top w:val="none" w:sz="0" w:space="0" w:color="auto"/>
            <w:left w:val="none" w:sz="0" w:space="0" w:color="auto"/>
            <w:bottom w:val="none" w:sz="0" w:space="0" w:color="auto"/>
            <w:right w:val="none" w:sz="0" w:space="0" w:color="auto"/>
          </w:divBdr>
          <w:divsChild>
            <w:div w:id="1399210564">
              <w:marLeft w:val="0"/>
              <w:marRight w:val="0"/>
              <w:marTop w:val="0"/>
              <w:marBottom w:val="0"/>
              <w:divBdr>
                <w:top w:val="none" w:sz="0" w:space="0" w:color="auto"/>
                <w:left w:val="none" w:sz="0" w:space="0" w:color="auto"/>
                <w:bottom w:val="none" w:sz="0" w:space="0" w:color="auto"/>
                <w:right w:val="none" w:sz="0" w:space="0" w:color="auto"/>
              </w:divBdr>
            </w:div>
          </w:divsChild>
        </w:div>
        <w:div w:id="1426530915">
          <w:marLeft w:val="0"/>
          <w:marRight w:val="0"/>
          <w:marTop w:val="0"/>
          <w:marBottom w:val="0"/>
          <w:divBdr>
            <w:top w:val="none" w:sz="0" w:space="0" w:color="auto"/>
            <w:left w:val="none" w:sz="0" w:space="0" w:color="auto"/>
            <w:bottom w:val="none" w:sz="0" w:space="0" w:color="auto"/>
            <w:right w:val="none" w:sz="0" w:space="0" w:color="auto"/>
          </w:divBdr>
          <w:divsChild>
            <w:div w:id="1166893992">
              <w:marLeft w:val="0"/>
              <w:marRight w:val="0"/>
              <w:marTop w:val="0"/>
              <w:marBottom w:val="0"/>
              <w:divBdr>
                <w:top w:val="none" w:sz="0" w:space="0" w:color="auto"/>
                <w:left w:val="none" w:sz="0" w:space="0" w:color="auto"/>
                <w:bottom w:val="none" w:sz="0" w:space="0" w:color="auto"/>
                <w:right w:val="none" w:sz="0" w:space="0" w:color="auto"/>
              </w:divBdr>
            </w:div>
          </w:divsChild>
        </w:div>
        <w:div w:id="1622347825">
          <w:marLeft w:val="0"/>
          <w:marRight w:val="0"/>
          <w:marTop w:val="0"/>
          <w:marBottom w:val="0"/>
          <w:divBdr>
            <w:top w:val="none" w:sz="0" w:space="0" w:color="auto"/>
            <w:left w:val="none" w:sz="0" w:space="0" w:color="auto"/>
            <w:bottom w:val="none" w:sz="0" w:space="0" w:color="auto"/>
            <w:right w:val="none" w:sz="0" w:space="0" w:color="auto"/>
          </w:divBdr>
          <w:divsChild>
            <w:div w:id="94599199">
              <w:marLeft w:val="0"/>
              <w:marRight w:val="0"/>
              <w:marTop w:val="0"/>
              <w:marBottom w:val="0"/>
              <w:divBdr>
                <w:top w:val="none" w:sz="0" w:space="0" w:color="auto"/>
                <w:left w:val="none" w:sz="0" w:space="0" w:color="auto"/>
                <w:bottom w:val="none" w:sz="0" w:space="0" w:color="auto"/>
                <w:right w:val="none" w:sz="0" w:space="0" w:color="auto"/>
              </w:divBdr>
            </w:div>
          </w:divsChild>
        </w:div>
        <w:div w:id="1747989615">
          <w:marLeft w:val="0"/>
          <w:marRight w:val="0"/>
          <w:marTop w:val="0"/>
          <w:marBottom w:val="0"/>
          <w:divBdr>
            <w:top w:val="none" w:sz="0" w:space="0" w:color="auto"/>
            <w:left w:val="none" w:sz="0" w:space="0" w:color="auto"/>
            <w:bottom w:val="none" w:sz="0" w:space="0" w:color="auto"/>
            <w:right w:val="none" w:sz="0" w:space="0" w:color="auto"/>
          </w:divBdr>
          <w:divsChild>
            <w:div w:id="168065395">
              <w:marLeft w:val="0"/>
              <w:marRight w:val="0"/>
              <w:marTop w:val="0"/>
              <w:marBottom w:val="0"/>
              <w:divBdr>
                <w:top w:val="none" w:sz="0" w:space="0" w:color="auto"/>
                <w:left w:val="none" w:sz="0" w:space="0" w:color="auto"/>
                <w:bottom w:val="none" w:sz="0" w:space="0" w:color="auto"/>
                <w:right w:val="none" w:sz="0" w:space="0" w:color="auto"/>
              </w:divBdr>
            </w:div>
          </w:divsChild>
        </w:div>
        <w:div w:id="1807238466">
          <w:marLeft w:val="0"/>
          <w:marRight w:val="0"/>
          <w:marTop w:val="0"/>
          <w:marBottom w:val="0"/>
          <w:divBdr>
            <w:top w:val="none" w:sz="0" w:space="0" w:color="auto"/>
            <w:left w:val="none" w:sz="0" w:space="0" w:color="auto"/>
            <w:bottom w:val="none" w:sz="0" w:space="0" w:color="auto"/>
            <w:right w:val="none" w:sz="0" w:space="0" w:color="auto"/>
          </w:divBdr>
          <w:divsChild>
            <w:div w:id="1117793269">
              <w:marLeft w:val="0"/>
              <w:marRight w:val="0"/>
              <w:marTop w:val="0"/>
              <w:marBottom w:val="0"/>
              <w:divBdr>
                <w:top w:val="none" w:sz="0" w:space="0" w:color="auto"/>
                <w:left w:val="none" w:sz="0" w:space="0" w:color="auto"/>
                <w:bottom w:val="none" w:sz="0" w:space="0" w:color="auto"/>
                <w:right w:val="none" w:sz="0" w:space="0" w:color="auto"/>
              </w:divBdr>
            </w:div>
          </w:divsChild>
        </w:div>
        <w:div w:id="1891380011">
          <w:marLeft w:val="0"/>
          <w:marRight w:val="0"/>
          <w:marTop w:val="0"/>
          <w:marBottom w:val="0"/>
          <w:divBdr>
            <w:top w:val="none" w:sz="0" w:space="0" w:color="auto"/>
            <w:left w:val="none" w:sz="0" w:space="0" w:color="auto"/>
            <w:bottom w:val="none" w:sz="0" w:space="0" w:color="auto"/>
            <w:right w:val="none" w:sz="0" w:space="0" w:color="auto"/>
          </w:divBdr>
          <w:divsChild>
            <w:div w:id="1608734569">
              <w:marLeft w:val="0"/>
              <w:marRight w:val="0"/>
              <w:marTop w:val="0"/>
              <w:marBottom w:val="0"/>
              <w:divBdr>
                <w:top w:val="none" w:sz="0" w:space="0" w:color="auto"/>
                <w:left w:val="none" w:sz="0" w:space="0" w:color="auto"/>
                <w:bottom w:val="none" w:sz="0" w:space="0" w:color="auto"/>
                <w:right w:val="none" w:sz="0" w:space="0" w:color="auto"/>
              </w:divBdr>
            </w:div>
          </w:divsChild>
        </w:div>
        <w:div w:id="2010518409">
          <w:marLeft w:val="0"/>
          <w:marRight w:val="0"/>
          <w:marTop w:val="0"/>
          <w:marBottom w:val="0"/>
          <w:divBdr>
            <w:top w:val="none" w:sz="0" w:space="0" w:color="auto"/>
            <w:left w:val="none" w:sz="0" w:space="0" w:color="auto"/>
            <w:bottom w:val="none" w:sz="0" w:space="0" w:color="auto"/>
            <w:right w:val="none" w:sz="0" w:space="0" w:color="auto"/>
          </w:divBdr>
          <w:divsChild>
            <w:div w:id="1976182523">
              <w:marLeft w:val="0"/>
              <w:marRight w:val="0"/>
              <w:marTop w:val="0"/>
              <w:marBottom w:val="0"/>
              <w:divBdr>
                <w:top w:val="none" w:sz="0" w:space="0" w:color="auto"/>
                <w:left w:val="none" w:sz="0" w:space="0" w:color="auto"/>
                <w:bottom w:val="none" w:sz="0" w:space="0" w:color="auto"/>
                <w:right w:val="none" w:sz="0" w:space="0" w:color="auto"/>
              </w:divBdr>
            </w:div>
          </w:divsChild>
        </w:div>
        <w:div w:id="2055688323">
          <w:marLeft w:val="0"/>
          <w:marRight w:val="0"/>
          <w:marTop w:val="0"/>
          <w:marBottom w:val="0"/>
          <w:divBdr>
            <w:top w:val="none" w:sz="0" w:space="0" w:color="auto"/>
            <w:left w:val="none" w:sz="0" w:space="0" w:color="auto"/>
            <w:bottom w:val="none" w:sz="0" w:space="0" w:color="auto"/>
            <w:right w:val="none" w:sz="0" w:space="0" w:color="auto"/>
          </w:divBdr>
          <w:divsChild>
            <w:div w:id="28982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50209">
      <w:bodyDiv w:val="1"/>
      <w:marLeft w:val="0"/>
      <w:marRight w:val="0"/>
      <w:marTop w:val="0"/>
      <w:marBottom w:val="0"/>
      <w:divBdr>
        <w:top w:val="none" w:sz="0" w:space="0" w:color="auto"/>
        <w:left w:val="none" w:sz="0" w:space="0" w:color="auto"/>
        <w:bottom w:val="none" w:sz="0" w:space="0" w:color="auto"/>
        <w:right w:val="none" w:sz="0" w:space="0" w:color="auto"/>
      </w:divBdr>
    </w:div>
    <w:div w:id="1166168556">
      <w:bodyDiv w:val="1"/>
      <w:marLeft w:val="0"/>
      <w:marRight w:val="0"/>
      <w:marTop w:val="0"/>
      <w:marBottom w:val="0"/>
      <w:divBdr>
        <w:top w:val="none" w:sz="0" w:space="0" w:color="auto"/>
        <w:left w:val="none" w:sz="0" w:space="0" w:color="auto"/>
        <w:bottom w:val="none" w:sz="0" w:space="0" w:color="auto"/>
        <w:right w:val="none" w:sz="0" w:space="0" w:color="auto"/>
      </w:divBdr>
    </w:div>
    <w:div w:id="1418206330">
      <w:bodyDiv w:val="1"/>
      <w:marLeft w:val="0"/>
      <w:marRight w:val="0"/>
      <w:marTop w:val="0"/>
      <w:marBottom w:val="0"/>
      <w:divBdr>
        <w:top w:val="none" w:sz="0" w:space="0" w:color="auto"/>
        <w:left w:val="none" w:sz="0" w:space="0" w:color="auto"/>
        <w:bottom w:val="none" w:sz="0" w:space="0" w:color="auto"/>
        <w:right w:val="none" w:sz="0" w:space="0" w:color="auto"/>
      </w:divBdr>
      <w:divsChild>
        <w:div w:id="1444959">
          <w:marLeft w:val="0"/>
          <w:marRight w:val="0"/>
          <w:marTop w:val="0"/>
          <w:marBottom w:val="0"/>
          <w:divBdr>
            <w:top w:val="none" w:sz="0" w:space="0" w:color="auto"/>
            <w:left w:val="none" w:sz="0" w:space="0" w:color="auto"/>
            <w:bottom w:val="none" w:sz="0" w:space="0" w:color="auto"/>
            <w:right w:val="none" w:sz="0" w:space="0" w:color="auto"/>
          </w:divBdr>
        </w:div>
        <w:div w:id="67310273">
          <w:marLeft w:val="0"/>
          <w:marRight w:val="0"/>
          <w:marTop w:val="0"/>
          <w:marBottom w:val="0"/>
          <w:divBdr>
            <w:top w:val="none" w:sz="0" w:space="0" w:color="auto"/>
            <w:left w:val="none" w:sz="0" w:space="0" w:color="auto"/>
            <w:bottom w:val="none" w:sz="0" w:space="0" w:color="auto"/>
            <w:right w:val="none" w:sz="0" w:space="0" w:color="auto"/>
          </w:divBdr>
        </w:div>
        <w:div w:id="102462327">
          <w:marLeft w:val="0"/>
          <w:marRight w:val="0"/>
          <w:marTop w:val="0"/>
          <w:marBottom w:val="0"/>
          <w:divBdr>
            <w:top w:val="none" w:sz="0" w:space="0" w:color="auto"/>
            <w:left w:val="none" w:sz="0" w:space="0" w:color="auto"/>
            <w:bottom w:val="none" w:sz="0" w:space="0" w:color="auto"/>
            <w:right w:val="none" w:sz="0" w:space="0" w:color="auto"/>
          </w:divBdr>
        </w:div>
        <w:div w:id="108593534">
          <w:marLeft w:val="0"/>
          <w:marRight w:val="0"/>
          <w:marTop w:val="0"/>
          <w:marBottom w:val="0"/>
          <w:divBdr>
            <w:top w:val="none" w:sz="0" w:space="0" w:color="auto"/>
            <w:left w:val="none" w:sz="0" w:space="0" w:color="auto"/>
            <w:bottom w:val="none" w:sz="0" w:space="0" w:color="auto"/>
            <w:right w:val="none" w:sz="0" w:space="0" w:color="auto"/>
          </w:divBdr>
        </w:div>
        <w:div w:id="268395468">
          <w:marLeft w:val="0"/>
          <w:marRight w:val="0"/>
          <w:marTop w:val="0"/>
          <w:marBottom w:val="0"/>
          <w:divBdr>
            <w:top w:val="none" w:sz="0" w:space="0" w:color="auto"/>
            <w:left w:val="none" w:sz="0" w:space="0" w:color="auto"/>
            <w:bottom w:val="none" w:sz="0" w:space="0" w:color="auto"/>
            <w:right w:val="none" w:sz="0" w:space="0" w:color="auto"/>
          </w:divBdr>
        </w:div>
        <w:div w:id="275062495">
          <w:marLeft w:val="0"/>
          <w:marRight w:val="0"/>
          <w:marTop w:val="0"/>
          <w:marBottom w:val="0"/>
          <w:divBdr>
            <w:top w:val="none" w:sz="0" w:space="0" w:color="auto"/>
            <w:left w:val="none" w:sz="0" w:space="0" w:color="auto"/>
            <w:bottom w:val="none" w:sz="0" w:space="0" w:color="auto"/>
            <w:right w:val="none" w:sz="0" w:space="0" w:color="auto"/>
          </w:divBdr>
        </w:div>
        <w:div w:id="493843507">
          <w:marLeft w:val="0"/>
          <w:marRight w:val="0"/>
          <w:marTop w:val="0"/>
          <w:marBottom w:val="0"/>
          <w:divBdr>
            <w:top w:val="none" w:sz="0" w:space="0" w:color="auto"/>
            <w:left w:val="none" w:sz="0" w:space="0" w:color="auto"/>
            <w:bottom w:val="none" w:sz="0" w:space="0" w:color="auto"/>
            <w:right w:val="none" w:sz="0" w:space="0" w:color="auto"/>
          </w:divBdr>
        </w:div>
        <w:div w:id="494615659">
          <w:marLeft w:val="0"/>
          <w:marRight w:val="0"/>
          <w:marTop w:val="0"/>
          <w:marBottom w:val="0"/>
          <w:divBdr>
            <w:top w:val="none" w:sz="0" w:space="0" w:color="auto"/>
            <w:left w:val="none" w:sz="0" w:space="0" w:color="auto"/>
            <w:bottom w:val="none" w:sz="0" w:space="0" w:color="auto"/>
            <w:right w:val="none" w:sz="0" w:space="0" w:color="auto"/>
          </w:divBdr>
        </w:div>
        <w:div w:id="505050542">
          <w:marLeft w:val="0"/>
          <w:marRight w:val="0"/>
          <w:marTop w:val="0"/>
          <w:marBottom w:val="0"/>
          <w:divBdr>
            <w:top w:val="none" w:sz="0" w:space="0" w:color="auto"/>
            <w:left w:val="none" w:sz="0" w:space="0" w:color="auto"/>
            <w:bottom w:val="none" w:sz="0" w:space="0" w:color="auto"/>
            <w:right w:val="none" w:sz="0" w:space="0" w:color="auto"/>
          </w:divBdr>
        </w:div>
        <w:div w:id="512955112">
          <w:marLeft w:val="0"/>
          <w:marRight w:val="0"/>
          <w:marTop w:val="0"/>
          <w:marBottom w:val="0"/>
          <w:divBdr>
            <w:top w:val="none" w:sz="0" w:space="0" w:color="auto"/>
            <w:left w:val="none" w:sz="0" w:space="0" w:color="auto"/>
            <w:bottom w:val="none" w:sz="0" w:space="0" w:color="auto"/>
            <w:right w:val="none" w:sz="0" w:space="0" w:color="auto"/>
          </w:divBdr>
        </w:div>
        <w:div w:id="516509228">
          <w:marLeft w:val="0"/>
          <w:marRight w:val="0"/>
          <w:marTop w:val="0"/>
          <w:marBottom w:val="0"/>
          <w:divBdr>
            <w:top w:val="none" w:sz="0" w:space="0" w:color="auto"/>
            <w:left w:val="none" w:sz="0" w:space="0" w:color="auto"/>
            <w:bottom w:val="none" w:sz="0" w:space="0" w:color="auto"/>
            <w:right w:val="none" w:sz="0" w:space="0" w:color="auto"/>
          </w:divBdr>
        </w:div>
        <w:div w:id="632641418">
          <w:marLeft w:val="0"/>
          <w:marRight w:val="0"/>
          <w:marTop w:val="0"/>
          <w:marBottom w:val="0"/>
          <w:divBdr>
            <w:top w:val="none" w:sz="0" w:space="0" w:color="auto"/>
            <w:left w:val="none" w:sz="0" w:space="0" w:color="auto"/>
            <w:bottom w:val="none" w:sz="0" w:space="0" w:color="auto"/>
            <w:right w:val="none" w:sz="0" w:space="0" w:color="auto"/>
          </w:divBdr>
        </w:div>
        <w:div w:id="666709864">
          <w:marLeft w:val="0"/>
          <w:marRight w:val="0"/>
          <w:marTop w:val="0"/>
          <w:marBottom w:val="0"/>
          <w:divBdr>
            <w:top w:val="none" w:sz="0" w:space="0" w:color="auto"/>
            <w:left w:val="none" w:sz="0" w:space="0" w:color="auto"/>
            <w:bottom w:val="none" w:sz="0" w:space="0" w:color="auto"/>
            <w:right w:val="none" w:sz="0" w:space="0" w:color="auto"/>
          </w:divBdr>
        </w:div>
        <w:div w:id="688137787">
          <w:marLeft w:val="0"/>
          <w:marRight w:val="0"/>
          <w:marTop w:val="0"/>
          <w:marBottom w:val="0"/>
          <w:divBdr>
            <w:top w:val="none" w:sz="0" w:space="0" w:color="auto"/>
            <w:left w:val="none" w:sz="0" w:space="0" w:color="auto"/>
            <w:bottom w:val="none" w:sz="0" w:space="0" w:color="auto"/>
            <w:right w:val="none" w:sz="0" w:space="0" w:color="auto"/>
          </w:divBdr>
        </w:div>
        <w:div w:id="762798238">
          <w:marLeft w:val="0"/>
          <w:marRight w:val="0"/>
          <w:marTop w:val="0"/>
          <w:marBottom w:val="0"/>
          <w:divBdr>
            <w:top w:val="none" w:sz="0" w:space="0" w:color="auto"/>
            <w:left w:val="none" w:sz="0" w:space="0" w:color="auto"/>
            <w:bottom w:val="none" w:sz="0" w:space="0" w:color="auto"/>
            <w:right w:val="none" w:sz="0" w:space="0" w:color="auto"/>
          </w:divBdr>
        </w:div>
        <w:div w:id="774910511">
          <w:marLeft w:val="0"/>
          <w:marRight w:val="0"/>
          <w:marTop w:val="0"/>
          <w:marBottom w:val="0"/>
          <w:divBdr>
            <w:top w:val="none" w:sz="0" w:space="0" w:color="auto"/>
            <w:left w:val="none" w:sz="0" w:space="0" w:color="auto"/>
            <w:bottom w:val="none" w:sz="0" w:space="0" w:color="auto"/>
            <w:right w:val="none" w:sz="0" w:space="0" w:color="auto"/>
          </w:divBdr>
        </w:div>
        <w:div w:id="792134075">
          <w:marLeft w:val="0"/>
          <w:marRight w:val="0"/>
          <w:marTop w:val="0"/>
          <w:marBottom w:val="0"/>
          <w:divBdr>
            <w:top w:val="none" w:sz="0" w:space="0" w:color="auto"/>
            <w:left w:val="none" w:sz="0" w:space="0" w:color="auto"/>
            <w:bottom w:val="none" w:sz="0" w:space="0" w:color="auto"/>
            <w:right w:val="none" w:sz="0" w:space="0" w:color="auto"/>
          </w:divBdr>
        </w:div>
        <w:div w:id="881360017">
          <w:marLeft w:val="0"/>
          <w:marRight w:val="0"/>
          <w:marTop w:val="0"/>
          <w:marBottom w:val="0"/>
          <w:divBdr>
            <w:top w:val="none" w:sz="0" w:space="0" w:color="auto"/>
            <w:left w:val="none" w:sz="0" w:space="0" w:color="auto"/>
            <w:bottom w:val="none" w:sz="0" w:space="0" w:color="auto"/>
            <w:right w:val="none" w:sz="0" w:space="0" w:color="auto"/>
          </w:divBdr>
        </w:div>
        <w:div w:id="1049762977">
          <w:marLeft w:val="0"/>
          <w:marRight w:val="0"/>
          <w:marTop w:val="0"/>
          <w:marBottom w:val="0"/>
          <w:divBdr>
            <w:top w:val="none" w:sz="0" w:space="0" w:color="auto"/>
            <w:left w:val="none" w:sz="0" w:space="0" w:color="auto"/>
            <w:bottom w:val="none" w:sz="0" w:space="0" w:color="auto"/>
            <w:right w:val="none" w:sz="0" w:space="0" w:color="auto"/>
          </w:divBdr>
        </w:div>
        <w:div w:id="1190756346">
          <w:marLeft w:val="0"/>
          <w:marRight w:val="0"/>
          <w:marTop w:val="0"/>
          <w:marBottom w:val="0"/>
          <w:divBdr>
            <w:top w:val="none" w:sz="0" w:space="0" w:color="auto"/>
            <w:left w:val="none" w:sz="0" w:space="0" w:color="auto"/>
            <w:bottom w:val="none" w:sz="0" w:space="0" w:color="auto"/>
            <w:right w:val="none" w:sz="0" w:space="0" w:color="auto"/>
          </w:divBdr>
        </w:div>
        <w:div w:id="1212885360">
          <w:marLeft w:val="0"/>
          <w:marRight w:val="0"/>
          <w:marTop w:val="0"/>
          <w:marBottom w:val="0"/>
          <w:divBdr>
            <w:top w:val="none" w:sz="0" w:space="0" w:color="auto"/>
            <w:left w:val="none" w:sz="0" w:space="0" w:color="auto"/>
            <w:bottom w:val="none" w:sz="0" w:space="0" w:color="auto"/>
            <w:right w:val="none" w:sz="0" w:space="0" w:color="auto"/>
          </w:divBdr>
        </w:div>
        <w:div w:id="1213540318">
          <w:marLeft w:val="0"/>
          <w:marRight w:val="0"/>
          <w:marTop w:val="0"/>
          <w:marBottom w:val="0"/>
          <w:divBdr>
            <w:top w:val="none" w:sz="0" w:space="0" w:color="auto"/>
            <w:left w:val="none" w:sz="0" w:space="0" w:color="auto"/>
            <w:bottom w:val="none" w:sz="0" w:space="0" w:color="auto"/>
            <w:right w:val="none" w:sz="0" w:space="0" w:color="auto"/>
          </w:divBdr>
        </w:div>
        <w:div w:id="1308821890">
          <w:marLeft w:val="0"/>
          <w:marRight w:val="0"/>
          <w:marTop w:val="0"/>
          <w:marBottom w:val="0"/>
          <w:divBdr>
            <w:top w:val="none" w:sz="0" w:space="0" w:color="auto"/>
            <w:left w:val="none" w:sz="0" w:space="0" w:color="auto"/>
            <w:bottom w:val="none" w:sz="0" w:space="0" w:color="auto"/>
            <w:right w:val="none" w:sz="0" w:space="0" w:color="auto"/>
          </w:divBdr>
        </w:div>
        <w:div w:id="1314290970">
          <w:marLeft w:val="0"/>
          <w:marRight w:val="0"/>
          <w:marTop w:val="0"/>
          <w:marBottom w:val="0"/>
          <w:divBdr>
            <w:top w:val="none" w:sz="0" w:space="0" w:color="auto"/>
            <w:left w:val="none" w:sz="0" w:space="0" w:color="auto"/>
            <w:bottom w:val="none" w:sz="0" w:space="0" w:color="auto"/>
            <w:right w:val="none" w:sz="0" w:space="0" w:color="auto"/>
          </w:divBdr>
        </w:div>
        <w:div w:id="1318268373">
          <w:marLeft w:val="0"/>
          <w:marRight w:val="0"/>
          <w:marTop w:val="0"/>
          <w:marBottom w:val="0"/>
          <w:divBdr>
            <w:top w:val="none" w:sz="0" w:space="0" w:color="auto"/>
            <w:left w:val="none" w:sz="0" w:space="0" w:color="auto"/>
            <w:bottom w:val="none" w:sz="0" w:space="0" w:color="auto"/>
            <w:right w:val="none" w:sz="0" w:space="0" w:color="auto"/>
          </w:divBdr>
        </w:div>
        <w:div w:id="1319310913">
          <w:marLeft w:val="0"/>
          <w:marRight w:val="0"/>
          <w:marTop w:val="0"/>
          <w:marBottom w:val="0"/>
          <w:divBdr>
            <w:top w:val="none" w:sz="0" w:space="0" w:color="auto"/>
            <w:left w:val="none" w:sz="0" w:space="0" w:color="auto"/>
            <w:bottom w:val="none" w:sz="0" w:space="0" w:color="auto"/>
            <w:right w:val="none" w:sz="0" w:space="0" w:color="auto"/>
          </w:divBdr>
        </w:div>
        <w:div w:id="1340886793">
          <w:marLeft w:val="0"/>
          <w:marRight w:val="0"/>
          <w:marTop w:val="0"/>
          <w:marBottom w:val="0"/>
          <w:divBdr>
            <w:top w:val="none" w:sz="0" w:space="0" w:color="auto"/>
            <w:left w:val="none" w:sz="0" w:space="0" w:color="auto"/>
            <w:bottom w:val="none" w:sz="0" w:space="0" w:color="auto"/>
            <w:right w:val="none" w:sz="0" w:space="0" w:color="auto"/>
          </w:divBdr>
        </w:div>
        <w:div w:id="1352413932">
          <w:marLeft w:val="0"/>
          <w:marRight w:val="0"/>
          <w:marTop w:val="0"/>
          <w:marBottom w:val="0"/>
          <w:divBdr>
            <w:top w:val="none" w:sz="0" w:space="0" w:color="auto"/>
            <w:left w:val="none" w:sz="0" w:space="0" w:color="auto"/>
            <w:bottom w:val="none" w:sz="0" w:space="0" w:color="auto"/>
            <w:right w:val="none" w:sz="0" w:space="0" w:color="auto"/>
          </w:divBdr>
        </w:div>
        <w:div w:id="1425222209">
          <w:marLeft w:val="0"/>
          <w:marRight w:val="0"/>
          <w:marTop w:val="0"/>
          <w:marBottom w:val="0"/>
          <w:divBdr>
            <w:top w:val="none" w:sz="0" w:space="0" w:color="auto"/>
            <w:left w:val="none" w:sz="0" w:space="0" w:color="auto"/>
            <w:bottom w:val="none" w:sz="0" w:space="0" w:color="auto"/>
            <w:right w:val="none" w:sz="0" w:space="0" w:color="auto"/>
          </w:divBdr>
        </w:div>
        <w:div w:id="1570650175">
          <w:marLeft w:val="0"/>
          <w:marRight w:val="0"/>
          <w:marTop w:val="0"/>
          <w:marBottom w:val="0"/>
          <w:divBdr>
            <w:top w:val="none" w:sz="0" w:space="0" w:color="auto"/>
            <w:left w:val="none" w:sz="0" w:space="0" w:color="auto"/>
            <w:bottom w:val="none" w:sz="0" w:space="0" w:color="auto"/>
            <w:right w:val="none" w:sz="0" w:space="0" w:color="auto"/>
          </w:divBdr>
        </w:div>
        <w:div w:id="1690712749">
          <w:marLeft w:val="0"/>
          <w:marRight w:val="0"/>
          <w:marTop w:val="0"/>
          <w:marBottom w:val="0"/>
          <w:divBdr>
            <w:top w:val="none" w:sz="0" w:space="0" w:color="auto"/>
            <w:left w:val="none" w:sz="0" w:space="0" w:color="auto"/>
            <w:bottom w:val="none" w:sz="0" w:space="0" w:color="auto"/>
            <w:right w:val="none" w:sz="0" w:space="0" w:color="auto"/>
          </w:divBdr>
        </w:div>
        <w:div w:id="1758287976">
          <w:marLeft w:val="0"/>
          <w:marRight w:val="0"/>
          <w:marTop w:val="0"/>
          <w:marBottom w:val="0"/>
          <w:divBdr>
            <w:top w:val="none" w:sz="0" w:space="0" w:color="auto"/>
            <w:left w:val="none" w:sz="0" w:space="0" w:color="auto"/>
            <w:bottom w:val="none" w:sz="0" w:space="0" w:color="auto"/>
            <w:right w:val="none" w:sz="0" w:space="0" w:color="auto"/>
          </w:divBdr>
        </w:div>
        <w:div w:id="1800758890">
          <w:marLeft w:val="0"/>
          <w:marRight w:val="0"/>
          <w:marTop w:val="0"/>
          <w:marBottom w:val="0"/>
          <w:divBdr>
            <w:top w:val="none" w:sz="0" w:space="0" w:color="auto"/>
            <w:left w:val="none" w:sz="0" w:space="0" w:color="auto"/>
            <w:bottom w:val="none" w:sz="0" w:space="0" w:color="auto"/>
            <w:right w:val="none" w:sz="0" w:space="0" w:color="auto"/>
          </w:divBdr>
        </w:div>
        <w:div w:id="1804421092">
          <w:marLeft w:val="0"/>
          <w:marRight w:val="0"/>
          <w:marTop w:val="0"/>
          <w:marBottom w:val="0"/>
          <w:divBdr>
            <w:top w:val="none" w:sz="0" w:space="0" w:color="auto"/>
            <w:left w:val="none" w:sz="0" w:space="0" w:color="auto"/>
            <w:bottom w:val="none" w:sz="0" w:space="0" w:color="auto"/>
            <w:right w:val="none" w:sz="0" w:space="0" w:color="auto"/>
          </w:divBdr>
        </w:div>
        <w:div w:id="1950316719">
          <w:marLeft w:val="0"/>
          <w:marRight w:val="0"/>
          <w:marTop w:val="0"/>
          <w:marBottom w:val="0"/>
          <w:divBdr>
            <w:top w:val="none" w:sz="0" w:space="0" w:color="auto"/>
            <w:left w:val="none" w:sz="0" w:space="0" w:color="auto"/>
            <w:bottom w:val="none" w:sz="0" w:space="0" w:color="auto"/>
            <w:right w:val="none" w:sz="0" w:space="0" w:color="auto"/>
          </w:divBdr>
        </w:div>
        <w:div w:id="2007518134">
          <w:marLeft w:val="0"/>
          <w:marRight w:val="0"/>
          <w:marTop w:val="0"/>
          <w:marBottom w:val="0"/>
          <w:divBdr>
            <w:top w:val="none" w:sz="0" w:space="0" w:color="auto"/>
            <w:left w:val="none" w:sz="0" w:space="0" w:color="auto"/>
            <w:bottom w:val="none" w:sz="0" w:space="0" w:color="auto"/>
            <w:right w:val="none" w:sz="0" w:space="0" w:color="auto"/>
          </w:divBdr>
        </w:div>
      </w:divsChild>
    </w:div>
    <w:div w:id="1473594920">
      <w:bodyDiv w:val="1"/>
      <w:marLeft w:val="0"/>
      <w:marRight w:val="0"/>
      <w:marTop w:val="0"/>
      <w:marBottom w:val="0"/>
      <w:divBdr>
        <w:top w:val="none" w:sz="0" w:space="0" w:color="auto"/>
        <w:left w:val="none" w:sz="0" w:space="0" w:color="auto"/>
        <w:bottom w:val="none" w:sz="0" w:space="0" w:color="auto"/>
        <w:right w:val="none" w:sz="0" w:space="0" w:color="auto"/>
      </w:divBdr>
      <w:divsChild>
        <w:div w:id="46614648">
          <w:marLeft w:val="0"/>
          <w:marRight w:val="0"/>
          <w:marTop w:val="0"/>
          <w:marBottom w:val="0"/>
          <w:divBdr>
            <w:top w:val="none" w:sz="0" w:space="0" w:color="auto"/>
            <w:left w:val="none" w:sz="0" w:space="0" w:color="auto"/>
            <w:bottom w:val="none" w:sz="0" w:space="0" w:color="auto"/>
            <w:right w:val="none" w:sz="0" w:space="0" w:color="auto"/>
          </w:divBdr>
          <w:divsChild>
            <w:div w:id="2025285739">
              <w:marLeft w:val="0"/>
              <w:marRight w:val="0"/>
              <w:marTop w:val="0"/>
              <w:marBottom w:val="0"/>
              <w:divBdr>
                <w:top w:val="none" w:sz="0" w:space="0" w:color="auto"/>
                <w:left w:val="none" w:sz="0" w:space="0" w:color="auto"/>
                <w:bottom w:val="none" w:sz="0" w:space="0" w:color="auto"/>
                <w:right w:val="none" w:sz="0" w:space="0" w:color="auto"/>
              </w:divBdr>
            </w:div>
          </w:divsChild>
        </w:div>
        <w:div w:id="92747345">
          <w:marLeft w:val="0"/>
          <w:marRight w:val="0"/>
          <w:marTop w:val="0"/>
          <w:marBottom w:val="0"/>
          <w:divBdr>
            <w:top w:val="none" w:sz="0" w:space="0" w:color="auto"/>
            <w:left w:val="none" w:sz="0" w:space="0" w:color="auto"/>
            <w:bottom w:val="none" w:sz="0" w:space="0" w:color="auto"/>
            <w:right w:val="none" w:sz="0" w:space="0" w:color="auto"/>
          </w:divBdr>
          <w:divsChild>
            <w:div w:id="698555998">
              <w:marLeft w:val="0"/>
              <w:marRight w:val="0"/>
              <w:marTop w:val="0"/>
              <w:marBottom w:val="0"/>
              <w:divBdr>
                <w:top w:val="none" w:sz="0" w:space="0" w:color="auto"/>
                <w:left w:val="none" w:sz="0" w:space="0" w:color="auto"/>
                <w:bottom w:val="none" w:sz="0" w:space="0" w:color="auto"/>
                <w:right w:val="none" w:sz="0" w:space="0" w:color="auto"/>
              </w:divBdr>
            </w:div>
          </w:divsChild>
        </w:div>
        <w:div w:id="225073746">
          <w:marLeft w:val="0"/>
          <w:marRight w:val="0"/>
          <w:marTop w:val="0"/>
          <w:marBottom w:val="0"/>
          <w:divBdr>
            <w:top w:val="none" w:sz="0" w:space="0" w:color="auto"/>
            <w:left w:val="none" w:sz="0" w:space="0" w:color="auto"/>
            <w:bottom w:val="none" w:sz="0" w:space="0" w:color="auto"/>
            <w:right w:val="none" w:sz="0" w:space="0" w:color="auto"/>
          </w:divBdr>
          <w:divsChild>
            <w:div w:id="1441418462">
              <w:marLeft w:val="0"/>
              <w:marRight w:val="0"/>
              <w:marTop w:val="0"/>
              <w:marBottom w:val="0"/>
              <w:divBdr>
                <w:top w:val="none" w:sz="0" w:space="0" w:color="auto"/>
                <w:left w:val="none" w:sz="0" w:space="0" w:color="auto"/>
                <w:bottom w:val="none" w:sz="0" w:space="0" w:color="auto"/>
                <w:right w:val="none" w:sz="0" w:space="0" w:color="auto"/>
              </w:divBdr>
            </w:div>
          </w:divsChild>
        </w:div>
        <w:div w:id="267741131">
          <w:marLeft w:val="0"/>
          <w:marRight w:val="0"/>
          <w:marTop w:val="0"/>
          <w:marBottom w:val="0"/>
          <w:divBdr>
            <w:top w:val="none" w:sz="0" w:space="0" w:color="auto"/>
            <w:left w:val="none" w:sz="0" w:space="0" w:color="auto"/>
            <w:bottom w:val="none" w:sz="0" w:space="0" w:color="auto"/>
            <w:right w:val="none" w:sz="0" w:space="0" w:color="auto"/>
          </w:divBdr>
          <w:divsChild>
            <w:div w:id="1662083576">
              <w:marLeft w:val="0"/>
              <w:marRight w:val="0"/>
              <w:marTop w:val="0"/>
              <w:marBottom w:val="0"/>
              <w:divBdr>
                <w:top w:val="none" w:sz="0" w:space="0" w:color="auto"/>
                <w:left w:val="none" w:sz="0" w:space="0" w:color="auto"/>
                <w:bottom w:val="none" w:sz="0" w:space="0" w:color="auto"/>
                <w:right w:val="none" w:sz="0" w:space="0" w:color="auto"/>
              </w:divBdr>
            </w:div>
          </w:divsChild>
        </w:div>
        <w:div w:id="399643913">
          <w:marLeft w:val="0"/>
          <w:marRight w:val="0"/>
          <w:marTop w:val="0"/>
          <w:marBottom w:val="0"/>
          <w:divBdr>
            <w:top w:val="none" w:sz="0" w:space="0" w:color="auto"/>
            <w:left w:val="none" w:sz="0" w:space="0" w:color="auto"/>
            <w:bottom w:val="none" w:sz="0" w:space="0" w:color="auto"/>
            <w:right w:val="none" w:sz="0" w:space="0" w:color="auto"/>
          </w:divBdr>
          <w:divsChild>
            <w:div w:id="789738031">
              <w:marLeft w:val="0"/>
              <w:marRight w:val="0"/>
              <w:marTop w:val="0"/>
              <w:marBottom w:val="0"/>
              <w:divBdr>
                <w:top w:val="none" w:sz="0" w:space="0" w:color="auto"/>
                <w:left w:val="none" w:sz="0" w:space="0" w:color="auto"/>
                <w:bottom w:val="none" w:sz="0" w:space="0" w:color="auto"/>
                <w:right w:val="none" w:sz="0" w:space="0" w:color="auto"/>
              </w:divBdr>
            </w:div>
          </w:divsChild>
        </w:div>
        <w:div w:id="416757256">
          <w:marLeft w:val="0"/>
          <w:marRight w:val="0"/>
          <w:marTop w:val="0"/>
          <w:marBottom w:val="0"/>
          <w:divBdr>
            <w:top w:val="none" w:sz="0" w:space="0" w:color="auto"/>
            <w:left w:val="none" w:sz="0" w:space="0" w:color="auto"/>
            <w:bottom w:val="none" w:sz="0" w:space="0" w:color="auto"/>
            <w:right w:val="none" w:sz="0" w:space="0" w:color="auto"/>
          </w:divBdr>
          <w:divsChild>
            <w:div w:id="222067714">
              <w:marLeft w:val="0"/>
              <w:marRight w:val="0"/>
              <w:marTop w:val="0"/>
              <w:marBottom w:val="0"/>
              <w:divBdr>
                <w:top w:val="none" w:sz="0" w:space="0" w:color="auto"/>
                <w:left w:val="none" w:sz="0" w:space="0" w:color="auto"/>
                <w:bottom w:val="none" w:sz="0" w:space="0" w:color="auto"/>
                <w:right w:val="none" w:sz="0" w:space="0" w:color="auto"/>
              </w:divBdr>
            </w:div>
          </w:divsChild>
        </w:div>
        <w:div w:id="435104471">
          <w:marLeft w:val="0"/>
          <w:marRight w:val="0"/>
          <w:marTop w:val="0"/>
          <w:marBottom w:val="0"/>
          <w:divBdr>
            <w:top w:val="none" w:sz="0" w:space="0" w:color="auto"/>
            <w:left w:val="none" w:sz="0" w:space="0" w:color="auto"/>
            <w:bottom w:val="none" w:sz="0" w:space="0" w:color="auto"/>
            <w:right w:val="none" w:sz="0" w:space="0" w:color="auto"/>
          </w:divBdr>
          <w:divsChild>
            <w:div w:id="383674312">
              <w:marLeft w:val="0"/>
              <w:marRight w:val="0"/>
              <w:marTop w:val="0"/>
              <w:marBottom w:val="0"/>
              <w:divBdr>
                <w:top w:val="none" w:sz="0" w:space="0" w:color="auto"/>
                <w:left w:val="none" w:sz="0" w:space="0" w:color="auto"/>
                <w:bottom w:val="none" w:sz="0" w:space="0" w:color="auto"/>
                <w:right w:val="none" w:sz="0" w:space="0" w:color="auto"/>
              </w:divBdr>
            </w:div>
          </w:divsChild>
        </w:div>
        <w:div w:id="645746416">
          <w:marLeft w:val="0"/>
          <w:marRight w:val="0"/>
          <w:marTop w:val="0"/>
          <w:marBottom w:val="0"/>
          <w:divBdr>
            <w:top w:val="none" w:sz="0" w:space="0" w:color="auto"/>
            <w:left w:val="none" w:sz="0" w:space="0" w:color="auto"/>
            <w:bottom w:val="none" w:sz="0" w:space="0" w:color="auto"/>
            <w:right w:val="none" w:sz="0" w:space="0" w:color="auto"/>
          </w:divBdr>
          <w:divsChild>
            <w:div w:id="937711603">
              <w:marLeft w:val="0"/>
              <w:marRight w:val="0"/>
              <w:marTop w:val="0"/>
              <w:marBottom w:val="0"/>
              <w:divBdr>
                <w:top w:val="none" w:sz="0" w:space="0" w:color="auto"/>
                <w:left w:val="none" w:sz="0" w:space="0" w:color="auto"/>
                <w:bottom w:val="none" w:sz="0" w:space="0" w:color="auto"/>
                <w:right w:val="none" w:sz="0" w:space="0" w:color="auto"/>
              </w:divBdr>
            </w:div>
          </w:divsChild>
        </w:div>
        <w:div w:id="731999053">
          <w:marLeft w:val="0"/>
          <w:marRight w:val="0"/>
          <w:marTop w:val="0"/>
          <w:marBottom w:val="0"/>
          <w:divBdr>
            <w:top w:val="none" w:sz="0" w:space="0" w:color="auto"/>
            <w:left w:val="none" w:sz="0" w:space="0" w:color="auto"/>
            <w:bottom w:val="none" w:sz="0" w:space="0" w:color="auto"/>
            <w:right w:val="none" w:sz="0" w:space="0" w:color="auto"/>
          </w:divBdr>
          <w:divsChild>
            <w:div w:id="337656050">
              <w:marLeft w:val="0"/>
              <w:marRight w:val="0"/>
              <w:marTop w:val="0"/>
              <w:marBottom w:val="0"/>
              <w:divBdr>
                <w:top w:val="none" w:sz="0" w:space="0" w:color="auto"/>
                <w:left w:val="none" w:sz="0" w:space="0" w:color="auto"/>
                <w:bottom w:val="none" w:sz="0" w:space="0" w:color="auto"/>
                <w:right w:val="none" w:sz="0" w:space="0" w:color="auto"/>
              </w:divBdr>
            </w:div>
          </w:divsChild>
        </w:div>
        <w:div w:id="733045342">
          <w:marLeft w:val="0"/>
          <w:marRight w:val="0"/>
          <w:marTop w:val="0"/>
          <w:marBottom w:val="0"/>
          <w:divBdr>
            <w:top w:val="none" w:sz="0" w:space="0" w:color="auto"/>
            <w:left w:val="none" w:sz="0" w:space="0" w:color="auto"/>
            <w:bottom w:val="none" w:sz="0" w:space="0" w:color="auto"/>
            <w:right w:val="none" w:sz="0" w:space="0" w:color="auto"/>
          </w:divBdr>
          <w:divsChild>
            <w:div w:id="110058654">
              <w:marLeft w:val="0"/>
              <w:marRight w:val="0"/>
              <w:marTop w:val="0"/>
              <w:marBottom w:val="0"/>
              <w:divBdr>
                <w:top w:val="none" w:sz="0" w:space="0" w:color="auto"/>
                <w:left w:val="none" w:sz="0" w:space="0" w:color="auto"/>
                <w:bottom w:val="none" w:sz="0" w:space="0" w:color="auto"/>
                <w:right w:val="none" w:sz="0" w:space="0" w:color="auto"/>
              </w:divBdr>
            </w:div>
          </w:divsChild>
        </w:div>
        <w:div w:id="737674457">
          <w:marLeft w:val="0"/>
          <w:marRight w:val="0"/>
          <w:marTop w:val="0"/>
          <w:marBottom w:val="0"/>
          <w:divBdr>
            <w:top w:val="none" w:sz="0" w:space="0" w:color="auto"/>
            <w:left w:val="none" w:sz="0" w:space="0" w:color="auto"/>
            <w:bottom w:val="none" w:sz="0" w:space="0" w:color="auto"/>
            <w:right w:val="none" w:sz="0" w:space="0" w:color="auto"/>
          </w:divBdr>
          <w:divsChild>
            <w:div w:id="1712076908">
              <w:marLeft w:val="0"/>
              <w:marRight w:val="0"/>
              <w:marTop w:val="0"/>
              <w:marBottom w:val="0"/>
              <w:divBdr>
                <w:top w:val="none" w:sz="0" w:space="0" w:color="auto"/>
                <w:left w:val="none" w:sz="0" w:space="0" w:color="auto"/>
                <w:bottom w:val="none" w:sz="0" w:space="0" w:color="auto"/>
                <w:right w:val="none" w:sz="0" w:space="0" w:color="auto"/>
              </w:divBdr>
            </w:div>
          </w:divsChild>
        </w:div>
        <w:div w:id="909771446">
          <w:marLeft w:val="0"/>
          <w:marRight w:val="0"/>
          <w:marTop w:val="0"/>
          <w:marBottom w:val="0"/>
          <w:divBdr>
            <w:top w:val="none" w:sz="0" w:space="0" w:color="auto"/>
            <w:left w:val="none" w:sz="0" w:space="0" w:color="auto"/>
            <w:bottom w:val="none" w:sz="0" w:space="0" w:color="auto"/>
            <w:right w:val="none" w:sz="0" w:space="0" w:color="auto"/>
          </w:divBdr>
          <w:divsChild>
            <w:div w:id="1362128855">
              <w:marLeft w:val="0"/>
              <w:marRight w:val="0"/>
              <w:marTop w:val="0"/>
              <w:marBottom w:val="0"/>
              <w:divBdr>
                <w:top w:val="none" w:sz="0" w:space="0" w:color="auto"/>
                <w:left w:val="none" w:sz="0" w:space="0" w:color="auto"/>
                <w:bottom w:val="none" w:sz="0" w:space="0" w:color="auto"/>
                <w:right w:val="none" w:sz="0" w:space="0" w:color="auto"/>
              </w:divBdr>
            </w:div>
          </w:divsChild>
        </w:div>
        <w:div w:id="1026759153">
          <w:marLeft w:val="0"/>
          <w:marRight w:val="0"/>
          <w:marTop w:val="0"/>
          <w:marBottom w:val="0"/>
          <w:divBdr>
            <w:top w:val="none" w:sz="0" w:space="0" w:color="auto"/>
            <w:left w:val="none" w:sz="0" w:space="0" w:color="auto"/>
            <w:bottom w:val="none" w:sz="0" w:space="0" w:color="auto"/>
            <w:right w:val="none" w:sz="0" w:space="0" w:color="auto"/>
          </w:divBdr>
          <w:divsChild>
            <w:div w:id="837037004">
              <w:marLeft w:val="0"/>
              <w:marRight w:val="0"/>
              <w:marTop w:val="0"/>
              <w:marBottom w:val="0"/>
              <w:divBdr>
                <w:top w:val="none" w:sz="0" w:space="0" w:color="auto"/>
                <w:left w:val="none" w:sz="0" w:space="0" w:color="auto"/>
                <w:bottom w:val="none" w:sz="0" w:space="0" w:color="auto"/>
                <w:right w:val="none" w:sz="0" w:space="0" w:color="auto"/>
              </w:divBdr>
            </w:div>
          </w:divsChild>
        </w:div>
        <w:div w:id="1034574818">
          <w:marLeft w:val="0"/>
          <w:marRight w:val="0"/>
          <w:marTop w:val="0"/>
          <w:marBottom w:val="0"/>
          <w:divBdr>
            <w:top w:val="none" w:sz="0" w:space="0" w:color="auto"/>
            <w:left w:val="none" w:sz="0" w:space="0" w:color="auto"/>
            <w:bottom w:val="none" w:sz="0" w:space="0" w:color="auto"/>
            <w:right w:val="none" w:sz="0" w:space="0" w:color="auto"/>
          </w:divBdr>
          <w:divsChild>
            <w:div w:id="1700079547">
              <w:marLeft w:val="0"/>
              <w:marRight w:val="0"/>
              <w:marTop w:val="0"/>
              <w:marBottom w:val="0"/>
              <w:divBdr>
                <w:top w:val="none" w:sz="0" w:space="0" w:color="auto"/>
                <w:left w:val="none" w:sz="0" w:space="0" w:color="auto"/>
                <w:bottom w:val="none" w:sz="0" w:space="0" w:color="auto"/>
                <w:right w:val="none" w:sz="0" w:space="0" w:color="auto"/>
              </w:divBdr>
            </w:div>
          </w:divsChild>
        </w:div>
        <w:div w:id="1113479517">
          <w:marLeft w:val="0"/>
          <w:marRight w:val="0"/>
          <w:marTop w:val="0"/>
          <w:marBottom w:val="0"/>
          <w:divBdr>
            <w:top w:val="none" w:sz="0" w:space="0" w:color="auto"/>
            <w:left w:val="none" w:sz="0" w:space="0" w:color="auto"/>
            <w:bottom w:val="none" w:sz="0" w:space="0" w:color="auto"/>
            <w:right w:val="none" w:sz="0" w:space="0" w:color="auto"/>
          </w:divBdr>
          <w:divsChild>
            <w:div w:id="71394803">
              <w:marLeft w:val="0"/>
              <w:marRight w:val="0"/>
              <w:marTop w:val="0"/>
              <w:marBottom w:val="0"/>
              <w:divBdr>
                <w:top w:val="none" w:sz="0" w:space="0" w:color="auto"/>
                <w:left w:val="none" w:sz="0" w:space="0" w:color="auto"/>
                <w:bottom w:val="none" w:sz="0" w:space="0" w:color="auto"/>
                <w:right w:val="none" w:sz="0" w:space="0" w:color="auto"/>
              </w:divBdr>
            </w:div>
          </w:divsChild>
        </w:div>
        <w:div w:id="1537425946">
          <w:marLeft w:val="0"/>
          <w:marRight w:val="0"/>
          <w:marTop w:val="0"/>
          <w:marBottom w:val="0"/>
          <w:divBdr>
            <w:top w:val="none" w:sz="0" w:space="0" w:color="auto"/>
            <w:left w:val="none" w:sz="0" w:space="0" w:color="auto"/>
            <w:bottom w:val="none" w:sz="0" w:space="0" w:color="auto"/>
            <w:right w:val="none" w:sz="0" w:space="0" w:color="auto"/>
          </w:divBdr>
          <w:divsChild>
            <w:div w:id="1705135285">
              <w:marLeft w:val="0"/>
              <w:marRight w:val="0"/>
              <w:marTop w:val="0"/>
              <w:marBottom w:val="0"/>
              <w:divBdr>
                <w:top w:val="none" w:sz="0" w:space="0" w:color="auto"/>
                <w:left w:val="none" w:sz="0" w:space="0" w:color="auto"/>
                <w:bottom w:val="none" w:sz="0" w:space="0" w:color="auto"/>
                <w:right w:val="none" w:sz="0" w:space="0" w:color="auto"/>
              </w:divBdr>
            </w:div>
          </w:divsChild>
        </w:div>
        <w:div w:id="1771504324">
          <w:marLeft w:val="0"/>
          <w:marRight w:val="0"/>
          <w:marTop w:val="0"/>
          <w:marBottom w:val="0"/>
          <w:divBdr>
            <w:top w:val="none" w:sz="0" w:space="0" w:color="auto"/>
            <w:left w:val="none" w:sz="0" w:space="0" w:color="auto"/>
            <w:bottom w:val="none" w:sz="0" w:space="0" w:color="auto"/>
            <w:right w:val="none" w:sz="0" w:space="0" w:color="auto"/>
          </w:divBdr>
          <w:divsChild>
            <w:div w:id="137764262">
              <w:marLeft w:val="0"/>
              <w:marRight w:val="0"/>
              <w:marTop w:val="0"/>
              <w:marBottom w:val="0"/>
              <w:divBdr>
                <w:top w:val="none" w:sz="0" w:space="0" w:color="auto"/>
                <w:left w:val="none" w:sz="0" w:space="0" w:color="auto"/>
                <w:bottom w:val="none" w:sz="0" w:space="0" w:color="auto"/>
                <w:right w:val="none" w:sz="0" w:space="0" w:color="auto"/>
              </w:divBdr>
            </w:div>
          </w:divsChild>
        </w:div>
        <w:div w:id="1895583272">
          <w:marLeft w:val="0"/>
          <w:marRight w:val="0"/>
          <w:marTop w:val="0"/>
          <w:marBottom w:val="0"/>
          <w:divBdr>
            <w:top w:val="none" w:sz="0" w:space="0" w:color="auto"/>
            <w:left w:val="none" w:sz="0" w:space="0" w:color="auto"/>
            <w:bottom w:val="none" w:sz="0" w:space="0" w:color="auto"/>
            <w:right w:val="none" w:sz="0" w:space="0" w:color="auto"/>
          </w:divBdr>
          <w:divsChild>
            <w:div w:id="515265538">
              <w:marLeft w:val="0"/>
              <w:marRight w:val="0"/>
              <w:marTop w:val="0"/>
              <w:marBottom w:val="0"/>
              <w:divBdr>
                <w:top w:val="none" w:sz="0" w:space="0" w:color="auto"/>
                <w:left w:val="none" w:sz="0" w:space="0" w:color="auto"/>
                <w:bottom w:val="none" w:sz="0" w:space="0" w:color="auto"/>
                <w:right w:val="none" w:sz="0" w:space="0" w:color="auto"/>
              </w:divBdr>
            </w:div>
          </w:divsChild>
        </w:div>
        <w:div w:id="1976374370">
          <w:marLeft w:val="0"/>
          <w:marRight w:val="0"/>
          <w:marTop w:val="0"/>
          <w:marBottom w:val="0"/>
          <w:divBdr>
            <w:top w:val="none" w:sz="0" w:space="0" w:color="auto"/>
            <w:left w:val="none" w:sz="0" w:space="0" w:color="auto"/>
            <w:bottom w:val="none" w:sz="0" w:space="0" w:color="auto"/>
            <w:right w:val="none" w:sz="0" w:space="0" w:color="auto"/>
          </w:divBdr>
          <w:divsChild>
            <w:div w:id="2126382827">
              <w:marLeft w:val="0"/>
              <w:marRight w:val="0"/>
              <w:marTop w:val="0"/>
              <w:marBottom w:val="0"/>
              <w:divBdr>
                <w:top w:val="none" w:sz="0" w:space="0" w:color="auto"/>
                <w:left w:val="none" w:sz="0" w:space="0" w:color="auto"/>
                <w:bottom w:val="none" w:sz="0" w:space="0" w:color="auto"/>
                <w:right w:val="none" w:sz="0" w:space="0" w:color="auto"/>
              </w:divBdr>
            </w:div>
          </w:divsChild>
        </w:div>
        <w:div w:id="1989749914">
          <w:marLeft w:val="0"/>
          <w:marRight w:val="0"/>
          <w:marTop w:val="0"/>
          <w:marBottom w:val="0"/>
          <w:divBdr>
            <w:top w:val="none" w:sz="0" w:space="0" w:color="auto"/>
            <w:left w:val="none" w:sz="0" w:space="0" w:color="auto"/>
            <w:bottom w:val="none" w:sz="0" w:space="0" w:color="auto"/>
            <w:right w:val="none" w:sz="0" w:space="0" w:color="auto"/>
          </w:divBdr>
          <w:divsChild>
            <w:div w:id="383990411">
              <w:marLeft w:val="0"/>
              <w:marRight w:val="0"/>
              <w:marTop w:val="0"/>
              <w:marBottom w:val="0"/>
              <w:divBdr>
                <w:top w:val="none" w:sz="0" w:space="0" w:color="auto"/>
                <w:left w:val="none" w:sz="0" w:space="0" w:color="auto"/>
                <w:bottom w:val="none" w:sz="0" w:space="0" w:color="auto"/>
                <w:right w:val="none" w:sz="0" w:space="0" w:color="auto"/>
              </w:divBdr>
            </w:div>
          </w:divsChild>
        </w:div>
        <w:div w:id="2058771081">
          <w:marLeft w:val="0"/>
          <w:marRight w:val="0"/>
          <w:marTop w:val="0"/>
          <w:marBottom w:val="0"/>
          <w:divBdr>
            <w:top w:val="none" w:sz="0" w:space="0" w:color="auto"/>
            <w:left w:val="none" w:sz="0" w:space="0" w:color="auto"/>
            <w:bottom w:val="none" w:sz="0" w:space="0" w:color="auto"/>
            <w:right w:val="none" w:sz="0" w:space="0" w:color="auto"/>
          </w:divBdr>
          <w:divsChild>
            <w:div w:id="107815161">
              <w:marLeft w:val="0"/>
              <w:marRight w:val="0"/>
              <w:marTop w:val="0"/>
              <w:marBottom w:val="0"/>
              <w:divBdr>
                <w:top w:val="none" w:sz="0" w:space="0" w:color="auto"/>
                <w:left w:val="none" w:sz="0" w:space="0" w:color="auto"/>
                <w:bottom w:val="none" w:sz="0" w:space="0" w:color="auto"/>
                <w:right w:val="none" w:sz="0" w:space="0" w:color="auto"/>
              </w:divBdr>
            </w:div>
          </w:divsChild>
        </w:div>
        <w:div w:id="2114781878">
          <w:marLeft w:val="0"/>
          <w:marRight w:val="0"/>
          <w:marTop w:val="0"/>
          <w:marBottom w:val="0"/>
          <w:divBdr>
            <w:top w:val="none" w:sz="0" w:space="0" w:color="auto"/>
            <w:left w:val="none" w:sz="0" w:space="0" w:color="auto"/>
            <w:bottom w:val="none" w:sz="0" w:space="0" w:color="auto"/>
            <w:right w:val="none" w:sz="0" w:space="0" w:color="auto"/>
          </w:divBdr>
          <w:divsChild>
            <w:div w:id="1972009979">
              <w:marLeft w:val="0"/>
              <w:marRight w:val="0"/>
              <w:marTop w:val="0"/>
              <w:marBottom w:val="0"/>
              <w:divBdr>
                <w:top w:val="none" w:sz="0" w:space="0" w:color="auto"/>
                <w:left w:val="none" w:sz="0" w:space="0" w:color="auto"/>
                <w:bottom w:val="none" w:sz="0" w:space="0" w:color="auto"/>
                <w:right w:val="none" w:sz="0" w:space="0" w:color="auto"/>
              </w:divBdr>
            </w:div>
          </w:divsChild>
        </w:div>
        <w:div w:id="2134515403">
          <w:marLeft w:val="0"/>
          <w:marRight w:val="0"/>
          <w:marTop w:val="0"/>
          <w:marBottom w:val="0"/>
          <w:divBdr>
            <w:top w:val="none" w:sz="0" w:space="0" w:color="auto"/>
            <w:left w:val="none" w:sz="0" w:space="0" w:color="auto"/>
            <w:bottom w:val="none" w:sz="0" w:space="0" w:color="auto"/>
            <w:right w:val="none" w:sz="0" w:space="0" w:color="auto"/>
          </w:divBdr>
          <w:divsChild>
            <w:div w:id="1891961496">
              <w:marLeft w:val="0"/>
              <w:marRight w:val="0"/>
              <w:marTop w:val="0"/>
              <w:marBottom w:val="0"/>
              <w:divBdr>
                <w:top w:val="none" w:sz="0" w:space="0" w:color="auto"/>
                <w:left w:val="none" w:sz="0" w:space="0" w:color="auto"/>
                <w:bottom w:val="none" w:sz="0" w:space="0" w:color="auto"/>
                <w:right w:val="none" w:sz="0" w:space="0" w:color="auto"/>
              </w:divBdr>
            </w:div>
          </w:divsChild>
        </w:div>
        <w:div w:id="2142187834">
          <w:marLeft w:val="0"/>
          <w:marRight w:val="0"/>
          <w:marTop w:val="0"/>
          <w:marBottom w:val="0"/>
          <w:divBdr>
            <w:top w:val="none" w:sz="0" w:space="0" w:color="auto"/>
            <w:left w:val="none" w:sz="0" w:space="0" w:color="auto"/>
            <w:bottom w:val="none" w:sz="0" w:space="0" w:color="auto"/>
            <w:right w:val="none" w:sz="0" w:space="0" w:color="auto"/>
          </w:divBdr>
          <w:divsChild>
            <w:div w:id="19438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3230">
      <w:bodyDiv w:val="1"/>
      <w:marLeft w:val="0"/>
      <w:marRight w:val="0"/>
      <w:marTop w:val="0"/>
      <w:marBottom w:val="0"/>
      <w:divBdr>
        <w:top w:val="none" w:sz="0" w:space="0" w:color="auto"/>
        <w:left w:val="none" w:sz="0" w:space="0" w:color="auto"/>
        <w:bottom w:val="none" w:sz="0" w:space="0" w:color="auto"/>
        <w:right w:val="none" w:sz="0" w:space="0" w:color="auto"/>
      </w:divBdr>
    </w:div>
    <w:div w:id="1862012622">
      <w:bodyDiv w:val="1"/>
      <w:marLeft w:val="0"/>
      <w:marRight w:val="0"/>
      <w:marTop w:val="0"/>
      <w:marBottom w:val="0"/>
      <w:divBdr>
        <w:top w:val="none" w:sz="0" w:space="0" w:color="auto"/>
        <w:left w:val="none" w:sz="0" w:space="0" w:color="auto"/>
        <w:bottom w:val="none" w:sz="0" w:space="0" w:color="auto"/>
        <w:right w:val="none" w:sz="0" w:space="0" w:color="auto"/>
      </w:divBdr>
    </w:div>
    <w:div w:id="1922254664">
      <w:bodyDiv w:val="1"/>
      <w:marLeft w:val="0"/>
      <w:marRight w:val="0"/>
      <w:marTop w:val="0"/>
      <w:marBottom w:val="0"/>
      <w:divBdr>
        <w:top w:val="none" w:sz="0" w:space="0" w:color="auto"/>
        <w:left w:val="none" w:sz="0" w:space="0" w:color="auto"/>
        <w:bottom w:val="none" w:sz="0" w:space="0" w:color="auto"/>
        <w:right w:val="none" w:sz="0" w:space="0" w:color="auto"/>
      </w:divBdr>
    </w:div>
    <w:div w:id="1989701852">
      <w:bodyDiv w:val="1"/>
      <w:marLeft w:val="0"/>
      <w:marRight w:val="0"/>
      <w:marTop w:val="0"/>
      <w:marBottom w:val="0"/>
      <w:divBdr>
        <w:top w:val="none" w:sz="0" w:space="0" w:color="auto"/>
        <w:left w:val="none" w:sz="0" w:space="0" w:color="auto"/>
        <w:bottom w:val="none" w:sz="0" w:space="0" w:color="auto"/>
        <w:right w:val="none" w:sz="0" w:space="0" w:color="auto"/>
      </w:divBdr>
      <w:divsChild>
        <w:div w:id="64884505">
          <w:marLeft w:val="0"/>
          <w:marRight w:val="0"/>
          <w:marTop w:val="0"/>
          <w:marBottom w:val="0"/>
          <w:divBdr>
            <w:top w:val="none" w:sz="0" w:space="0" w:color="auto"/>
            <w:left w:val="none" w:sz="0" w:space="0" w:color="auto"/>
            <w:bottom w:val="none" w:sz="0" w:space="0" w:color="auto"/>
            <w:right w:val="none" w:sz="0" w:space="0" w:color="auto"/>
          </w:divBdr>
          <w:divsChild>
            <w:div w:id="585965126">
              <w:marLeft w:val="0"/>
              <w:marRight w:val="0"/>
              <w:marTop w:val="0"/>
              <w:marBottom w:val="0"/>
              <w:divBdr>
                <w:top w:val="none" w:sz="0" w:space="0" w:color="auto"/>
                <w:left w:val="none" w:sz="0" w:space="0" w:color="auto"/>
                <w:bottom w:val="none" w:sz="0" w:space="0" w:color="auto"/>
                <w:right w:val="none" w:sz="0" w:space="0" w:color="auto"/>
              </w:divBdr>
            </w:div>
          </w:divsChild>
        </w:div>
        <w:div w:id="95558607">
          <w:marLeft w:val="0"/>
          <w:marRight w:val="0"/>
          <w:marTop w:val="0"/>
          <w:marBottom w:val="0"/>
          <w:divBdr>
            <w:top w:val="none" w:sz="0" w:space="0" w:color="auto"/>
            <w:left w:val="none" w:sz="0" w:space="0" w:color="auto"/>
            <w:bottom w:val="none" w:sz="0" w:space="0" w:color="auto"/>
            <w:right w:val="none" w:sz="0" w:space="0" w:color="auto"/>
          </w:divBdr>
          <w:divsChild>
            <w:div w:id="1446970088">
              <w:marLeft w:val="0"/>
              <w:marRight w:val="0"/>
              <w:marTop w:val="0"/>
              <w:marBottom w:val="0"/>
              <w:divBdr>
                <w:top w:val="none" w:sz="0" w:space="0" w:color="auto"/>
                <w:left w:val="none" w:sz="0" w:space="0" w:color="auto"/>
                <w:bottom w:val="none" w:sz="0" w:space="0" w:color="auto"/>
                <w:right w:val="none" w:sz="0" w:space="0" w:color="auto"/>
              </w:divBdr>
            </w:div>
          </w:divsChild>
        </w:div>
        <w:div w:id="212273984">
          <w:marLeft w:val="0"/>
          <w:marRight w:val="0"/>
          <w:marTop w:val="0"/>
          <w:marBottom w:val="0"/>
          <w:divBdr>
            <w:top w:val="none" w:sz="0" w:space="0" w:color="auto"/>
            <w:left w:val="none" w:sz="0" w:space="0" w:color="auto"/>
            <w:bottom w:val="none" w:sz="0" w:space="0" w:color="auto"/>
            <w:right w:val="none" w:sz="0" w:space="0" w:color="auto"/>
          </w:divBdr>
          <w:divsChild>
            <w:div w:id="850144580">
              <w:marLeft w:val="0"/>
              <w:marRight w:val="0"/>
              <w:marTop w:val="0"/>
              <w:marBottom w:val="0"/>
              <w:divBdr>
                <w:top w:val="none" w:sz="0" w:space="0" w:color="auto"/>
                <w:left w:val="none" w:sz="0" w:space="0" w:color="auto"/>
                <w:bottom w:val="none" w:sz="0" w:space="0" w:color="auto"/>
                <w:right w:val="none" w:sz="0" w:space="0" w:color="auto"/>
              </w:divBdr>
            </w:div>
          </w:divsChild>
        </w:div>
        <w:div w:id="248512877">
          <w:marLeft w:val="0"/>
          <w:marRight w:val="0"/>
          <w:marTop w:val="0"/>
          <w:marBottom w:val="0"/>
          <w:divBdr>
            <w:top w:val="none" w:sz="0" w:space="0" w:color="auto"/>
            <w:left w:val="none" w:sz="0" w:space="0" w:color="auto"/>
            <w:bottom w:val="none" w:sz="0" w:space="0" w:color="auto"/>
            <w:right w:val="none" w:sz="0" w:space="0" w:color="auto"/>
          </w:divBdr>
          <w:divsChild>
            <w:div w:id="376971944">
              <w:marLeft w:val="0"/>
              <w:marRight w:val="0"/>
              <w:marTop w:val="0"/>
              <w:marBottom w:val="0"/>
              <w:divBdr>
                <w:top w:val="none" w:sz="0" w:space="0" w:color="auto"/>
                <w:left w:val="none" w:sz="0" w:space="0" w:color="auto"/>
                <w:bottom w:val="none" w:sz="0" w:space="0" w:color="auto"/>
                <w:right w:val="none" w:sz="0" w:space="0" w:color="auto"/>
              </w:divBdr>
            </w:div>
            <w:div w:id="2085950193">
              <w:marLeft w:val="0"/>
              <w:marRight w:val="0"/>
              <w:marTop w:val="0"/>
              <w:marBottom w:val="0"/>
              <w:divBdr>
                <w:top w:val="none" w:sz="0" w:space="0" w:color="auto"/>
                <w:left w:val="none" w:sz="0" w:space="0" w:color="auto"/>
                <w:bottom w:val="none" w:sz="0" w:space="0" w:color="auto"/>
                <w:right w:val="none" w:sz="0" w:space="0" w:color="auto"/>
              </w:divBdr>
            </w:div>
          </w:divsChild>
        </w:div>
        <w:div w:id="295335128">
          <w:marLeft w:val="0"/>
          <w:marRight w:val="0"/>
          <w:marTop w:val="0"/>
          <w:marBottom w:val="0"/>
          <w:divBdr>
            <w:top w:val="none" w:sz="0" w:space="0" w:color="auto"/>
            <w:left w:val="none" w:sz="0" w:space="0" w:color="auto"/>
            <w:bottom w:val="none" w:sz="0" w:space="0" w:color="auto"/>
            <w:right w:val="none" w:sz="0" w:space="0" w:color="auto"/>
          </w:divBdr>
          <w:divsChild>
            <w:div w:id="1519737649">
              <w:marLeft w:val="0"/>
              <w:marRight w:val="0"/>
              <w:marTop w:val="0"/>
              <w:marBottom w:val="0"/>
              <w:divBdr>
                <w:top w:val="none" w:sz="0" w:space="0" w:color="auto"/>
                <w:left w:val="none" w:sz="0" w:space="0" w:color="auto"/>
                <w:bottom w:val="none" w:sz="0" w:space="0" w:color="auto"/>
                <w:right w:val="none" w:sz="0" w:space="0" w:color="auto"/>
              </w:divBdr>
            </w:div>
          </w:divsChild>
        </w:div>
        <w:div w:id="448359788">
          <w:marLeft w:val="0"/>
          <w:marRight w:val="0"/>
          <w:marTop w:val="0"/>
          <w:marBottom w:val="0"/>
          <w:divBdr>
            <w:top w:val="none" w:sz="0" w:space="0" w:color="auto"/>
            <w:left w:val="none" w:sz="0" w:space="0" w:color="auto"/>
            <w:bottom w:val="none" w:sz="0" w:space="0" w:color="auto"/>
            <w:right w:val="none" w:sz="0" w:space="0" w:color="auto"/>
          </w:divBdr>
          <w:divsChild>
            <w:div w:id="1980381265">
              <w:marLeft w:val="0"/>
              <w:marRight w:val="0"/>
              <w:marTop w:val="0"/>
              <w:marBottom w:val="0"/>
              <w:divBdr>
                <w:top w:val="none" w:sz="0" w:space="0" w:color="auto"/>
                <w:left w:val="none" w:sz="0" w:space="0" w:color="auto"/>
                <w:bottom w:val="none" w:sz="0" w:space="0" w:color="auto"/>
                <w:right w:val="none" w:sz="0" w:space="0" w:color="auto"/>
              </w:divBdr>
            </w:div>
          </w:divsChild>
        </w:div>
        <w:div w:id="461462013">
          <w:marLeft w:val="0"/>
          <w:marRight w:val="0"/>
          <w:marTop w:val="0"/>
          <w:marBottom w:val="0"/>
          <w:divBdr>
            <w:top w:val="none" w:sz="0" w:space="0" w:color="auto"/>
            <w:left w:val="none" w:sz="0" w:space="0" w:color="auto"/>
            <w:bottom w:val="none" w:sz="0" w:space="0" w:color="auto"/>
            <w:right w:val="none" w:sz="0" w:space="0" w:color="auto"/>
          </w:divBdr>
          <w:divsChild>
            <w:div w:id="257835283">
              <w:marLeft w:val="0"/>
              <w:marRight w:val="0"/>
              <w:marTop w:val="0"/>
              <w:marBottom w:val="0"/>
              <w:divBdr>
                <w:top w:val="none" w:sz="0" w:space="0" w:color="auto"/>
                <w:left w:val="none" w:sz="0" w:space="0" w:color="auto"/>
                <w:bottom w:val="none" w:sz="0" w:space="0" w:color="auto"/>
                <w:right w:val="none" w:sz="0" w:space="0" w:color="auto"/>
              </w:divBdr>
            </w:div>
          </w:divsChild>
        </w:div>
        <w:div w:id="598217846">
          <w:marLeft w:val="0"/>
          <w:marRight w:val="0"/>
          <w:marTop w:val="0"/>
          <w:marBottom w:val="0"/>
          <w:divBdr>
            <w:top w:val="none" w:sz="0" w:space="0" w:color="auto"/>
            <w:left w:val="none" w:sz="0" w:space="0" w:color="auto"/>
            <w:bottom w:val="none" w:sz="0" w:space="0" w:color="auto"/>
            <w:right w:val="none" w:sz="0" w:space="0" w:color="auto"/>
          </w:divBdr>
          <w:divsChild>
            <w:div w:id="164131842">
              <w:marLeft w:val="0"/>
              <w:marRight w:val="0"/>
              <w:marTop w:val="0"/>
              <w:marBottom w:val="0"/>
              <w:divBdr>
                <w:top w:val="none" w:sz="0" w:space="0" w:color="auto"/>
                <w:left w:val="none" w:sz="0" w:space="0" w:color="auto"/>
                <w:bottom w:val="none" w:sz="0" w:space="0" w:color="auto"/>
                <w:right w:val="none" w:sz="0" w:space="0" w:color="auto"/>
              </w:divBdr>
            </w:div>
          </w:divsChild>
        </w:div>
        <w:div w:id="675422702">
          <w:marLeft w:val="0"/>
          <w:marRight w:val="0"/>
          <w:marTop w:val="0"/>
          <w:marBottom w:val="0"/>
          <w:divBdr>
            <w:top w:val="none" w:sz="0" w:space="0" w:color="auto"/>
            <w:left w:val="none" w:sz="0" w:space="0" w:color="auto"/>
            <w:bottom w:val="none" w:sz="0" w:space="0" w:color="auto"/>
            <w:right w:val="none" w:sz="0" w:space="0" w:color="auto"/>
          </w:divBdr>
          <w:divsChild>
            <w:div w:id="1336419438">
              <w:marLeft w:val="0"/>
              <w:marRight w:val="0"/>
              <w:marTop w:val="0"/>
              <w:marBottom w:val="0"/>
              <w:divBdr>
                <w:top w:val="none" w:sz="0" w:space="0" w:color="auto"/>
                <w:left w:val="none" w:sz="0" w:space="0" w:color="auto"/>
                <w:bottom w:val="none" w:sz="0" w:space="0" w:color="auto"/>
                <w:right w:val="none" w:sz="0" w:space="0" w:color="auto"/>
              </w:divBdr>
            </w:div>
          </w:divsChild>
        </w:div>
        <w:div w:id="722603130">
          <w:marLeft w:val="0"/>
          <w:marRight w:val="0"/>
          <w:marTop w:val="0"/>
          <w:marBottom w:val="0"/>
          <w:divBdr>
            <w:top w:val="none" w:sz="0" w:space="0" w:color="auto"/>
            <w:left w:val="none" w:sz="0" w:space="0" w:color="auto"/>
            <w:bottom w:val="none" w:sz="0" w:space="0" w:color="auto"/>
            <w:right w:val="none" w:sz="0" w:space="0" w:color="auto"/>
          </w:divBdr>
          <w:divsChild>
            <w:div w:id="1909412814">
              <w:marLeft w:val="0"/>
              <w:marRight w:val="0"/>
              <w:marTop w:val="0"/>
              <w:marBottom w:val="0"/>
              <w:divBdr>
                <w:top w:val="none" w:sz="0" w:space="0" w:color="auto"/>
                <w:left w:val="none" w:sz="0" w:space="0" w:color="auto"/>
                <w:bottom w:val="none" w:sz="0" w:space="0" w:color="auto"/>
                <w:right w:val="none" w:sz="0" w:space="0" w:color="auto"/>
              </w:divBdr>
            </w:div>
          </w:divsChild>
        </w:div>
        <w:div w:id="874002539">
          <w:marLeft w:val="0"/>
          <w:marRight w:val="0"/>
          <w:marTop w:val="0"/>
          <w:marBottom w:val="0"/>
          <w:divBdr>
            <w:top w:val="none" w:sz="0" w:space="0" w:color="auto"/>
            <w:left w:val="none" w:sz="0" w:space="0" w:color="auto"/>
            <w:bottom w:val="none" w:sz="0" w:space="0" w:color="auto"/>
            <w:right w:val="none" w:sz="0" w:space="0" w:color="auto"/>
          </w:divBdr>
          <w:divsChild>
            <w:div w:id="1682275014">
              <w:marLeft w:val="0"/>
              <w:marRight w:val="0"/>
              <w:marTop w:val="0"/>
              <w:marBottom w:val="0"/>
              <w:divBdr>
                <w:top w:val="none" w:sz="0" w:space="0" w:color="auto"/>
                <w:left w:val="none" w:sz="0" w:space="0" w:color="auto"/>
                <w:bottom w:val="none" w:sz="0" w:space="0" w:color="auto"/>
                <w:right w:val="none" w:sz="0" w:space="0" w:color="auto"/>
              </w:divBdr>
            </w:div>
          </w:divsChild>
        </w:div>
        <w:div w:id="880552522">
          <w:marLeft w:val="0"/>
          <w:marRight w:val="0"/>
          <w:marTop w:val="0"/>
          <w:marBottom w:val="0"/>
          <w:divBdr>
            <w:top w:val="none" w:sz="0" w:space="0" w:color="auto"/>
            <w:left w:val="none" w:sz="0" w:space="0" w:color="auto"/>
            <w:bottom w:val="none" w:sz="0" w:space="0" w:color="auto"/>
            <w:right w:val="none" w:sz="0" w:space="0" w:color="auto"/>
          </w:divBdr>
          <w:divsChild>
            <w:div w:id="991451160">
              <w:marLeft w:val="0"/>
              <w:marRight w:val="0"/>
              <w:marTop w:val="0"/>
              <w:marBottom w:val="0"/>
              <w:divBdr>
                <w:top w:val="none" w:sz="0" w:space="0" w:color="auto"/>
                <w:left w:val="none" w:sz="0" w:space="0" w:color="auto"/>
                <w:bottom w:val="none" w:sz="0" w:space="0" w:color="auto"/>
                <w:right w:val="none" w:sz="0" w:space="0" w:color="auto"/>
              </w:divBdr>
            </w:div>
          </w:divsChild>
        </w:div>
        <w:div w:id="938217682">
          <w:marLeft w:val="0"/>
          <w:marRight w:val="0"/>
          <w:marTop w:val="0"/>
          <w:marBottom w:val="0"/>
          <w:divBdr>
            <w:top w:val="none" w:sz="0" w:space="0" w:color="auto"/>
            <w:left w:val="none" w:sz="0" w:space="0" w:color="auto"/>
            <w:bottom w:val="none" w:sz="0" w:space="0" w:color="auto"/>
            <w:right w:val="none" w:sz="0" w:space="0" w:color="auto"/>
          </w:divBdr>
          <w:divsChild>
            <w:div w:id="1951353646">
              <w:marLeft w:val="0"/>
              <w:marRight w:val="0"/>
              <w:marTop w:val="0"/>
              <w:marBottom w:val="0"/>
              <w:divBdr>
                <w:top w:val="none" w:sz="0" w:space="0" w:color="auto"/>
                <w:left w:val="none" w:sz="0" w:space="0" w:color="auto"/>
                <w:bottom w:val="none" w:sz="0" w:space="0" w:color="auto"/>
                <w:right w:val="none" w:sz="0" w:space="0" w:color="auto"/>
              </w:divBdr>
            </w:div>
          </w:divsChild>
        </w:div>
        <w:div w:id="1196311514">
          <w:marLeft w:val="0"/>
          <w:marRight w:val="0"/>
          <w:marTop w:val="0"/>
          <w:marBottom w:val="0"/>
          <w:divBdr>
            <w:top w:val="none" w:sz="0" w:space="0" w:color="auto"/>
            <w:left w:val="none" w:sz="0" w:space="0" w:color="auto"/>
            <w:bottom w:val="none" w:sz="0" w:space="0" w:color="auto"/>
            <w:right w:val="none" w:sz="0" w:space="0" w:color="auto"/>
          </w:divBdr>
          <w:divsChild>
            <w:div w:id="1617567384">
              <w:marLeft w:val="0"/>
              <w:marRight w:val="0"/>
              <w:marTop w:val="0"/>
              <w:marBottom w:val="0"/>
              <w:divBdr>
                <w:top w:val="none" w:sz="0" w:space="0" w:color="auto"/>
                <w:left w:val="none" w:sz="0" w:space="0" w:color="auto"/>
                <w:bottom w:val="none" w:sz="0" w:space="0" w:color="auto"/>
                <w:right w:val="none" w:sz="0" w:space="0" w:color="auto"/>
              </w:divBdr>
            </w:div>
          </w:divsChild>
        </w:div>
        <w:div w:id="1347247845">
          <w:marLeft w:val="0"/>
          <w:marRight w:val="0"/>
          <w:marTop w:val="0"/>
          <w:marBottom w:val="0"/>
          <w:divBdr>
            <w:top w:val="none" w:sz="0" w:space="0" w:color="auto"/>
            <w:left w:val="none" w:sz="0" w:space="0" w:color="auto"/>
            <w:bottom w:val="none" w:sz="0" w:space="0" w:color="auto"/>
            <w:right w:val="none" w:sz="0" w:space="0" w:color="auto"/>
          </w:divBdr>
          <w:divsChild>
            <w:div w:id="757023664">
              <w:marLeft w:val="0"/>
              <w:marRight w:val="0"/>
              <w:marTop w:val="0"/>
              <w:marBottom w:val="0"/>
              <w:divBdr>
                <w:top w:val="none" w:sz="0" w:space="0" w:color="auto"/>
                <w:left w:val="none" w:sz="0" w:space="0" w:color="auto"/>
                <w:bottom w:val="none" w:sz="0" w:space="0" w:color="auto"/>
                <w:right w:val="none" w:sz="0" w:space="0" w:color="auto"/>
              </w:divBdr>
            </w:div>
          </w:divsChild>
        </w:div>
        <w:div w:id="1465809952">
          <w:marLeft w:val="0"/>
          <w:marRight w:val="0"/>
          <w:marTop w:val="0"/>
          <w:marBottom w:val="0"/>
          <w:divBdr>
            <w:top w:val="none" w:sz="0" w:space="0" w:color="auto"/>
            <w:left w:val="none" w:sz="0" w:space="0" w:color="auto"/>
            <w:bottom w:val="none" w:sz="0" w:space="0" w:color="auto"/>
            <w:right w:val="none" w:sz="0" w:space="0" w:color="auto"/>
          </w:divBdr>
          <w:divsChild>
            <w:div w:id="720905311">
              <w:marLeft w:val="0"/>
              <w:marRight w:val="0"/>
              <w:marTop w:val="0"/>
              <w:marBottom w:val="0"/>
              <w:divBdr>
                <w:top w:val="none" w:sz="0" w:space="0" w:color="auto"/>
                <w:left w:val="none" w:sz="0" w:space="0" w:color="auto"/>
                <w:bottom w:val="none" w:sz="0" w:space="0" w:color="auto"/>
                <w:right w:val="none" w:sz="0" w:space="0" w:color="auto"/>
              </w:divBdr>
            </w:div>
          </w:divsChild>
        </w:div>
        <w:div w:id="1564176524">
          <w:marLeft w:val="0"/>
          <w:marRight w:val="0"/>
          <w:marTop w:val="0"/>
          <w:marBottom w:val="0"/>
          <w:divBdr>
            <w:top w:val="none" w:sz="0" w:space="0" w:color="auto"/>
            <w:left w:val="none" w:sz="0" w:space="0" w:color="auto"/>
            <w:bottom w:val="none" w:sz="0" w:space="0" w:color="auto"/>
            <w:right w:val="none" w:sz="0" w:space="0" w:color="auto"/>
          </w:divBdr>
          <w:divsChild>
            <w:div w:id="1812363825">
              <w:marLeft w:val="0"/>
              <w:marRight w:val="0"/>
              <w:marTop w:val="0"/>
              <w:marBottom w:val="0"/>
              <w:divBdr>
                <w:top w:val="none" w:sz="0" w:space="0" w:color="auto"/>
                <w:left w:val="none" w:sz="0" w:space="0" w:color="auto"/>
                <w:bottom w:val="none" w:sz="0" w:space="0" w:color="auto"/>
                <w:right w:val="none" w:sz="0" w:space="0" w:color="auto"/>
              </w:divBdr>
            </w:div>
          </w:divsChild>
        </w:div>
        <w:div w:id="1579367277">
          <w:marLeft w:val="0"/>
          <w:marRight w:val="0"/>
          <w:marTop w:val="0"/>
          <w:marBottom w:val="0"/>
          <w:divBdr>
            <w:top w:val="none" w:sz="0" w:space="0" w:color="auto"/>
            <w:left w:val="none" w:sz="0" w:space="0" w:color="auto"/>
            <w:bottom w:val="none" w:sz="0" w:space="0" w:color="auto"/>
            <w:right w:val="none" w:sz="0" w:space="0" w:color="auto"/>
          </w:divBdr>
          <w:divsChild>
            <w:div w:id="295795116">
              <w:marLeft w:val="0"/>
              <w:marRight w:val="0"/>
              <w:marTop w:val="0"/>
              <w:marBottom w:val="0"/>
              <w:divBdr>
                <w:top w:val="none" w:sz="0" w:space="0" w:color="auto"/>
                <w:left w:val="none" w:sz="0" w:space="0" w:color="auto"/>
                <w:bottom w:val="none" w:sz="0" w:space="0" w:color="auto"/>
                <w:right w:val="none" w:sz="0" w:space="0" w:color="auto"/>
              </w:divBdr>
            </w:div>
          </w:divsChild>
        </w:div>
        <w:div w:id="1674724828">
          <w:marLeft w:val="0"/>
          <w:marRight w:val="0"/>
          <w:marTop w:val="0"/>
          <w:marBottom w:val="0"/>
          <w:divBdr>
            <w:top w:val="none" w:sz="0" w:space="0" w:color="auto"/>
            <w:left w:val="none" w:sz="0" w:space="0" w:color="auto"/>
            <w:bottom w:val="none" w:sz="0" w:space="0" w:color="auto"/>
            <w:right w:val="none" w:sz="0" w:space="0" w:color="auto"/>
          </w:divBdr>
          <w:divsChild>
            <w:div w:id="1102456867">
              <w:marLeft w:val="0"/>
              <w:marRight w:val="0"/>
              <w:marTop w:val="0"/>
              <w:marBottom w:val="0"/>
              <w:divBdr>
                <w:top w:val="none" w:sz="0" w:space="0" w:color="auto"/>
                <w:left w:val="none" w:sz="0" w:space="0" w:color="auto"/>
                <w:bottom w:val="none" w:sz="0" w:space="0" w:color="auto"/>
                <w:right w:val="none" w:sz="0" w:space="0" w:color="auto"/>
              </w:divBdr>
            </w:div>
          </w:divsChild>
        </w:div>
        <w:div w:id="1723863130">
          <w:marLeft w:val="0"/>
          <w:marRight w:val="0"/>
          <w:marTop w:val="0"/>
          <w:marBottom w:val="0"/>
          <w:divBdr>
            <w:top w:val="none" w:sz="0" w:space="0" w:color="auto"/>
            <w:left w:val="none" w:sz="0" w:space="0" w:color="auto"/>
            <w:bottom w:val="none" w:sz="0" w:space="0" w:color="auto"/>
            <w:right w:val="none" w:sz="0" w:space="0" w:color="auto"/>
          </w:divBdr>
          <w:divsChild>
            <w:div w:id="336931052">
              <w:marLeft w:val="0"/>
              <w:marRight w:val="0"/>
              <w:marTop w:val="0"/>
              <w:marBottom w:val="0"/>
              <w:divBdr>
                <w:top w:val="none" w:sz="0" w:space="0" w:color="auto"/>
                <w:left w:val="none" w:sz="0" w:space="0" w:color="auto"/>
                <w:bottom w:val="none" w:sz="0" w:space="0" w:color="auto"/>
                <w:right w:val="none" w:sz="0" w:space="0" w:color="auto"/>
              </w:divBdr>
            </w:div>
            <w:div w:id="1047989394">
              <w:marLeft w:val="0"/>
              <w:marRight w:val="0"/>
              <w:marTop w:val="0"/>
              <w:marBottom w:val="0"/>
              <w:divBdr>
                <w:top w:val="none" w:sz="0" w:space="0" w:color="auto"/>
                <w:left w:val="none" w:sz="0" w:space="0" w:color="auto"/>
                <w:bottom w:val="none" w:sz="0" w:space="0" w:color="auto"/>
                <w:right w:val="none" w:sz="0" w:space="0" w:color="auto"/>
              </w:divBdr>
            </w:div>
          </w:divsChild>
        </w:div>
        <w:div w:id="1913466824">
          <w:marLeft w:val="0"/>
          <w:marRight w:val="0"/>
          <w:marTop w:val="0"/>
          <w:marBottom w:val="0"/>
          <w:divBdr>
            <w:top w:val="none" w:sz="0" w:space="0" w:color="auto"/>
            <w:left w:val="none" w:sz="0" w:space="0" w:color="auto"/>
            <w:bottom w:val="none" w:sz="0" w:space="0" w:color="auto"/>
            <w:right w:val="none" w:sz="0" w:space="0" w:color="auto"/>
          </w:divBdr>
          <w:divsChild>
            <w:div w:id="1651859496">
              <w:marLeft w:val="0"/>
              <w:marRight w:val="0"/>
              <w:marTop w:val="0"/>
              <w:marBottom w:val="0"/>
              <w:divBdr>
                <w:top w:val="none" w:sz="0" w:space="0" w:color="auto"/>
                <w:left w:val="none" w:sz="0" w:space="0" w:color="auto"/>
                <w:bottom w:val="none" w:sz="0" w:space="0" w:color="auto"/>
                <w:right w:val="none" w:sz="0" w:space="0" w:color="auto"/>
              </w:divBdr>
            </w:div>
          </w:divsChild>
        </w:div>
        <w:div w:id="1945764001">
          <w:marLeft w:val="0"/>
          <w:marRight w:val="0"/>
          <w:marTop w:val="0"/>
          <w:marBottom w:val="0"/>
          <w:divBdr>
            <w:top w:val="none" w:sz="0" w:space="0" w:color="auto"/>
            <w:left w:val="none" w:sz="0" w:space="0" w:color="auto"/>
            <w:bottom w:val="none" w:sz="0" w:space="0" w:color="auto"/>
            <w:right w:val="none" w:sz="0" w:space="0" w:color="auto"/>
          </w:divBdr>
          <w:divsChild>
            <w:div w:id="685908537">
              <w:marLeft w:val="0"/>
              <w:marRight w:val="0"/>
              <w:marTop w:val="0"/>
              <w:marBottom w:val="0"/>
              <w:divBdr>
                <w:top w:val="none" w:sz="0" w:space="0" w:color="auto"/>
                <w:left w:val="none" w:sz="0" w:space="0" w:color="auto"/>
                <w:bottom w:val="none" w:sz="0" w:space="0" w:color="auto"/>
                <w:right w:val="none" w:sz="0" w:space="0" w:color="auto"/>
              </w:divBdr>
            </w:div>
          </w:divsChild>
        </w:div>
        <w:div w:id="2023621940">
          <w:marLeft w:val="0"/>
          <w:marRight w:val="0"/>
          <w:marTop w:val="0"/>
          <w:marBottom w:val="0"/>
          <w:divBdr>
            <w:top w:val="none" w:sz="0" w:space="0" w:color="auto"/>
            <w:left w:val="none" w:sz="0" w:space="0" w:color="auto"/>
            <w:bottom w:val="none" w:sz="0" w:space="0" w:color="auto"/>
            <w:right w:val="none" w:sz="0" w:space="0" w:color="auto"/>
          </w:divBdr>
          <w:divsChild>
            <w:div w:id="1776747850">
              <w:marLeft w:val="0"/>
              <w:marRight w:val="0"/>
              <w:marTop w:val="0"/>
              <w:marBottom w:val="0"/>
              <w:divBdr>
                <w:top w:val="none" w:sz="0" w:space="0" w:color="auto"/>
                <w:left w:val="none" w:sz="0" w:space="0" w:color="auto"/>
                <w:bottom w:val="none" w:sz="0" w:space="0" w:color="auto"/>
                <w:right w:val="none" w:sz="0" w:space="0" w:color="auto"/>
              </w:divBdr>
            </w:div>
          </w:divsChild>
        </w:div>
        <w:div w:id="2075465472">
          <w:marLeft w:val="0"/>
          <w:marRight w:val="0"/>
          <w:marTop w:val="0"/>
          <w:marBottom w:val="0"/>
          <w:divBdr>
            <w:top w:val="none" w:sz="0" w:space="0" w:color="auto"/>
            <w:left w:val="none" w:sz="0" w:space="0" w:color="auto"/>
            <w:bottom w:val="none" w:sz="0" w:space="0" w:color="auto"/>
            <w:right w:val="none" w:sz="0" w:space="0" w:color="auto"/>
          </w:divBdr>
          <w:divsChild>
            <w:div w:id="27702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01672">
      <w:bodyDiv w:val="1"/>
      <w:marLeft w:val="0"/>
      <w:marRight w:val="0"/>
      <w:marTop w:val="0"/>
      <w:marBottom w:val="0"/>
      <w:divBdr>
        <w:top w:val="none" w:sz="0" w:space="0" w:color="auto"/>
        <w:left w:val="none" w:sz="0" w:space="0" w:color="auto"/>
        <w:bottom w:val="none" w:sz="0" w:space="0" w:color="auto"/>
        <w:right w:val="none" w:sz="0" w:space="0" w:color="auto"/>
      </w:divBdr>
    </w:div>
    <w:div w:id="212291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gov.scot/publications/cleaner-air-scotland-2-towards-better-place-everyone/documents/" TargetMode="External"/><Relationship Id="rId26" Type="http://schemas.openxmlformats.org/officeDocument/2006/relationships/footer" Target="footer3.xml"/><Relationship Id="rId39" Type="http://schemas.openxmlformats.org/officeDocument/2006/relationships/hyperlink" Target="https://www.gov.scot/publications/fairer-greener-scotland-programme-government-2021-22/documents/" TargetMode="External"/><Relationship Id="rId21" Type="http://schemas.openxmlformats.org/officeDocument/2006/relationships/hyperlink" Target="https://www.transport.gov.scot/publication/update-and-phase-1-recommendations-february-2021-stpr2/" TargetMode="External"/><Relationship Id="rId34" Type="http://schemas.openxmlformats.org/officeDocument/2006/relationships/hyperlink" Target="https://www.hie.co.uk/media/3191/aplusminimumplusincomeplusstandardplusforplusremoteplusruralplusscotlandplus-plussummaryplusandpluskeyplusfindings.pdf" TargetMode="External"/><Relationship Id="rId42" Type="http://schemas.openxmlformats.org/officeDocument/2006/relationships/hyperlink" Target="https://www.gov.scot/publications/scotland-future-opportunities-challenges-scotlands-changing-population/" TargetMode="External"/><Relationship Id="rId47" Type="http://schemas.openxmlformats.org/officeDocument/2006/relationships/hyperlink" Target="https://www.gov.scot/publications/national-plan-scotlands-islands/" TargetMode="External"/><Relationship Id="rId50" Type="http://schemas.openxmlformats.org/officeDocument/2006/relationships/hyperlink" Target="https://www.transport.gov.scot/publication/national-transport-strategy-2/" TargetMode="External"/><Relationship Id="rId55" Type="http://schemas.openxmlformats.org/officeDocument/2006/relationships/header" Target="header10.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ransport.gov.scot/publication/national-transport-strategy-2/" TargetMode="External"/><Relationship Id="rId20" Type="http://schemas.openxmlformats.org/officeDocument/2006/relationships/hyperlink" Target="https://www.transport.gov.scot/our-approach/strategy/strategic-transport-projects-review-2/" TargetMode="External"/><Relationship Id="rId29" Type="http://schemas.openxmlformats.org/officeDocument/2006/relationships/header" Target="header6.xml"/><Relationship Id="rId41" Type="http://schemas.openxmlformats.org/officeDocument/2006/relationships/hyperlink" Target="https://www.gov.scot/publications/national-islands-plan-survey-final-report/pages/2/" TargetMode="External"/><Relationship Id="rId54" Type="http://schemas.openxmlformats.org/officeDocument/2006/relationships/header" Target="header9.xml"/><Relationship Id="rId62"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hyperlink" Target="https://www.gov.scot/collections/scottish-household-survey/" TargetMode="External"/><Relationship Id="rId37" Type="http://schemas.openxmlformats.org/officeDocument/2006/relationships/hyperlink" Target="https://www.nrscotland.gov.uk/statistics-and-data/statistics/statistics-by-theme/population/population-projections/sub-national-population-projections/2018-based" TargetMode="External"/><Relationship Id="rId40" Type="http://schemas.openxmlformats.org/officeDocument/2006/relationships/hyperlink" Target="https://www.gov.scot/publications/cleaner-air-scotland-2-towards-better-place-everyone/documents/" TargetMode="External"/><Relationship Id="rId45" Type="http://schemas.openxmlformats.org/officeDocument/2006/relationships/hyperlink" Target="https://www.gov.scot/publications/protecting-scotland-renewing-scotland-governments-programme-scotland-2020-2021/documents/" TargetMode="External"/><Relationship Id="rId53" Type="http://schemas.openxmlformats.org/officeDocument/2006/relationships/footer" Target="footer6.xml"/><Relationship Id="rId58"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gif"/><Relationship Id="rId28" Type="http://schemas.openxmlformats.org/officeDocument/2006/relationships/footer" Target="footer4.xml"/><Relationship Id="rId36" Type="http://schemas.openxmlformats.org/officeDocument/2006/relationships/hyperlink" Target="https://www.transport.gov.scot/publication/island-communities-impact-assessment-draft-report-january-2022-stpr2/" TargetMode="External"/><Relationship Id="rId49" Type="http://schemas.openxmlformats.org/officeDocument/2006/relationships/hyperlink" Target="https://www.transport.gov.scot/publication/key-reported-road-casualties-scotland-2019/" TargetMode="External"/><Relationship Id="rId57" Type="http://schemas.openxmlformats.org/officeDocument/2006/relationships/footer" Target="footer7.xml"/><Relationship Id="rId61"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yperlink" Target="https://www.transformingplanning.scot/national-planning-framework/" TargetMode="External"/><Relationship Id="rId31" Type="http://schemas.openxmlformats.org/officeDocument/2006/relationships/hyperlink" Target="https://www.transport.gov.scot/our-approach/strategy/strategic-transport-projects-review-2/" TargetMode="External"/><Relationship Id="rId44" Type="http://schemas.openxmlformats.org/officeDocument/2006/relationships/hyperlink" Target="https://www.gov.scot/publications/island-communities-impact-assessments-guidance-toolkit/" TargetMode="External"/><Relationship Id="rId52" Type="http://schemas.openxmlformats.org/officeDocument/2006/relationships/header" Target="header8.xml"/><Relationship Id="rId60"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hyperlink" Target="https://www.transport.gov.scot/media/50946/draft-technical-report-january-2022-stpr2.pdf" TargetMode="External"/><Relationship Id="rId43" Type="http://schemas.openxmlformats.org/officeDocument/2006/relationships/hyperlink" Target="https://www.gov.scot/publications/securing-green-recovery-path-net-zero-update-climate-change-plan-20182032/documents/" TargetMode="External"/><Relationship Id="rId48" Type="http://schemas.openxmlformats.org/officeDocument/2006/relationships/hyperlink" Target="https://pure.sruc.ac.uk/en/publications/rural-scotland-in-focus-2014" TargetMode="External"/><Relationship Id="rId56" Type="http://schemas.openxmlformats.org/officeDocument/2006/relationships/header" Target="header11.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gov.scot/publications/securing-green-recovery-path-net-zero-update-climate-change-plan-20182032/documents/" TargetMode="External"/><Relationship Id="rId25" Type="http://schemas.openxmlformats.org/officeDocument/2006/relationships/header" Target="header4.xml"/><Relationship Id="rId33" Type="http://schemas.openxmlformats.org/officeDocument/2006/relationships/hyperlink" Target="https://www.sustrans.org.uk/our-blog/projects/uk-wide/scotland/hands-up-scotland-survey/" TargetMode="External"/><Relationship Id="rId38" Type="http://schemas.openxmlformats.org/officeDocument/2006/relationships/hyperlink" Target="https://www.transformingplanning.scot/national-planning-framework" TargetMode="External"/><Relationship Id="rId46" Type="http://schemas.openxmlformats.org/officeDocument/2006/relationships/hyperlink" Target="https://www.gov.scot/publications/scottish-index-multiple-deprivation-2020/documents/" TargetMode="External"/><Relationship Id="rId59" Type="http://schemas.openxmlformats.org/officeDocument/2006/relationships/header" Target="header1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5A992-7BA3-4302-ACA3-ED7FBB81F69F}">
  <ds:schemaRefs>
    <ds:schemaRef ds:uri="http://schemas.microsoft.com/sharepoint/v3/contenttype/forms"/>
  </ds:schemaRefs>
</ds:datastoreItem>
</file>

<file path=customXml/itemProps2.xml><?xml version="1.0" encoding="utf-8"?>
<ds:datastoreItem xmlns:ds="http://schemas.openxmlformats.org/officeDocument/2006/customXml" ds:itemID="{8B96617D-5CFC-4CE1-A07F-7A71C5BB5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8D42A9-CBBB-4DE6-8570-19CBFCA73320}">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4.xml><?xml version="1.0" encoding="utf-8"?>
<ds:datastoreItem xmlns:ds="http://schemas.openxmlformats.org/officeDocument/2006/customXml" ds:itemID="{7144B241-EA38-4B4E-97A6-5DEE454F5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43</Pages>
  <Words>13137</Words>
  <Characters>77379</Characters>
  <Application>Microsoft Office Word</Application>
  <DocSecurity>0</DocSecurity>
  <Lines>1547</Lines>
  <Paragraphs>830</Paragraphs>
  <ScaleCrop>false</ScaleCrop>
  <HeadingPairs>
    <vt:vector size="2" baseType="variant">
      <vt:variant>
        <vt:lpstr>Title</vt:lpstr>
      </vt:variant>
      <vt:variant>
        <vt:i4>1</vt:i4>
      </vt:variant>
    </vt:vector>
  </HeadingPairs>
  <TitlesOfParts>
    <vt:vector size="1" baseType="lpstr">
      <vt:lpstr>SPR2 Report Template for Accessibility</vt:lpstr>
    </vt:vector>
  </TitlesOfParts>
  <Company/>
  <LinksUpToDate>false</LinksUpToDate>
  <CharactersWithSpaces>89686</CharactersWithSpaces>
  <SharedDoc>false</SharedDoc>
  <HLinks>
    <vt:vector size="390" baseType="variant">
      <vt:variant>
        <vt:i4>131097</vt:i4>
      </vt:variant>
      <vt:variant>
        <vt:i4>390</vt:i4>
      </vt:variant>
      <vt:variant>
        <vt:i4>0</vt:i4>
      </vt:variant>
      <vt:variant>
        <vt:i4>5</vt:i4>
      </vt:variant>
      <vt:variant>
        <vt:lpwstr>https://www.transport.gov.scot/publication/national-transport-strategy-2/</vt:lpwstr>
      </vt:variant>
      <vt:variant>
        <vt:lpwstr/>
      </vt:variant>
      <vt:variant>
        <vt:i4>6357093</vt:i4>
      </vt:variant>
      <vt:variant>
        <vt:i4>387</vt:i4>
      </vt:variant>
      <vt:variant>
        <vt:i4>0</vt:i4>
      </vt:variant>
      <vt:variant>
        <vt:i4>5</vt:i4>
      </vt:variant>
      <vt:variant>
        <vt:lpwstr>https://www.transport.gov.scot/publication/key-reported-road-casualties-scotland-2019/</vt:lpwstr>
      </vt:variant>
      <vt:variant>
        <vt:lpwstr/>
      </vt:variant>
      <vt:variant>
        <vt:i4>1048645</vt:i4>
      </vt:variant>
      <vt:variant>
        <vt:i4>384</vt:i4>
      </vt:variant>
      <vt:variant>
        <vt:i4>0</vt:i4>
      </vt:variant>
      <vt:variant>
        <vt:i4>5</vt:i4>
      </vt:variant>
      <vt:variant>
        <vt:lpwstr>https://pure.sruc.ac.uk/en/publications/rural-scotland-in-focus-2014</vt:lpwstr>
      </vt:variant>
      <vt:variant>
        <vt:lpwstr/>
      </vt:variant>
      <vt:variant>
        <vt:i4>8126526</vt:i4>
      </vt:variant>
      <vt:variant>
        <vt:i4>381</vt:i4>
      </vt:variant>
      <vt:variant>
        <vt:i4>0</vt:i4>
      </vt:variant>
      <vt:variant>
        <vt:i4>5</vt:i4>
      </vt:variant>
      <vt:variant>
        <vt:lpwstr>https://www.gov.scot/publications/national-plan-scotlands-islands/</vt:lpwstr>
      </vt:variant>
      <vt:variant>
        <vt:lpwstr/>
      </vt:variant>
      <vt:variant>
        <vt:i4>4587595</vt:i4>
      </vt:variant>
      <vt:variant>
        <vt:i4>378</vt:i4>
      </vt:variant>
      <vt:variant>
        <vt:i4>0</vt:i4>
      </vt:variant>
      <vt:variant>
        <vt:i4>5</vt:i4>
      </vt:variant>
      <vt:variant>
        <vt:lpwstr>https://www.gov.scot/publications/scottish-index-multiple-deprivation-2020/documents/</vt:lpwstr>
      </vt:variant>
      <vt:variant>
        <vt:lpwstr/>
      </vt:variant>
      <vt:variant>
        <vt:i4>7078004</vt:i4>
      </vt:variant>
      <vt:variant>
        <vt:i4>375</vt:i4>
      </vt:variant>
      <vt:variant>
        <vt:i4>0</vt:i4>
      </vt:variant>
      <vt:variant>
        <vt:i4>5</vt:i4>
      </vt:variant>
      <vt:variant>
        <vt:lpwstr>https://www.gov.scot/publications/protecting-scotland-renewing-scotland-governments-programme-scotland-2020-2021/documents/</vt:lpwstr>
      </vt:variant>
      <vt:variant>
        <vt:lpwstr/>
      </vt:variant>
      <vt:variant>
        <vt:i4>4325444</vt:i4>
      </vt:variant>
      <vt:variant>
        <vt:i4>372</vt:i4>
      </vt:variant>
      <vt:variant>
        <vt:i4>0</vt:i4>
      </vt:variant>
      <vt:variant>
        <vt:i4>5</vt:i4>
      </vt:variant>
      <vt:variant>
        <vt:lpwstr>https://www.gov.scot/publications/island-communities-impact-assessments-guidance-toolkit/</vt:lpwstr>
      </vt:variant>
      <vt:variant>
        <vt:lpwstr/>
      </vt:variant>
      <vt:variant>
        <vt:i4>6881316</vt:i4>
      </vt:variant>
      <vt:variant>
        <vt:i4>369</vt:i4>
      </vt:variant>
      <vt:variant>
        <vt:i4>0</vt:i4>
      </vt:variant>
      <vt:variant>
        <vt:i4>5</vt:i4>
      </vt:variant>
      <vt:variant>
        <vt:lpwstr>https://www.gov.scot/publications/securing-green-recovery-path-net-zero-update-climate-change-plan-20182032/documents/</vt:lpwstr>
      </vt:variant>
      <vt:variant>
        <vt:lpwstr/>
      </vt:variant>
      <vt:variant>
        <vt:i4>524357</vt:i4>
      </vt:variant>
      <vt:variant>
        <vt:i4>366</vt:i4>
      </vt:variant>
      <vt:variant>
        <vt:i4>0</vt:i4>
      </vt:variant>
      <vt:variant>
        <vt:i4>5</vt:i4>
      </vt:variant>
      <vt:variant>
        <vt:lpwstr>https://www.gov.scot/publications/scotland-future-opportunities-challenges-scotlands-changing-population/</vt:lpwstr>
      </vt:variant>
      <vt:variant>
        <vt:lpwstr/>
      </vt:variant>
      <vt:variant>
        <vt:i4>4653140</vt:i4>
      </vt:variant>
      <vt:variant>
        <vt:i4>363</vt:i4>
      </vt:variant>
      <vt:variant>
        <vt:i4>0</vt:i4>
      </vt:variant>
      <vt:variant>
        <vt:i4>5</vt:i4>
      </vt:variant>
      <vt:variant>
        <vt:lpwstr>https://www.gov.scot/publications/national-islands-plan-survey-final-report/pages/2/</vt:lpwstr>
      </vt:variant>
      <vt:variant>
        <vt:lpwstr/>
      </vt:variant>
      <vt:variant>
        <vt:i4>655364</vt:i4>
      </vt:variant>
      <vt:variant>
        <vt:i4>360</vt:i4>
      </vt:variant>
      <vt:variant>
        <vt:i4>0</vt:i4>
      </vt:variant>
      <vt:variant>
        <vt:i4>5</vt:i4>
      </vt:variant>
      <vt:variant>
        <vt:lpwstr>https://www.gov.scot/publications/cleaner-air-scotland-2-towards-better-place-everyone/documents/</vt:lpwstr>
      </vt:variant>
      <vt:variant>
        <vt:lpwstr/>
      </vt:variant>
      <vt:variant>
        <vt:i4>4784197</vt:i4>
      </vt:variant>
      <vt:variant>
        <vt:i4>357</vt:i4>
      </vt:variant>
      <vt:variant>
        <vt:i4>0</vt:i4>
      </vt:variant>
      <vt:variant>
        <vt:i4>5</vt:i4>
      </vt:variant>
      <vt:variant>
        <vt:lpwstr>https://www.gov.scot/publications/fairer-greener-scotland-programme-government-2021-22/documents/</vt:lpwstr>
      </vt:variant>
      <vt:variant>
        <vt:lpwstr/>
      </vt:variant>
      <vt:variant>
        <vt:i4>6094938</vt:i4>
      </vt:variant>
      <vt:variant>
        <vt:i4>354</vt:i4>
      </vt:variant>
      <vt:variant>
        <vt:i4>0</vt:i4>
      </vt:variant>
      <vt:variant>
        <vt:i4>5</vt:i4>
      </vt:variant>
      <vt:variant>
        <vt:lpwstr>https://www.transformingplanning.scot/national-planning-framework</vt:lpwstr>
      </vt:variant>
      <vt:variant>
        <vt:lpwstr/>
      </vt:variant>
      <vt:variant>
        <vt:i4>5177422</vt:i4>
      </vt:variant>
      <vt:variant>
        <vt:i4>348</vt:i4>
      </vt:variant>
      <vt:variant>
        <vt:i4>0</vt:i4>
      </vt:variant>
      <vt:variant>
        <vt:i4>5</vt:i4>
      </vt:variant>
      <vt:variant>
        <vt:lpwstr>https://www.nrscotland.gov.uk/statistics-and-data/statistics/statistics-by-theme/population/population-projections/sub-national-population-projections/2018-based</vt:lpwstr>
      </vt:variant>
      <vt:variant>
        <vt:lpwstr/>
      </vt:variant>
      <vt:variant>
        <vt:i4>5046360</vt:i4>
      </vt:variant>
      <vt:variant>
        <vt:i4>345</vt:i4>
      </vt:variant>
      <vt:variant>
        <vt:i4>0</vt:i4>
      </vt:variant>
      <vt:variant>
        <vt:i4>5</vt:i4>
      </vt:variant>
      <vt:variant>
        <vt:lpwstr>https://www.transport.gov.scot/publication/island-communities-impact-assessment-draft-report-january-2022-stpr2/</vt:lpwstr>
      </vt:variant>
      <vt:variant>
        <vt:lpwstr/>
      </vt:variant>
      <vt:variant>
        <vt:i4>4718597</vt:i4>
      </vt:variant>
      <vt:variant>
        <vt:i4>342</vt:i4>
      </vt:variant>
      <vt:variant>
        <vt:i4>0</vt:i4>
      </vt:variant>
      <vt:variant>
        <vt:i4>5</vt:i4>
      </vt:variant>
      <vt:variant>
        <vt:lpwstr>https://www.transport.gov.scot/media/50946/draft-technical-report-january-2022-stpr2.pdf</vt:lpwstr>
      </vt:variant>
      <vt:variant>
        <vt:lpwstr/>
      </vt:variant>
      <vt:variant>
        <vt:i4>7208996</vt:i4>
      </vt:variant>
      <vt:variant>
        <vt:i4>339</vt:i4>
      </vt:variant>
      <vt:variant>
        <vt:i4>0</vt:i4>
      </vt:variant>
      <vt:variant>
        <vt:i4>5</vt:i4>
      </vt:variant>
      <vt:variant>
        <vt:lpwstr>https://www.hie.co.uk/media/3191/aplusminimumplusincomeplusstandardplusforplusremoteplusruralplusscotlandplus-plussummaryplusandpluskeyplusfindings.pdf</vt:lpwstr>
      </vt:variant>
      <vt:variant>
        <vt:lpwstr/>
      </vt:variant>
      <vt:variant>
        <vt:i4>8126583</vt:i4>
      </vt:variant>
      <vt:variant>
        <vt:i4>327</vt:i4>
      </vt:variant>
      <vt:variant>
        <vt:i4>0</vt:i4>
      </vt:variant>
      <vt:variant>
        <vt:i4>5</vt:i4>
      </vt:variant>
      <vt:variant>
        <vt:lpwstr>https://www.sustrans.org.uk/our-blog/projects/uk-wide/scotland/hands-up-scotland-survey/</vt:lpwstr>
      </vt:variant>
      <vt:variant>
        <vt:lpwstr>:~:text=The%20Hands%20Up%20Scotland%20Survey%20looks%20at%20how,will%20take%20place%20between%2013%20and%2017%20September.</vt:lpwstr>
      </vt:variant>
      <vt:variant>
        <vt:i4>6619179</vt:i4>
      </vt:variant>
      <vt:variant>
        <vt:i4>324</vt:i4>
      </vt:variant>
      <vt:variant>
        <vt:i4>0</vt:i4>
      </vt:variant>
      <vt:variant>
        <vt:i4>5</vt:i4>
      </vt:variant>
      <vt:variant>
        <vt:lpwstr>https://www.gov.scot/collections/scottish-household-survey/</vt:lpwstr>
      </vt:variant>
      <vt:variant>
        <vt:lpwstr/>
      </vt:variant>
      <vt:variant>
        <vt:i4>7209010</vt:i4>
      </vt:variant>
      <vt:variant>
        <vt:i4>321</vt:i4>
      </vt:variant>
      <vt:variant>
        <vt:i4>0</vt:i4>
      </vt:variant>
      <vt:variant>
        <vt:i4>5</vt:i4>
      </vt:variant>
      <vt:variant>
        <vt:lpwstr>https://www.transport.gov.scot/our-approach/strategy/strategic-transport-projects-review-2/</vt:lpwstr>
      </vt:variant>
      <vt:variant>
        <vt:lpwstr/>
      </vt:variant>
      <vt:variant>
        <vt:i4>6946926</vt:i4>
      </vt:variant>
      <vt:variant>
        <vt:i4>255</vt:i4>
      </vt:variant>
      <vt:variant>
        <vt:i4>0</vt:i4>
      </vt:variant>
      <vt:variant>
        <vt:i4>5</vt:i4>
      </vt:variant>
      <vt:variant>
        <vt:lpwstr>https://www.transport.gov.scot/publication/update-and-phase-1-recommendations-february-2021-stpr2/</vt:lpwstr>
      </vt:variant>
      <vt:variant>
        <vt:lpwstr/>
      </vt:variant>
      <vt:variant>
        <vt:i4>7209010</vt:i4>
      </vt:variant>
      <vt:variant>
        <vt:i4>246</vt:i4>
      </vt:variant>
      <vt:variant>
        <vt:i4>0</vt:i4>
      </vt:variant>
      <vt:variant>
        <vt:i4>5</vt:i4>
      </vt:variant>
      <vt:variant>
        <vt:lpwstr>https://www.transport.gov.scot/our-approach/strategy/strategic-transport-projects-review-2/</vt:lpwstr>
      </vt:variant>
      <vt:variant>
        <vt:lpwstr/>
      </vt:variant>
      <vt:variant>
        <vt:i4>3473469</vt:i4>
      </vt:variant>
      <vt:variant>
        <vt:i4>243</vt:i4>
      </vt:variant>
      <vt:variant>
        <vt:i4>0</vt:i4>
      </vt:variant>
      <vt:variant>
        <vt:i4>5</vt:i4>
      </vt:variant>
      <vt:variant>
        <vt:lpwstr>https://www.gov.scot/publications/scotland-2045-fourth-national-planning-framework-draft/documents/</vt:lpwstr>
      </vt:variant>
      <vt:variant>
        <vt:lpwstr/>
      </vt:variant>
      <vt:variant>
        <vt:i4>655364</vt:i4>
      </vt:variant>
      <vt:variant>
        <vt:i4>240</vt:i4>
      </vt:variant>
      <vt:variant>
        <vt:i4>0</vt:i4>
      </vt:variant>
      <vt:variant>
        <vt:i4>5</vt:i4>
      </vt:variant>
      <vt:variant>
        <vt:lpwstr>https://www.gov.scot/publications/cleaner-air-scotland-2-towards-better-place-everyone/documents/</vt:lpwstr>
      </vt:variant>
      <vt:variant>
        <vt:lpwstr/>
      </vt:variant>
      <vt:variant>
        <vt:i4>6881316</vt:i4>
      </vt:variant>
      <vt:variant>
        <vt:i4>237</vt:i4>
      </vt:variant>
      <vt:variant>
        <vt:i4>0</vt:i4>
      </vt:variant>
      <vt:variant>
        <vt:i4>5</vt:i4>
      </vt:variant>
      <vt:variant>
        <vt:lpwstr>https://www.gov.scot/publications/securing-green-recovery-path-net-zero-update-climate-change-plan-20182032/documents/</vt:lpwstr>
      </vt:variant>
      <vt:variant>
        <vt:lpwstr/>
      </vt:variant>
      <vt:variant>
        <vt:i4>131097</vt:i4>
      </vt:variant>
      <vt:variant>
        <vt:i4>234</vt:i4>
      </vt:variant>
      <vt:variant>
        <vt:i4>0</vt:i4>
      </vt:variant>
      <vt:variant>
        <vt:i4>5</vt:i4>
      </vt:variant>
      <vt:variant>
        <vt:lpwstr>https://www.transport.gov.scot/publication/national-transport-strategy-2/</vt:lpwstr>
      </vt:variant>
      <vt:variant>
        <vt:lpwstr/>
      </vt:variant>
      <vt:variant>
        <vt:i4>1507391</vt:i4>
      </vt:variant>
      <vt:variant>
        <vt:i4>227</vt:i4>
      </vt:variant>
      <vt:variant>
        <vt:i4>0</vt:i4>
      </vt:variant>
      <vt:variant>
        <vt:i4>5</vt:i4>
      </vt:variant>
      <vt:variant>
        <vt:lpwstr/>
      </vt:variant>
      <vt:variant>
        <vt:lpwstr>_Toc120096747</vt:lpwstr>
      </vt:variant>
      <vt:variant>
        <vt:i4>1507391</vt:i4>
      </vt:variant>
      <vt:variant>
        <vt:i4>221</vt:i4>
      </vt:variant>
      <vt:variant>
        <vt:i4>0</vt:i4>
      </vt:variant>
      <vt:variant>
        <vt:i4>5</vt:i4>
      </vt:variant>
      <vt:variant>
        <vt:lpwstr/>
      </vt:variant>
      <vt:variant>
        <vt:lpwstr>_Toc120096746</vt:lpwstr>
      </vt:variant>
      <vt:variant>
        <vt:i4>1507391</vt:i4>
      </vt:variant>
      <vt:variant>
        <vt:i4>215</vt:i4>
      </vt:variant>
      <vt:variant>
        <vt:i4>0</vt:i4>
      </vt:variant>
      <vt:variant>
        <vt:i4>5</vt:i4>
      </vt:variant>
      <vt:variant>
        <vt:lpwstr/>
      </vt:variant>
      <vt:variant>
        <vt:lpwstr>_Toc120096745</vt:lpwstr>
      </vt:variant>
      <vt:variant>
        <vt:i4>1507391</vt:i4>
      </vt:variant>
      <vt:variant>
        <vt:i4>209</vt:i4>
      </vt:variant>
      <vt:variant>
        <vt:i4>0</vt:i4>
      </vt:variant>
      <vt:variant>
        <vt:i4>5</vt:i4>
      </vt:variant>
      <vt:variant>
        <vt:lpwstr/>
      </vt:variant>
      <vt:variant>
        <vt:lpwstr>_Toc120096744</vt:lpwstr>
      </vt:variant>
      <vt:variant>
        <vt:i4>1507391</vt:i4>
      </vt:variant>
      <vt:variant>
        <vt:i4>203</vt:i4>
      </vt:variant>
      <vt:variant>
        <vt:i4>0</vt:i4>
      </vt:variant>
      <vt:variant>
        <vt:i4>5</vt:i4>
      </vt:variant>
      <vt:variant>
        <vt:lpwstr/>
      </vt:variant>
      <vt:variant>
        <vt:lpwstr>_Toc120096743</vt:lpwstr>
      </vt:variant>
      <vt:variant>
        <vt:i4>1507391</vt:i4>
      </vt:variant>
      <vt:variant>
        <vt:i4>197</vt:i4>
      </vt:variant>
      <vt:variant>
        <vt:i4>0</vt:i4>
      </vt:variant>
      <vt:variant>
        <vt:i4>5</vt:i4>
      </vt:variant>
      <vt:variant>
        <vt:lpwstr/>
      </vt:variant>
      <vt:variant>
        <vt:lpwstr>_Toc120096742</vt:lpwstr>
      </vt:variant>
      <vt:variant>
        <vt:i4>1507391</vt:i4>
      </vt:variant>
      <vt:variant>
        <vt:i4>191</vt:i4>
      </vt:variant>
      <vt:variant>
        <vt:i4>0</vt:i4>
      </vt:variant>
      <vt:variant>
        <vt:i4>5</vt:i4>
      </vt:variant>
      <vt:variant>
        <vt:lpwstr/>
      </vt:variant>
      <vt:variant>
        <vt:lpwstr>_Toc120096741</vt:lpwstr>
      </vt:variant>
      <vt:variant>
        <vt:i4>1507391</vt:i4>
      </vt:variant>
      <vt:variant>
        <vt:i4>185</vt:i4>
      </vt:variant>
      <vt:variant>
        <vt:i4>0</vt:i4>
      </vt:variant>
      <vt:variant>
        <vt:i4>5</vt:i4>
      </vt:variant>
      <vt:variant>
        <vt:lpwstr/>
      </vt:variant>
      <vt:variant>
        <vt:lpwstr>_Toc120096740</vt:lpwstr>
      </vt:variant>
      <vt:variant>
        <vt:i4>1048639</vt:i4>
      </vt:variant>
      <vt:variant>
        <vt:i4>179</vt:i4>
      </vt:variant>
      <vt:variant>
        <vt:i4>0</vt:i4>
      </vt:variant>
      <vt:variant>
        <vt:i4>5</vt:i4>
      </vt:variant>
      <vt:variant>
        <vt:lpwstr/>
      </vt:variant>
      <vt:variant>
        <vt:lpwstr>_Toc120096739</vt:lpwstr>
      </vt:variant>
      <vt:variant>
        <vt:i4>1048639</vt:i4>
      </vt:variant>
      <vt:variant>
        <vt:i4>173</vt:i4>
      </vt:variant>
      <vt:variant>
        <vt:i4>0</vt:i4>
      </vt:variant>
      <vt:variant>
        <vt:i4>5</vt:i4>
      </vt:variant>
      <vt:variant>
        <vt:lpwstr/>
      </vt:variant>
      <vt:variant>
        <vt:lpwstr>_Toc120096738</vt:lpwstr>
      </vt:variant>
      <vt:variant>
        <vt:i4>1048639</vt:i4>
      </vt:variant>
      <vt:variant>
        <vt:i4>167</vt:i4>
      </vt:variant>
      <vt:variant>
        <vt:i4>0</vt:i4>
      </vt:variant>
      <vt:variant>
        <vt:i4>5</vt:i4>
      </vt:variant>
      <vt:variant>
        <vt:lpwstr/>
      </vt:variant>
      <vt:variant>
        <vt:lpwstr>_Toc120096737</vt:lpwstr>
      </vt:variant>
      <vt:variant>
        <vt:i4>1048639</vt:i4>
      </vt:variant>
      <vt:variant>
        <vt:i4>161</vt:i4>
      </vt:variant>
      <vt:variant>
        <vt:i4>0</vt:i4>
      </vt:variant>
      <vt:variant>
        <vt:i4>5</vt:i4>
      </vt:variant>
      <vt:variant>
        <vt:lpwstr/>
      </vt:variant>
      <vt:variant>
        <vt:lpwstr>_Toc120096736</vt:lpwstr>
      </vt:variant>
      <vt:variant>
        <vt:i4>1048639</vt:i4>
      </vt:variant>
      <vt:variant>
        <vt:i4>155</vt:i4>
      </vt:variant>
      <vt:variant>
        <vt:i4>0</vt:i4>
      </vt:variant>
      <vt:variant>
        <vt:i4>5</vt:i4>
      </vt:variant>
      <vt:variant>
        <vt:lpwstr/>
      </vt:variant>
      <vt:variant>
        <vt:lpwstr>_Toc120096735</vt:lpwstr>
      </vt:variant>
      <vt:variant>
        <vt:i4>1048639</vt:i4>
      </vt:variant>
      <vt:variant>
        <vt:i4>149</vt:i4>
      </vt:variant>
      <vt:variant>
        <vt:i4>0</vt:i4>
      </vt:variant>
      <vt:variant>
        <vt:i4>5</vt:i4>
      </vt:variant>
      <vt:variant>
        <vt:lpwstr/>
      </vt:variant>
      <vt:variant>
        <vt:lpwstr>_Toc120096734</vt:lpwstr>
      </vt:variant>
      <vt:variant>
        <vt:i4>1048639</vt:i4>
      </vt:variant>
      <vt:variant>
        <vt:i4>143</vt:i4>
      </vt:variant>
      <vt:variant>
        <vt:i4>0</vt:i4>
      </vt:variant>
      <vt:variant>
        <vt:i4>5</vt:i4>
      </vt:variant>
      <vt:variant>
        <vt:lpwstr/>
      </vt:variant>
      <vt:variant>
        <vt:lpwstr>_Toc120096733</vt:lpwstr>
      </vt:variant>
      <vt:variant>
        <vt:i4>1048639</vt:i4>
      </vt:variant>
      <vt:variant>
        <vt:i4>137</vt:i4>
      </vt:variant>
      <vt:variant>
        <vt:i4>0</vt:i4>
      </vt:variant>
      <vt:variant>
        <vt:i4>5</vt:i4>
      </vt:variant>
      <vt:variant>
        <vt:lpwstr/>
      </vt:variant>
      <vt:variant>
        <vt:lpwstr>_Toc120096732</vt:lpwstr>
      </vt:variant>
      <vt:variant>
        <vt:i4>1048639</vt:i4>
      </vt:variant>
      <vt:variant>
        <vt:i4>131</vt:i4>
      </vt:variant>
      <vt:variant>
        <vt:i4>0</vt:i4>
      </vt:variant>
      <vt:variant>
        <vt:i4>5</vt:i4>
      </vt:variant>
      <vt:variant>
        <vt:lpwstr/>
      </vt:variant>
      <vt:variant>
        <vt:lpwstr>_Toc120096731</vt:lpwstr>
      </vt:variant>
      <vt:variant>
        <vt:i4>1048639</vt:i4>
      </vt:variant>
      <vt:variant>
        <vt:i4>125</vt:i4>
      </vt:variant>
      <vt:variant>
        <vt:i4>0</vt:i4>
      </vt:variant>
      <vt:variant>
        <vt:i4>5</vt:i4>
      </vt:variant>
      <vt:variant>
        <vt:lpwstr/>
      </vt:variant>
      <vt:variant>
        <vt:lpwstr>_Toc120096730</vt:lpwstr>
      </vt:variant>
      <vt:variant>
        <vt:i4>1114175</vt:i4>
      </vt:variant>
      <vt:variant>
        <vt:i4>119</vt:i4>
      </vt:variant>
      <vt:variant>
        <vt:i4>0</vt:i4>
      </vt:variant>
      <vt:variant>
        <vt:i4>5</vt:i4>
      </vt:variant>
      <vt:variant>
        <vt:lpwstr/>
      </vt:variant>
      <vt:variant>
        <vt:lpwstr>_Toc120096729</vt:lpwstr>
      </vt:variant>
      <vt:variant>
        <vt:i4>1114175</vt:i4>
      </vt:variant>
      <vt:variant>
        <vt:i4>113</vt:i4>
      </vt:variant>
      <vt:variant>
        <vt:i4>0</vt:i4>
      </vt:variant>
      <vt:variant>
        <vt:i4>5</vt:i4>
      </vt:variant>
      <vt:variant>
        <vt:lpwstr/>
      </vt:variant>
      <vt:variant>
        <vt:lpwstr>_Toc120096728</vt:lpwstr>
      </vt:variant>
      <vt:variant>
        <vt:i4>1114175</vt:i4>
      </vt:variant>
      <vt:variant>
        <vt:i4>107</vt:i4>
      </vt:variant>
      <vt:variant>
        <vt:i4>0</vt:i4>
      </vt:variant>
      <vt:variant>
        <vt:i4>5</vt:i4>
      </vt:variant>
      <vt:variant>
        <vt:lpwstr/>
      </vt:variant>
      <vt:variant>
        <vt:lpwstr>_Toc120096727</vt:lpwstr>
      </vt:variant>
      <vt:variant>
        <vt:i4>1114175</vt:i4>
      </vt:variant>
      <vt:variant>
        <vt:i4>101</vt:i4>
      </vt:variant>
      <vt:variant>
        <vt:i4>0</vt:i4>
      </vt:variant>
      <vt:variant>
        <vt:i4>5</vt:i4>
      </vt:variant>
      <vt:variant>
        <vt:lpwstr/>
      </vt:variant>
      <vt:variant>
        <vt:lpwstr>_Toc120096726</vt:lpwstr>
      </vt:variant>
      <vt:variant>
        <vt:i4>1114175</vt:i4>
      </vt:variant>
      <vt:variant>
        <vt:i4>95</vt:i4>
      </vt:variant>
      <vt:variant>
        <vt:i4>0</vt:i4>
      </vt:variant>
      <vt:variant>
        <vt:i4>5</vt:i4>
      </vt:variant>
      <vt:variant>
        <vt:lpwstr/>
      </vt:variant>
      <vt:variant>
        <vt:lpwstr>_Toc120096725</vt:lpwstr>
      </vt:variant>
      <vt:variant>
        <vt:i4>1114175</vt:i4>
      </vt:variant>
      <vt:variant>
        <vt:i4>89</vt:i4>
      </vt:variant>
      <vt:variant>
        <vt:i4>0</vt:i4>
      </vt:variant>
      <vt:variant>
        <vt:i4>5</vt:i4>
      </vt:variant>
      <vt:variant>
        <vt:lpwstr/>
      </vt:variant>
      <vt:variant>
        <vt:lpwstr>_Toc120096724</vt:lpwstr>
      </vt:variant>
      <vt:variant>
        <vt:i4>1114175</vt:i4>
      </vt:variant>
      <vt:variant>
        <vt:i4>83</vt:i4>
      </vt:variant>
      <vt:variant>
        <vt:i4>0</vt:i4>
      </vt:variant>
      <vt:variant>
        <vt:i4>5</vt:i4>
      </vt:variant>
      <vt:variant>
        <vt:lpwstr/>
      </vt:variant>
      <vt:variant>
        <vt:lpwstr>_Toc120096723</vt:lpwstr>
      </vt:variant>
      <vt:variant>
        <vt:i4>1114175</vt:i4>
      </vt:variant>
      <vt:variant>
        <vt:i4>77</vt:i4>
      </vt:variant>
      <vt:variant>
        <vt:i4>0</vt:i4>
      </vt:variant>
      <vt:variant>
        <vt:i4>5</vt:i4>
      </vt:variant>
      <vt:variant>
        <vt:lpwstr/>
      </vt:variant>
      <vt:variant>
        <vt:lpwstr>_Toc120096722</vt:lpwstr>
      </vt:variant>
      <vt:variant>
        <vt:i4>1114175</vt:i4>
      </vt:variant>
      <vt:variant>
        <vt:i4>71</vt:i4>
      </vt:variant>
      <vt:variant>
        <vt:i4>0</vt:i4>
      </vt:variant>
      <vt:variant>
        <vt:i4>5</vt:i4>
      </vt:variant>
      <vt:variant>
        <vt:lpwstr/>
      </vt:variant>
      <vt:variant>
        <vt:lpwstr>_Toc120096721</vt:lpwstr>
      </vt:variant>
      <vt:variant>
        <vt:i4>1114175</vt:i4>
      </vt:variant>
      <vt:variant>
        <vt:i4>65</vt:i4>
      </vt:variant>
      <vt:variant>
        <vt:i4>0</vt:i4>
      </vt:variant>
      <vt:variant>
        <vt:i4>5</vt:i4>
      </vt:variant>
      <vt:variant>
        <vt:lpwstr/>
      </vt:variant>
      <vt:variant>
        <vt:lpwstr>_Toc120096720</vt:lpwstr>
      </vt:variant>
      <vt:variant>
        <vt:i4>1179711</vt:i4>
      </vt:variant>
      <vt:variant>
        <vt:i4>59</vt:i4>
      </vt:variant>
      <vt:variant>
        <vt:i4>0</vt:i4>
      </vt:variant>
      <vt:variant>
        <vt:i4>5</vt:i4>
      </vt:variant>
      <vt:variant>
        <vt:lpwstr/>
      </vt:variant>
      <vt:variant>
        <vt:lpwstr>_Toc120096719</vt:lpwstr>
      </vt:variant>
      <vt:variant>
        <vt:i4>1179711</vt:i4>
      </vt:variant>
      <vt:variant>
        <vt:i4>53</vt:i4>
      </vt:variant>
      <vt:variant>
        <vt:i4>0</vt:i4>
      </vt:variant>
      <vt:variant>
        <vt:i4>5</vt:i4>
      </vt:variant>
      <vt:variant>
        <vt:lpwstr/>
      </vt:variant>
      <vt:variant>
        <vt:lpwstr>_Toc120096718</vt:lpwstr>
      </vt:variant>
      <vt:variant>
        <vt:i4>1179711</vt:i4>
      </vt:variant>
      <vt:variant>
        <vt:i4>47</vt:i4>
      </vt:variant>
      <vt:variant>
        <vt:i4>0</vt:i4>
      </vt:variant>
      <vt:variant>
        <vt:i4>5</vt:i4>
      </vt:variant>
      <vt:variant>
        <vt:lpwstr/>
      </vt:variant>
      <vt:variant>
        <vt:lpwstr>_Toc120096717</vt:lpwstr>
      </vt:variant>
      <vt:variant>
        <vt:i4>1179711</vt:i4>
      </vt:variant>
      <vt:variant>
        <vt:i4>41</vt:i4>
      </vt:variant>
      <vt:variant>
        <vt:i4>0</vt:i4>
      </vt:variant>
      <vt:variant>
        <vt:i4>5</vt:i4>
      </vt:variant>
      <vt:variant>
        <vt:lpwstr/>
      </vt:variant>
      <vt:variant>
        <vt:lpwstr>_Toc120096716</vt:lpwstr>
      </vt:variant>
      <vt:variant>
        <vt:i4>1179711</vt:i4>
      </vt:variant>
      <vt:variant>
        <vt:i4>35</vt:i4>
      </vt:variant>
      <vt:variant>
        <vt:i4>0</vt:i4>
      </vt:variant>
      <vt:variant>
        <vt:i4>5</vt:i4>
      </vt:variant>
      <vt:variant>
        <vt:lpwstr/>
      </vt:variant>
      <vt:variant>
        <vt:lpwstr>_Toc120096715</vt:lpwstr>
      </vt:variant>
      <vt:variant>
        <vt:i4>1179711</vt:i4>
      </vt:variant>
      <vt:variant>
        <vt:i4>29</vt:i4>
      </vt:variant>
      <vt:variant>
        <vt:i4>0</vt:i4>
      </vt:variant>
      <vt:variant>
        <vt:i4>5</vt:i4>
      </vt:variant>
      <vt:variant>
        <vt:lpwstr/>
      </vt:variant>
      <vt:variant>
        <vt:lpwstr>_Toc120096714</vt:lpwstr>
      </vt:variant>
      <vt:variant>
        <vt:i4>1179711</vt:i4>
      </vt:variant>
      <vt:variant>
        <vt:i4>23</vt:i4>
      </vt:variant>
      <vt:variant>
        <vt:i4>0</vt:i4>
      </vt:variant>
      <vt:variant>
        <vt:i4>5</vt:i4>
      </vt:variant>
      <vt:variant>
        <vt:lpwstr/>
      </vt:variant>
      <vt:variant>
        <vt:lpwstr>_Toc120096713</vt:lpwstr>
      </vt:variant>
      <vt:variant>
        <vt:i4>1179711</vt:i4>
      </vt:variant>
      <vt:variant>
        <vt:i4>17</vt:i4>
      </vt:variant>
      <vt:variant>
        <vt:i4>0</vt:i4>
      </vt:variant>
      <vt:variant>
        <vt:i4>5</vt:i4>
      </vt:variant>
      <vt:variant>
        <vt:lpwstr/>
      </vt:variant>
      <vt:variant>
        <vt:lpwstr>_Toc120096712</vt:lpwstr>
      </vt:variant>
      <vt:variant>
        <vt:i4>1245247</vt:i4>
      </vt:variant>
      <vt:variant>
        <vt:i4>11</vt:i4>
      </vt:variant>
      <vt:variant>
        <vt:i4>0</vt:i4>
      </vt:variant>
      <vt:variant>
        <vt:i4>5</vt:i4>
      </vt:variant>
      <vt:variant>
        <vt:lpwstr/>
      </vt:variant>
      <vt:variant>
        <vt:lpwstr>_Toc120096703</vt:lpwstr>
      </vt:variant>
      <vt:variant>
        <vt:i4>1245247</vt:i4>
      </vt:variant>
      <vt:variant>
        <vt:i4>5</vt:i4>
      </vt:variant>
      <vt:variant>
        <vt:i4>0</vt:i4>
      </vt:variant>
      <vt:variant>
        <vt:i4>5</vt:i4>
      </vt:variant>
      <vt:variant>
        <vt:lpwstr/>
      </vt:variant>
      <vt:variant>
        <vt:lpwstr>_Toc120096702</vt:lpwstr>
      </vt:variant>
      <vt:variant>
        <vt:i4>3014691</vt:i4>
      </vt:variant>
      <vt:variant>
        <vt:i4>0</vt:i4>
      </vt:variant>
      <vt:variant>
        <vt:i4>0</vt:i4>
      </vt:variant>
      <vt:variant>
        <vt:i4>5</vt:i4>
      </vt:variant>
      <vt:variant>
        <vt:lpwstr>http://www.jacobs.com/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SPR2 Report Template for Accessibility</dc:title>
  <dc:subject/>
  <dc:creator>Julie.MacFadden@ch2m.com</dc:creator>
  <cp:keywords/>
  <dc:description/>
  <cp:lastModifiedBy>Stirling, Sam</cp:lastModifiedBy>
  <cp:revision>331</cp:revision>
  <cp:lastPrinted>2022-12-07T11:51:00Z</cp:lastPrinted>
  <dcterms:created xsi:type="dcterms:W3CDTF">2021-12-15T01:46:00Z</dcterms:created>
  <dcterms:modified xsi:type="dcterms:W3CDTF">2022-12-07T11:51:00Z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MediaServiceImageTags">
    <vt:lpwstr/>
  </property>
</Properties>
</file>