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666A" w14:textId="5219CFB2" w:rsidR="00BE652F" w:rsidRPr="005273E2" w:rsidRDefault="00BE652F" w:rsidP="005273E2">
      <w:pPr>
        <w:pStyle w:val="STPR2AppendicesHeading1"/>
      </w:pPr>
      <w:r w:rsidRPr="005273E2">
        <w:t>Out of Scope Options</w:t>
      </w:r>
    </w:p>
    <w:p w14:paraId="32D459C8" w14:textId="08ECBD52" w:rsidR="009C524D" w:rsidRPr="00D54252" w:rsidRDefault="009C524D" w:rsidP="005273E2">
      <w:pPr>
        <w:pStyle w:val="STPR2BodyText"/>
      </w:pPr>
      <w:r w:rsidRPr="00D54252">
        <w:t xml:space="preserve">This note sets out the position regarding what interventions and projects </w:t>
      </w:r>
      <w:r w:rsidR="00B833B4" w:rsidRPr="00D54252">
        <w:t>were</w:t>
      </w:r>
      <w:r w:rsidRPr="00D54252">
        <w:t xml:space="preserve"> out of scope for STPR2.</w:t>
      </w:r>
      <w:r w:rsidR="00C66548">
        <w:t xml:space="preserve"> </w:t>
      </w:r>
      <w:r w:rsidRPr="00D54252">
        <w:t xml:space="preserve">This </w:t>
      </w:r>
      <w:r w:rsidRPr="005273E2">
        <w:t>note</w:t>
      </w:r>
      <w:r w:rsidRPr="00D54252">
        <w:t xml:space="preserve"> builds on the original STPR2 brief, discussions with Transport Scotland’s Strategy </w:t>
      </w:r>
      <w:r w:rsidR="00AD4628" w:rsidRPr="00D54252">
        <w:t>and</w:t>
      </w:r>
      <w:r w:rsidRPr="00D54252">
        <w:t xml:space="preserve"> Analysis Directorate and feedback from the STPR2 Project Board and Transport Scotland’s Investment Decision Making (IDM) Board.</w:t>
      </w:r>
      <w:r w:rsidR="00C66548">
        <w:t xml:space="preserve"> </w:t>
      </w:r>
      <w:r w:rsidRPr="00D54252">
        <w:t xml:space="preserve">The note also takes cognisance of measures and interventions being considered by Transport Scotland and the </w:t>
      </w:r>
      <w:r w:rsidRPr="00642B24">
        <w:t>Scottish</w:t>
      </w:r>
      <w:r w:rsidRPr="00D54252">
        <w:t xml:space="preserve"> Government</w:t>
      </w:r>
      <w:r w:rsidR="00B24D61">
        <w:t>,</w:t>
      </w:r>
      <w:r w:rsidRPr="00D54252">
        <w:t xml:space="preserve"> particularly in light of the COVID-19 pandemic.</w:t>
      </w:r>
      <w:r w:rsidR="00C66548">
        <w:t xml:space="preserve"> </w:t>
      </w:r>
      <w:r w:rsidRPr="00D54252">
        <w:t>A number of the interventions or projects listed below are out of scope as they cannot be directly delivered or facilitated by Transport Scotland or within the direct powers of Scottish Ministers.</w:t>
      </w:r>
      <w:r w:rsidR="00C66548">
        <w:t xml:space="preserve"> </w:t>
      </w:r>
    </w:p>
    <w:p w14:paraId="17852E3E" w14:textId="77777777" w:rsidR="009C524D" w:rsidRPr="00642B24" w:rsidRDefault="009C524D" w:rsidP="00642B24">
      <w:pPr>
        <w:pStyle w:val="STPR2BodyText"/>
        <w:rPr>
          <w:b/>
          <w:bCs/>
        </w:rPr>
      </w:pPr>
      <w:r w:rsidRPr="00642B24">
        <w:rPr>
          <w:b/>
          <w:bCs/>
        </w:rPr>
        <w:t xml:space="preserve">The following options </w:t>
      </w:r>
      <w:r w:rsidRPr="00642B24">
        <w:rPr>
          <w:b/>
          <w:bCs/>
          <w:u w:val="single"/>
        </w:rPr>
        <w:t>are out of scope</w:t>
      </w:r>
      <w:r w:rsidRPr="00642B24">
        <w:rPr>
          <w:b/>
          <w:bCs/>
        </w:rPr>
        <w:t>.</w:t>
      </w:r>
    </w:p>
    <w:p w14:paraId="6B4BB92B" w14:textId="77777777" w:rsidR="009C524D" w:rsidRPr="00D54252" w:rsidRDefault="009C524D" w:rsidP="00642B24">
      <w:pPr>
        <w:pStyle w:val="STPR2BulletsLevel1"/>
      </w:pPr>
      <w:r w:rsidRPr="00D54252">
        <w:t>All matters reserved to UK Ministers.</w:t>
      </w:r>
    </w:p>
    <w:p w14:paraId="530B8CBF" w14:textId="77777777" w:rsidR="009C524D" w:rsidRPr="005273E2" w:rsidRDefault="009C524D" w:rsidP="005273E2">
      <w:pPr>
        <w:pStyle w:val="STPR2BodyText"/>
        <w:rPr>
          <w:b/>
          <w:bCs/>
        </w:rPr>
      </w:pPr>
      <w:r w:rsidRPr="005273E2">
        <w:rPr>
          <w:b/>
          <w:bCs/>
        </w:rPr>
        <w:t>ROADS AND CAR PARKS</w:t>
      </w:r>
    </w:p>
    <w:p w14:paraId="7D236B67" w14:textId="77777777" w:rsidR="009C524D" w:rsidRPr="00374CDF" w:rsidRDefault="009C524D" w:rsidP="00642B24">
      <w:pPr>
        <w:pStyle w:val="STPR2BulletsLevel1"/>
      </w:pPr>
      <w:r w:rsidRPr="00374CDF">
        <w:t>Local roads are out of scope, unless:</w:t>
      </w:r>
    </w:p>
    <w:p w14:paraId="52DC3D76" w14:textId="07A7114A" w:rsidR="009C524D" w:rsidRPr="00374CDF" w:rsidRDefault="009C524D" w:rsidP="005273E2">
      <w:pPr>
        <w:pStyle w:val="STPR2BulletsLevel2"/>
      </w:pPr>
      <w:r w:rsidRPr="00374CDF">
        <w:t xml:space="preserve">they provide access to major ports or airports - </w:t>
      </w:r>
      <w:r w:rsidR="00F6561E" w:rsidRPr="00374CDF">
        <w:t>m</w:t>
      </w:r>
      <w:r w:rsidRPr="00374CDF">
        <w:t>ajor airports are currently defined as Edinburgh, Glasgow, Aberdeen and Inverness; Prestwick is currently included from a freight perspective only. The list of major ports is currently being finalised with the Aviation, Maritime, Freight and Canals Directorate at Transport Scotland but will</w:t>
      </w:r>
      <w:r w:rsidR="00DD310F" w:rsidRPr="00374CDF">
        <w:t>,</w:t>
      </w:r>
      <w:r w:rsidRPr="00374CDF">
        <w:t xml:space="preserve"> as a minimum</w:t>
      </w:r>
      <w:r w:rsidR="00DD310F" w:rsidRPr="00374CDF">
        <w:t>,</w:t>
      </w:r>
      <w:r w:rsidRPr="00374CDF">
        <w:t xml:space="preserve"> include all ports that handle over one million tonnes of cargo</w:t>
      </w:r>
      <w:r w:rsidR="003E36C9">
        <w:t> </w:t>
      </w:r>
      <w:r w:rsidRPr="00374CDF">
        <w:t>annually;</w:t>
      </w:r>
    </w:p>
    <w:p w14:paraId="662EB932" w14:textId="13EDA114" w:rsidR="009C524D" w:rsidRPr="00374CDF" w:rsidRDefault="009C524D" w:rsidP="005273E2">
      <w:pPr>
        <w:pStyle w:val="STPR2BulletsLevel2"/>
      </w:pPr>
      <w:r w:rsidRPr="00374CDF">
        <w:t xml:space="preserve">they provide access to nationally significant National Planning Framework (NPF4) sites, </w:t>
      </w:r>
      <w:r w:rsidR="005273E2" w:rsidRPr="00374CDF">
        <w:t>however,</w:t>
      </w:r>
      <w:r w:rsidRPr="00374CDF">
        <w:t xml:space="preserve"> see text below on planning; </w:t>
      </w:r>
    </w:p>
    <w:p w14:paraId="2983B17F" w14:textId="77777777" w:rsidR="009C524D" w:rsidRPr="00374CDF" w:rsidRDefault="009C524D" w:rsidP="005273E2">
      <w:pPr>
        <w:pStyle w:val="STPR2BulletsLevel2"/>
      </w:pPr>
      <w:r w:rsidRPr="00374CDF">
        <w:t>amendments are required to support or facilitate changes to the strategic road network including the provision of bus priority or active travel.</w:t>
      </w:r>
    </w:p>
    <w:p w14:paraId="3C3D120E" w14:textId="4A0F1590" w:rsidR="009C524D" w:rsidRPr="00374CDF" w:rsidRDefault="009C524D" w:rsidP="00642B24">
      <w:pPr>
        <w:pStyle w:val="STPR2BulletsLevel1"/>
      </w:pPr>
      <w:r w:rsidRPr="00374CDF">
        <w:t>Reclassification of roads from local road to trunk road or vice versa</w:t>
      </w:r>
      <w:r w:rsidR="00172F8A">
        <w:t>;</w:t>
      </w:r>
    </w:p>
    <w:p w14:paraId="0DEA706A" w14:textId="77777777" w:rsidR="009C524D" w:rsidRPr="00374CDF" w:rsidRDefault="009C524D" w:rsidP="00642B24">
      <w:pPr>
        <w:pStyle w:val="STPR2BulletsLevel1"/>
      </w:pPr>
      <w:r w:rsidRPr="00374CDF">
        <w:t>Car parking is out of scope unless associated with a strategic intervention.</w:t>
      </w:r>
    </w:p>
    <w:p w14:paraId="75E7575D" w14:textId="77777777" w:rsidR="009C524D" w:rsidRPr="005273E2" w:rsidRDefault="009C524D" w:rsidP="005273E2">
      <w:pPr>
        <w:pStyle w:val="STPR2BodyText"/>
        <w:rPr>
          <w:b/>
          <w:bCs/>
        </w:rPr>
      </w:pPr>
      <w:r w:rsidRPr="005273E2">
        <w:rPr>
          <w:b/>
          <w:bCs/>
        </w:rPr>
        <w:t>PUBLIC TRANSPORT</w:t>
      </w:r>
    </w:p>
    <w:p w14:paraId="470F8837" w14:textId="3572617B" w:rsidR="009C524D" w:rsidRPr="005273E2" w:rsidRDefault="009C524D" w:rsidP="005273E2">
      <w:pPr>
        <w:pStyle w:val="STPR2BulletsLevel1"/>
      </w:pPr>
      <w:r w:rsidRPr="005273E2">
        <w:t>Enhanced passenger security or safety on public transport</w:t>
      </w:r>
      <w:r w:rsidR="00172F8A" w:rsidRPr="005273E2">
        <w:t>;</w:t>
      </w:r>
    </w:p>
    <w:p w14:paraId="39E98285" w14:textId="00126F93" w:rsidR="009C524D" w:rsidRPr="005273E2" w:rsidRDefault="009C524D" w:rsidP="005273E2">
      <w:pPr>
        <w:pStyle w:val="STPR2BulletsLevel1"/>
      </w:pPr>
      <w:r w:rsidRPr="005273E2">
        <w:t>Any public transport project or option that is revenue based</w:t>
      </w:r>
      <w:r w:rsidR="00172F8A" w:rsidRPr="005273E2">
        <w:t>;</w:t>
      </w:r>
    </w:p>
    <w:p w14:paraId="4E40E84E" w14:textId="5B5953F3" w:rsidR="009C524D" w:rsidRPr="00AB0642" w:rsidRDefault="009C524D" w:rsidP="005273E2">
      <w:pPr>
        <w:pStyle w:val="STPR2BulletsLevel1"/>
      </w:pPr>
      <w:r w:rsidRPr="005273E2">
        <w:t>Options related to the operational aspects of transport provision, such as</w:t>
      </w:r>
      <w:r w:rsidR="0025385F" w:rsidRPr="005273E2">
        <w:t>,</w:t>
      </w:r>
      <w:r w:rsidRPr="005273E2">
        <w:t xml:space="preserve"> but not limited</w:t>
      </w:r>
      <w:r w:rsidRPr="00AB0642">
        <w:t xml:space="preserve"> to, vehicle design and rolling stock layouts are out of scope.</w:t>
      </w:r>
    </w:p>
    <w:p w14:paraId="0C6A1201" w14:textId="7B543FB0" w:rsidR="009C524D" w:rsidRPr="005273E2" w:rsidRDefault="009C524D" w:rsidP="005273E2">
      <w:pPr>
        <w:pStyle w:val="STPR2BodyText"/>
        <w:rPr>
          <w:b/>
          <w:bCs/>
        </w:rPr>
      </w:pPr>
      <w:r w:rsidRPr="005273E2">
        <w:rPr>
          <w:b/>
          <w:bCs/>
        </w:rPr>
        <w:t>FERRY / FIXED LINKS</w:t>
      </w:r>
    </w:p>
    <w:p w14:paraId="5582EB0D" w14:textId="17561F20" w:rsidR="009C524D" w:rsidRPr="00AB0642" w:rsidRDefault="009C524D" w:rsidP="005273E2">
      <w:pPr>
        <w:pStyle w:val="STPR2BulletsLevel1"/>
      </w:pPr>
      <w:r w:rsidRPr="00AB0642">
        <w:t xml:space="preserve">Ferry routes </w:t>
      </w:r>
      <w:r w:rsidR="00F951D0">
        <w:t>that</w:t>
      </w:r>
      <w:r w:rsidR="00F951D0" w:rsidRPr="00AB0642">
        <w:t xml:space="preserve"> </w:t>
      </w:r>
      <w:r w:rsidRPr="00AB0642">
        <w:t>do not form part of the Clyde and Hebrides Ferry Service (CHFS) or Northern Isles Ferry Service (NIFS</w:t>
      </w:r>
      <w:r w:rsidR="00172F8A" w:rsidRPr="00AB0642">
        <w:t>)</w:t>
      </w:r>
      <w:r w:rsidR="00172F8A">
        <w:t>;</w:t>
      </w:r>
    </w:p>
    <w:p w14:paraId="1A802951" w14:textId="77777777" w:rsidR="009C524D" w:rsidRPr="00AB0642" w:rsidRDefault="009C524D" w:rsidP="005273E2">
      <w:pPr>
        <w:pStyle w:val="STPR2BulletsLevel1"/>
      </w:pPr>
      <w:r w:rsidRPr="00AB0642">
        <w:t>Fixed links are out of scope unless they:</w:t>
      </w:r>
    </w:p>
    <w:p w14:paraId="41BDC8DD" w14:textId="2B48CE20" w:rsidR="009C524D" w:rsidRPr="00AB0642" w:rsidRDefault="009C524D" w:rsidP="005273E2">
      <w:pPr>
        <w:pStyle w:val="STPR2NumberList"/>
      </w:pPr>
      <w:r w:rsidRPr="00AB0642">
        <w:t>connect the mainland to an island</w:t>
      </w:r>
      <w:r w:rsidR="00172F8A">
        <w:t>;</w:t>
      </w:r>
      <w:r w:rsidR="00172F8A" w:rsidRPr="00AB0642">
        <w:t xml:space="preserve"> </w:t>
      </w:r>
      <w:r w:rsidRPr="00AB0642">
        <w:t xml:space="preserve">and/or </w:t>
      </w:r>
    </w:p>
    <w:p w14:paraId="28CFA838" w14:textId="4D1EA533" w:rsidR="009C524D" w:rsidRPr="00AB0642" w:rsidRDefault="009C524D" w:rsidP="005273E2">
      <w:pPr>
        <w:pStyle w:val="STPR2NumberList"/>
      </w:pPr>
      <w:r w:rsidRPr="00AB0642">
        <w:t>reduce the operating costs of the CHFS or NIFS network</w:t>
      </w:r>
      <w:r w:rsidR="00172F8A">
        <w:t>;</w:t>
      </w:r>
      <w:r w:rsidR="00172F8A" w:rsidRPr="00AB0642">
        <w:t xml:space="preserve"> </w:t>
      </w:r>
      <w:r w:rsidRPr="00AB0642">
        <w:t xml:space="preserve">and/or </w:t>
      </w:r>
    </w:p>
    <w:p w14:paraId="41752F54" w14:textId="2074510F" w:rsidR="009C524D" w:rsidRPr="00AB0642" w:rsidRDefault="009C524D" w:rsidP="005273E2">
      <w:pPr>
        <w:pStyle w:val="STPR2NumberList"/>
      </w:pPr>
      <w:r w:rsidRPr="00AB0642">
        <w:t>are required to address a strategic problem as identified through evidence-based appraisal that cannot be addressed by a reasonable alternative.</w:t>
      </w:r>
    </w:p>
    <w:p w14:paraId="47A59231" w14:textId="09EA5202" w:rsidR="009C524D" w:rsidRPr="00AB0642" w:rsidRDefault="009C524D" w:rsidP="005273E2">
      <w:pPr>
        <w:pStyle w:val="STPR2BulletsLevel1"/>
      </w:pPr>
      <w:r w:rsidRPr="00AB0642">
        <w:lastRenderedPageBreak/>
        <w:t>Water</w:t>
      </w:r>
      <w:r w:rsidR="00371258" w:rsidRPr="00AB0642">
        <w:t>-</w:t>
      </w:r>
      <w:r w:rsidRPr="00AB0642">
        <w:t>based transport on canals and estuaries (</w:t>
      </w:r>
      <w:r w:rsidR="00371258" w:rsidRPr="00AB0642">
        <w:t>for example</w:t>
      </w:r>
      <w:r w:rsidR="00FA10E1">
        <w:t>,</w:t>
      </w:r>
      <w:r w:rsidRPr="00AB0642">
        <w:t xml:space="preserve"> water taxis</w:t>
      </w:r>
      <w:r w:rsidR="00172F8A" w:rsidRPr="00AB0642">
        <w:t>)</w:t>
      </w:r>
      <w:r w:rsidR="00172F8A">
        <w:t>;</w:t>
      </w:r>
    </w:p>
    <w:p w14:paraId="5B1DC4AC" w14:textId="67A5E16E" w:rsidR="009C524D" w:rsidRPr="00AB0642" w:rsidRDefault="009C524D" w:rsidP="005273E2">
      <w:pPr>
        <w:pStyle w:val="STPR2BulletsLevel1"/>
      </w:pPr>
      <w:r w:rsidRPr="00AB0642">
        <w:t>Options related to the operational aspects of transport provision, such as</w:t>
      </w:r>
      <w:r w:rsidR="009E0B87" w:rsidRPr="00AB0642">
        <w:t>,</w:t>
      </w:r>
      <w:r w:rsidRPr="00AB0642">
        <w:t xml:space="preserve"> but not limited to, vessel deck space reconfiguration or vehicle quotas are out of scope.</w:t>
      </w:r>
    </w:p>
    <w:p w14:paraId="7794BC0D" w14:textId="77777777" w:rsidR="009C524D" w:rsidRPr="005273E2" w:rsidRDefault="009C524D" w:rsidP="005273E2">
      <w:pPr>
        <w:pStyle w:val="STPR2BodyText"/>
        <w:rPr>
          <w:b/>
          <w:bCs/>
        </w:rPr>
      </w:pPr>
      <w:r w:rsidRPr="005273E2">
        <w:rPr>
          <w:b/>
          <w:bCs/>
        </w:rPr>
        <w:t>AVIATION</w:t>
      </w:r>
    </w:p>
    <w:p w14:paraId="1FFF23BA" w14:textId="5B9385E9" w:rsidR="009C524D" w:rsidRPr="00AE6A2F" w:rsidRDefault="009C524D" w:rsidP="005273E2">
      <w:pPr>
        <w:pStyle w:val="STPR2BulletsLevel1"/>
      </w:pPr>
      <w:r w:rsidRPr="005273E2">
        <w:t>Options</w:t>
      </w:r>
      <w:r w:rsidRPr="00AE6A2F">
        <w:t xml:space="preserve"> related to air services, including operation/expansion of airports and new flights/changes to existing flights are out of scope. This includes </w:t>
      </w:r>
      <w:r w:rsidR="00F25FFF" w:rsidRPr="00AE6A2F">
        <w:t>i</w:t>
      </w:r>
      <w:r w:rsidRPr="00AE6A2F">
        <w:t>nter-</w:t>
      </w:r>
      <w:r w:rsidR="00F25FFF" w:rsidRPr="00AE6A2F">
        <w:t>i</w:t>
      </w:r>
      <w:r w:rsidRPr="00AE6A2F">
        <w:t>sland and</w:t>
      </w:r>
      <w:r w:rsidR="005273E2">
        <w:t> </w:t>
      </w:r>
      <w:r w:rsidR="00F25FFF" w:rsidRPr="00AE6A2F">
        <w:t>i</w:t>
      </w:r>
      <w:r w:rsidRPr="00AE6A2F">
        <w:t>sland</w:t>
      </w:r>
      <w:r w:rsidR="005273E2">
        <w:t> </w:t>
      </w:r>
      <w:r w:rsidRPr="00AE6A2F">
        <w:t xml:space="preserve">– </w:t>
      </w:r>
      <w:r w:rsidR="00F25FFF" w:rsidRPr="00AE6A2F">
        <w:t>m</w:t>
      </w:r>
      <w:r w:rsidRPr="00AE6A2F">
        <w:t xml:space="preserve">ainland air services. </w:t>
      </w:r>
    </w:p>
    <w:p w14:paraId="1A0A6AB8" w14:textId="77777777" w:rsidR="009C524D" w:rsidRPr="005273E2" w:rsidRDefault="009C524D" w:rsidP="005273E2">
      <w:pPr>
        <w:pStyle w:val="STPR2BodyText"/>
        <w:rPr>
          <w:b/>
          <w:bCs/>
        </w:rPr>
      </w:pPr>
      <w:r w:rsidRPr="005273E2">
        <w:rPr>
          <w:b/>
          <w:bCs/>
        </w:rPr>
        <w:t>FUNDING, FARES AND SUBSIDIES</w:t>
      </w:r>
    </w:p>
    <w:p w14:paraId="1CACC7A6" w14:textId="1348D080" w:rsidR="009C524D" w:rsidRPr="00D175D3" w:rsidRDefault="009C524D" w:rsidP="005273E2">
      <w:pPr>
        <w:pStyle w:val="STPR2BulletsLevel1"/>
      </w:pPr>
      <w:r w:rsidRPr="00D175D3">
        <w:t>Revenue funding for public transport is out of scope, including concessionary travel, free public transport, reduced public transport fares or changes to existing concessionary travel schemes and Road Equivalent Tariff</w:t>
      </w:r>
      <w:r w:rsidR="00172F8A">
        <w:t>;</w:t>
      </w:r>
    </w:p>
    <w:p w14:paraId="2B73E4A0" w14:textId="6B737BDD" w:rsidR="009C524D" w:rsidRPr="00D175D3" w:rsidRDefault="009C524D" w:rsidP="005273E2">
      <w:pPr>
        <w:pStyle w:val="STPR2BulletsLevel1"/>
        <w:rPr>
          <w:szCs w:val="24"/>
        </w:rPr>
      </w:pPr>
      <w:r w:rsidRPr="00D175D3">
        <w:rPr>
          <w:szCs w:val="24"/>
        </w:rPr>
        <w:t>Options related to the Air Discount Scheme are out of scope</w:t>
      </w:r>
      <w:r w:rsidR="00172F8A">
        <w:rPr>
          <w:szCs w:val="24"/>
        </w:rPr>
        <w:t>;</w:t>
      </w:r>
    </w:p>
    <w:p w14:paraId="1816A63E" w14:textId="7CE6DFFC" w:rsidR="009C524D" w:rsidRPr="00D175D3" w:rsidRDefault="009C524D" w:rsidP="005273E2">
      <w:pPr>
        <w:pStyle w:val="STPR2BulletsLevel1"/>
        <w:rPr>
          <w:szCs w:val="24"/>
        </w:rPr>
      </w:pPr>
      <w:r w:rsidRPr="00D175D3">
        <w:rPr>
          <w:szCs w:val="24"/>
        </w:rPr>
        <w:t>Any proposals to consider the ‘ring-fencing’ of local authority budgets for transport and/or simplification of funding mechanisms (</w:t>
      </w:r>
      <w:r w:rsidR="002739F8" w:rsidRPr="00D175D3">
        <w:rPr>
          <w:szCs w:val="24"/>
        </w:rPr>
        <w:t>for example</w:t>
      </w:r>
      <w:r w:rsidR="000A633B">
        <w:rPr>
          <w:szCs w:val="24"/>
        </w:rPr>
        <w:t>,</w:t>
      </w:r>
      <w:r w:rsidRPr="00D175D3">
        <w:rPr>
          <w:szCs w:val="24"/>
        </w:rPr>
        <w:t xml:space="preserve"> fewer challenge funds) </w:t>
      </w:r>
      <w:r w:rsidR="002739F8" w:rsidRPr="00D175D3">
        <w:rPr>
          <w:szCs w:val="24"/>
        </w:rPr>
        <w:t>are</w:t>
      </w:r>
      <w:r w:rsidRPr="00D175D3">
        <w:rPr>
          <w:szCs w:val="24"/>
        </w:rPr>
        <w:t xml:space="preserve"> not in scope for STPR2</w:t>
      </w:r>
      <w:r w:rsidR="00172F8A">
        <w:rPr>
          <w:szCs w:val="24"/>
        </w:rPr>
        <w:t>;</w:t>
      </w:r>
    </w:p>
    <w:p w14:paraId="37F46361" w14:textId="2D1BB903" w:rsidR="009C524D" w:rsidRPr="00D175D3" w:rsidRDefault="009C524D" w:rsidP="005273E2">
      <w:pPr>
        <w:pStyle w:val="STPR2BulletsLevel1"/>
        <w:rPr>
          <w:szCs w:val="24"/>
        </w:rPr>
      </w:pPr>
      <w:r w:rsidRPr="00D175D3">
        <w:rPr>
          <w:szCs w:val="24"/>
        </w:rPr>
        <w:t>Local authority funding of transport</w:t>
      </w:r>
      <w:r w:rsidR="00740E80" w:rsidRPr="00D175D3">
        <w:rPr>
          <w:szCs w:val="24"/>
        </w:rPr>
        <w:t>-</w:t>
      </w:r>
      <w:r w:rsidRPr="00D175D3">
        <w:rPr>
          <w:szCs w:val="24"/>
        </w:rPr>
        <w:t>related services.</w:t>
      </w:r>
    </w:p>
    <w:p w14:paraId="35954553" w14:textId="071C1F8E" w:rsidR="009C524D" w:rsidRPr="005273E2" w:rsidRDefault="009C524D" w:rsidP="005273E2">
      <w:pPr>
        <w:pStyle w:val="STPR2BodyText"/>
        <w:rPr>
          <w:b/>
          <w:bCs/>
        </w:rPr>
      </w:pPr>
      <w:r w:rsidRPr="005273E2">
        <w:rPr>
          <w:b/>
          <w:bCs/>
        </w:rPr>
        <w:t>DIGITAL</w:t>
      </w:r>
    </w:p>
    <w:p w14:paraId="3A9146C3" w14:textId="6C2F3194" w:rsidR="009C524D" w:rsidRPr="00D175D3" w:rsidRDefault="009C524D" w:rsidP="005273E2">
      <w:pPr>
        <w:pStyle w:val="STPR2BulletsLevel1"/>
      </w:pPr>
      <w:r w:rsidRPr="00D175D3">
        <w:t xml:space="preserve">The </w:t>
      </w:r>
      <w:r w:rsidRPr="005273E2">
        <w:t>delivery</w:t>
      </w:r>
      <w:r w:rsidRPr="00D175D3">
        <w:t xml:space="preserve"> of digital connectivity/5G or subsequent successors is out of scope.</w:t>
      </w:r>
    </w:p>
    <w:p w14:paraId="725476DC" w14:textId="77777777" w:rsidR="009C524D" w:rsidRPr="005273E2" w:rsidRDefault="009C524D" w:rsidP="005273E2">
      <w:pPr>
        <w:pStyle w:val="STPR2BodyText"/>
        <w:rPr>
          <w:b/>
          <w:bCs/>
        </w:rPr>
      </w:pPr>
      <w:r w:rsidRPr="005273E2">
        <w:rPr>
          <w:b/>
          <w:bCs/>
        </w:rPr>
        <w:t>LEGISLATION, REGULATORY AND GOVERNANCE</w:t>
      </w:r>
    </w:p>
    <w:p w14:paraId="2D60D5D3" w14:textId="7EC93183" w:rsidR="009C524D" w:rsidRPr="005273E2" w:rsidRDefault="009C524D" w:rsidP="005273E2">
      <w:pPr>
        <w:pStyle w:val="STPR2BulletsLevel1"/>
      </w:pPr>
      <w:r w:rsidRPr="005273E2">
        <w:t>Options which require legislative change</w:t>
      </w:r>
      <w:r w:rsidR="00172F8A" w:rsidRPr="005273E2">
        <w:t>;</w:t>
      </w:r>
    </w:p>
    <w:p w14:paraId="76F7DBE3" w14:textId="077D74DD" w:rsidR="009C524D" w:rsidRPr="005273E2" w:rsidRDefault="009C524D" w:rsidP="005273E2">
      <w:pPr>
        <w:pStyle w:val="STPR2BulletsLevel1"/>
      </w:pPr>
      <w:r w:rsidRPr="005273E2">
        <w:t>Workplace Parking Levies (</w:t>
      </w:r>
      <w:r w:rsidR="005A3E81" w:rsidRPr="005273E2">
        <w:t>n</w:t>
      </w:r>
      <w:r w:rsidRPr="005273E2">
        <w:t>ote - there is already provision for local authorities to undertake this in the Transport Act</w:t>
      </w:r>
      <w:r w:rsidR="00172F8A" w:rsidRPr="005273E2">
        <w:t>);</w:t>
      </w:r>
    </w:p>
    <w:p w14:paraId="1DBB844F" w14:textId="72F908F1" w:rsidR="009C524D" w:rsidRPr="005273E2" w:rsidRDefault="009C524D" w:rsidP="005273E2">
      <w:pPr>
        <w:pStyle w:val="STPR2BulletsLevel1"/>
      </w:pPr>
      <w:r w:rsidRPr="005273E2">
        <w:t>Changes to transport regulation</w:t>
      </w:r>
      <w:r w:rsidR="00172F8A" w:rsidRPr="005273E2">
        <w:t>;</w:t>
      </w:r>
    </w:p>
    <w:p w14:paraId="3DCF9374" w14:textId="56D8EA67" w:rsidR="009C524D" w:rsidRPr="005273E2" w:rsidRDefault="009C524D" w:rsidP="005273E2">
      <w:pPr>
        <w:pStyle w:val="STPR2BulletsLevel1"/>
      </w:pPr>
      <w:r w:rsidRPr="005273E2">
        <w:t>Day to day operational matters for transport providers and operators</w:t>
      </w:r>
      <w:r w:rsidR="00172F8A" w:rsidRPr="005273E2">
        <w:t xml:space="preserve">; </w:t>
      </w:r>
    </w:p>
    <w:p w14:paraId="5F58B14A" w14:textId="5AA55E23" w:rsidR="009C524D" w:rsidRPr="005273E2" w:rsidRDefault="009C524D" w:rsidP="005273E2">
      <w:pPr>
        <w:pStyle w:val="STPR2BulletsLevel1"/>
      </w:pPr>
      <w:r w:rsidRPr="005273E2">
        <w:t>Changes in vehicle regulation and vehicle excise duty are out of scope</w:t>
      </w:r>
      <w:r w:rsidR="00172F8A" w:rsidRPr="005273E2">
        <w:t>;</w:t>
      </w:r>
    </w:p>
    <w:p w14:paraId="68965027" w14:textId="5FB7A10F" w:rsidR="009C524D" w:rsidRPr="00AC4A1D" w:rsidRDefault="009C524D" w:rsidP="005273E2">
      <w:pPr>
        <w:pStyle w:val="STPR2BulletsLevel1"/>
      </w:pPr>
      <w:r w:rsidRPr="005273E2">
        <w:t>Planning led initiatives (</w:t>
      </w:r>
      <w:r w:rsidR="005A3E81" w:rsidRPr="005273E2">
        <w:t>for example</w:t>
      </w:r>
      <w:r w:rsidR="002533EA" w:rsidRPr="005273E2">
        <w:t>,</w:t>
      </w:r>
      <w:r w:rsidRPr="005273E2">
        <w:t xml:space="preserve"> changes to the statutory planning process) are out of scope</w:t>
      </w:r>
      <w:r w:rsidRPr="00AC4A1D">
        <w:t>.</w:t>
      </w:r>
    </w:p>
    <w:p w14:paraId="698DD410" w14:textId="77777777" w:rsidR="009C524D" w:rsidRPr="005273E2" w:rsidRDefault="009C524D" w:rsidP="005273E2">
      <w:pPr>
        <w:pStyle w:val="STPR2BodyText"/>
        <w:rPr>
          <w:b/>
          <w:bCs/>
        </w:rPr>
      </w:pPr>
      <w:r w:rsidRPr="005273E2">
        <w:rPr>
          <w:b/>
          <w:bCs/>
        </w:rPr>
        <w:t>MAINTENANCE</w:t>
      </w:r>
    </w:p>
    <w:p w14:paraId="010D593C" w14:textId="09D945AD" w:rsidR="009C524D" w:rsidRPr="00AC4A1D" w:rsidRDefault="009C524D" w:rsidP="005273E2">
      <w:pPr>
        <w:pStyle w:val="STPR2BulletsLevel1"/>
      </w:pPr>
      <w:r w:rsidRPr="00AC4A1D">
        <w:t>Revenue funded routine and cyclic maintenance measures, for all modes and assets</w:t>
      </w:r>
      <w:r w:rsidR="00A3677A" w:rsidRPr="00AC4A1D">
        <w:t>,</w:t>
      </w:r>
      <w:r w:rsidRPr="00AC4A1D">
        <w:t xml:space="preserve"> are out of scope. </w:t>
      </w:r>
    </w:p>
    <w:p w14:paraId="78250A17" w14:textId="77777777" w:rsidR="009C524D" w:rsidRPr="005273E2" w:rsidRDefault="009C524D" w:rsidP="005273E2">
      <w:pPr>
        <w:pStyle w:val="STPR2BodyText"/>
        <w:rPr>
          <w:b/>
          <w:bCs/>
        </w:rPr>
      </w:pPr>
      <w:r w:rsidRPr="005273E2">
        <w:rPr>
          <w:b/>
          <w:bCs/>
        </w:rPr>
        <w:t>ALTERNATIVE FUELS AND DECARBONISATION</w:t>
      </w:r>
    </w:p>
    <w:p w14:paraId="40011682" w14:textId="5055C6C0" w:rsidR="009C524D" w:rsidRPr="00AC4A1D" w:rsidRDefault="009C524D" w:rsidP="005273E2">
      <w:pPr>
        <w:pStyle w:val="STPR2BulletsLevel1"/>
      </w:pPr>
      <w:r w:rsidRPr="00AC4A1D">
        <w:t>The low carbon energy or alternative fuel delivery pathways for Scotland will be led by the energy sector and are therefore not in scope for STPR2. Decarbonisation of the transport system is</w:t>
      </w:r>
      <w:r w:rsidR="00A3677A" w:rsidRPr="00AC4A1D">
        <w:t>,</w:t>
      </w:r>
      <w:r w:rsidRPr="00AC4A1D">
        <w:t xml:space="preserve"> however</w:t>
      </w:r>
      <w:r w:rsidR="00A3677A" w:rsidRPr="00AC4A1D">
        <w:t>,</w:t>
      </w:r>
      <w:r w:rsidRPr="00AC4A1D">
        <w:t xml:space="preserve"> in scope.</w:t>
      </w:r>
    </w:p>
    <w:p w14:paraId="04C94BE0" w14:textId="77777777" w:rsidR="009C524D" w:rsidRPr="005273E2" w:rsidRDefault="009C524D" w:rsidP="005273E2">
      <w:pPr>
        <w:pStyle w:val="STPR2BodyText"/>
        <w:rPr>
          <w:b/>
          <w:bCs/>
        </w:rPr>
      </w:pPr>
      <w:r w:rsidRPr="005273E2">
        <w:rPr>
          <w:b/>
          <w:bCs/>
        </w:rPr>
        <w:t>COMMITTED PROJECTS AND PLANNING</w:t>
      </w:r>
    </w:p>
    <w:p w14:paraId="39709143" w14:textId="35F17739" w:rsidR="009C524D" w:rsidRPr="00B110B2" w:rsidRDefault="009C524D" w:rsidP="005273E2">
      <w:pPr>
        <w:pStyle w:val="STPR2BulletsLevel1"/>
      </w:pPr>
      <w:r w:rsidRPr="00B110B2">
        <w:t xml:space="preserve">Projects that may be deemed as Committed </w:t>
      </w:r>
      <w:r w:rsidR="00B833B4" w:rsidRPr="00B110B2">
        <w:t xml:space="preserve">were </w:t>
      </w:r>
      <w:r w:rsidRPr="00B110B2">
        <w:t>dealt with on a case</w:t>
      </w:r>
      <w:r w:rsidR="00A3677A" w:rsidRPr="00B110B2">
        <w:t>-</w:t>
      </w:r>
      <w:r w:rsidRPr="00B110B2">
        <w:t>by</w:t>
      </w:r>
      <w:r w:rsidR="00A3677A" w:rsidRPr="00B110B2">
        <w:t>-</w:t>
      </w:r>
      <w:r w:rsidRPr="00B110B2">
        <w:t>case basis, depend</w:t>
      </w:r>
      <w:r w:rsidR="007D5E12" w:rsidRPr="00B110B2">
        <w:t>e</w:t>
      </w:r>
      <w:r w:rsidRPr="00B110B2">
        <w:t xml:space="preserve">nt on their development status, but </w:t>
      </w:r>
      <w:r w:rsidR="00B833B4" w:rsidRPr="00B110B2">
        <w:t xml:space="preserve">were </w:t>
      </w:r>
      <w:r w:rsidRPr="00B110B2">
        <w:t>generally considered to be out of</w:t>
      </w:r>
      <w:r w:rsidR="00C66548">
        <w:t> </w:t>
      </w:r>
      <w:r w:rsidRPr="00B110B2">
        <w:t>scope</w:t>
      </w:r>
      <w:r w:rsidR="00172F8A">
        <w:t>;</w:t>
      </w:r>
    </w:p>
    <w:p w14:paraId="2E819CB8" w14:textId="2D7A1812" w:rsidR="009C524D" w:rsidRPr="00B110B2" w:rsidRDefault="009C524D" w:rsidP="005273E2">
      <w:pPr>
        <w:pStyle w:val="STPR2BulletsLevel1"/>
      </w:pPr>
      <w:r w:rsidRPr="00B110B2">
        <w:lastRenderedPageBreak/>
        <w:t>Growth Deal projects w</w:t>
      </w:r>
      <w:r w:rsidR="00B833B4" w:rsidRPr="00B110B2">
        <w:t xml:space="preserve">ere </w:t>
      </w:r>
      <w:r w:rsidRPr="00B110B2">
        <w:t>dealt with on a case</w:t>
      </w:r>
      <w:r w:rsidR="000A5D5A" w:rsidRPr="00B110B2">
        <w:t>-</w:t>
      </w:r>
      <w:r w:rsidRPr="00B110B2">
        <w:t>by</w:t>
      </w:r>
      <w:r w:rsidR="000A5D5A" w:rsidRPr="00B110B2">
        <w:t>-</w:t>
      </w:r>
      <w:r w:rsidRPr="00B110B2">
        <w:t xml:space="preserve">case basis but </w:t>
      </w:r>
      <w:r w:rsidR="00B833B4" w:rsidRPr="00B110B2">
        <w:t>were</w:t>
      </w:r>
      <w:r w:rsidRPr="00B110B2">
        <w:t xml:space="preserve"> generally considered to be committed if they have a Scottish Government approved strategic business case</w:t>
      </w:r>
      <w:r w:rsidR="00172F8A">
        <w:t>;</w:t>
      </w:r>
      <w:r w:rsidR="00172F8A" w:rsidRPr="00B110B2">
        <w:t xml:space="preserve"> </w:t>
      </w:r>
    </w:p>
    <w:p w14:paraId="3D660F78" w14:textId="2A5DF76B" w:rsidR="009C524D" w:rsidRPr="00B110B2" w:rsidRDefault="009C524D" w:rsidP="005273E2">
      <w:pPr>
        <w:pStyle w:val="STPR2BulletsLevel1"/>
      </w:pPr>
      <w:r w:rsidRPr="00B110B2">
        <w:t>Where investment is required to mitigate the impact of development on the strategic transport network, it is expected that the cost of the mitigation measures required to ensure the continued safe and effective operation of the network will require to be met by the developer.</w:t>
      </w:r>
      <w:r w:rsidR="00C66548">
        <w:t xml:space="preserve"> </w:t>
      </w:r>
      <w:r w:rsidRPr="00B110B2">
        <w:t>This is also the case for NPF4 national developments</w:t>
      </w:r>
      <w:r w:rsidR="00B02632" w:rsidRPr="00B110B2">
        <w:t>:</w:t>
      </w:r>
      <w:r w:rsidRPr="00B110B2">
        <w:t xml:space="preserve"> STPR2 does not negate the need, in line with Scottish Planning Policy, for development proposals that have the potential to affect the performance or safety of the strategic transport network to be fully assessed by the promotor of the site to determine their impact</w:t>
      </w:r>
      <w:r w:rsidR="00C13A04" w:rsidRPr="00B110B2">
        <w:t>,</w:t>
      </w:r>
      <w:r w:rsidRPr="00B110B2">
        <w:t xml:space="preserve"> or appraised by Planning authorities through the Development Planning process.</w:t>
      </w:r>
      <w:r w:rsidR="00C66548">
        <w:t xml:space="preserve"> </w:t>
      </w:r>
    </w:p>
    <w:p w14:paraId="0F6C3328" w14:textId="77777777" w:rsidR="009C524D" w:rsidRPr="005273E2" w:rsidRDefault="009C524D" w:rsidP="005273E2">
      <w:pPr>
        <w:pStyle w:val="STPR2BodyText"/>
        <w:rPr>
          <w:b/>
          <w:bCs/>
        </w:rPr>
      </w:pPr>
      <w:r w:rsidRPr="005273E2">
        <w:rPr>
          <w:b/>
          <w:bCs/>
        </w:rPr>
        <w:t>COMPLEMENTARY MEASURES</w:t>
      </w:r>
    </w:p>
    <w:p w14:paraId="44F340BA" w14:textId="469E993B" w:rsidR="009C524D" w:rsidRPr="0004197F" w:rsidRDefault="009C524D" w:rsidP="005273E2">
      <w:pPr>
        <w:pStyle w:val="STPR2BulletsLevel1"/>
      </w:pPr>
      <w:r w:rsidRPr="0004197F">
        <w:t>Enforcement measures as a standalone option are out of scope;</w:t>
      </w:r>
      <w:r w:rsidRPr="0004197F">
        <w:rPr>
          <w:rFonts w:eastAsia="Times New Roman"/>
        </w:rPr>
        <w:t xml:space="preserve"> </w:t>
      </w:r>
      <w:r w:rsidRPr="0004197F">
        <w:t>but if captured as part of specific projects</w:t>
      </w:r>
      <w:r w:rsidR="00C02A24" w:rsidRPr="0004197F">
        <w:t>, for example</w:t>
      </w:r>
      <w:r w:rsidRPr="0004197F">
        <w:t xml:space="preserve"> bus priority, this can be in scope</w:t>
      </w:r>
      <w:r w:rsidR="00172F8A">
        <w:t>;</w:t>
      </w:r>
    </w:p>
    <w:p w14:paraId="643F9638" w14:textId="59E7E68B" w:rsidR="001A7459" w:rsidRPr="0004197F" w:rsidRDefault="009C524D" w:rsidP="005273E2">
      <w:pPr>
        <w:pStyle w:val="STPR2BulletsLevel1"/>
      </w:pPr>
      <w:r w:rsidRPr="0004197F">
        <w:t>Options related to training, skills development or employment practices</w:t>
      </w:r>
      <w:r w:rsidR="00172F8A">
        <w:t>;</w:t>
      </w:r>
      <w:r w:rsidR="00172F8A" w:rsidRPr="0004197F">
        <w:t xml:space="preserve"> </w:t>
      </w:r>
    </w:p>
    <w:p w14:paraId="7AAEE50B" w14:textId="480BF3FC" w:rsidR="005273E2" w:rsidRDefault="001A7459" w:rsidP="005273E2">
      <w:pPr>
        <w:pStyle w:val="STPR2BulletsLevel1"/>
      </w:pPr>
      <w:r w:rsidRPr="0004197F">
        <w:t xml:space="preserve">Cycle parking as a standalone option is out of scope but if captured as part of a specific option, </w:t>
      </w:r>
      <w:r w:rsidR="002E2BA6" w:rsidRPr="0004197F">
        <w:t>for example</w:t>
      </w:r>
      <w:r w:rsidRPr="0004197F">
        <w:t xml:space="preserve"> mobility hubs/interchange facilities, can be in scope.</w:t>
      </w:r>
    </w:p>
    <w:p w14:paraId="2C8E812B" w14:textId="46DA73E9" w:rsidR="00C53930" w:rsidRPr="007270F7" w:rsidRDefault="00956C8A" w:rsidP="005273E2">
      <w:pPr>
        <w:pStyle w:val="STPR2AppendicesHeading1"/>
        <w:rPr>
          <w:lang w:val="en-GB"/>
        </w:rPr>
      </w:pPr>
      <w:r>
        <w:rPr>
          <w:lang w:val="en-GB"/>
        </w:rPr>
        <w:lastRenderedPageBreak/>
        <w:t xml:space="preserve">Revised </w:t>
      </w:r>
      <w:r w:rsidR="00263378">
        <w:rPr>
          <w:lang w:val="en-GB"/>
        </w:rPr>
        <w:t xml:space="preserve">Draft </w:t>
      </w:r>
      <w:r w:rsidR="00C53930" w:rsidRPr="007270F7">
        <w:rPr>
          <w:lang w:val="en-GB"/>
        </w:rPr>
        <w:t>NPF4 National Developments</w:t>
      </w:r>
    </w:p>
    <w:p w14:paraId="71FE24C9" w14:textId="77777777" w:rsidR="00C53930" w:rsidRPr="004F5C7A" w:rsidRDefault="00C53930" w:rsidP="00812527">
      <w:pPr>
        <w:keepNext/>
        <w:rPr>
          <w:lang w:val="en-GB"/>
        </w:rPr>
      </w:pPr>
      <w:r w:rsidRPr="00EB7AC6">
        <w:rPr>
          <w:noProof/>
          <w:lang w:val="en-GB"/>
        </w:rPr>
        <w:drawing>
          <wp:inline distT="0" distB="0" distL="0" distR="0" wp14:anchorId="5F69BBD7" wp14:editId="46EADAAE">
            <wp:extent cx="6175169" cy="6251065"/>
            <wp:effectExtent l="0" t="0" r="0" b="0"/>
            <wp:docPr id="1" name="Picture 1" descr="A map of Scotland showing the locations of each of the 18 national developments contained within the revised draft national planning framework 4. Each national development is categorised into three categories. Each category is followed by a national development and its location.&#10;&#10;Sustainable Places:&#10;1. Energy Innovation Development on the islands, covering Orkney, Shetland and Western Isles&#10;2. Pumped Hydro Storage, Scotland wide&#10;3. Strategic Renewable Electric Generation and Transmission Infrastructure, Scotland wide&#10;4. Circular economy materials management facilities,  Scotland wide&#10;5. Urban Sustainable Blue and Green Surface Water Management Solutions, Edinburgh and Glasgow&#10;6. Urban Mass/Rapid Transit Networks, Aberdeen, Edinburgh and Glasgow&#10;&#10;Liveable Places&#10;7. Central Scotland Green Network, Central Scotland&#10;8. National Walking, Cycling and Wheeling Network, Scotland wide&#10;9. Edinburgh Waterfront&#10;10. Dundee Waterfront&#10;11. Stranraer Gateway&#10;12. Digital fibre network, Scotland wide&#10;&#10;Productive Places&#10;13. Clyde Mission, Glasgow City Region&#10;14. Aberdeen Harbour&#10;15. Industrial Green Transition Zones, Grangemouth and North East Scotland&#10;16. Hunterston Strategic Asset, North Ayrshire &#10;17. Chapelcross Power Station Redevelopment, Dumfries and Galloway &#10;18. High Speed Rail, Glasgow and Edinburgh to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Scotland showing the locations of each of the 18 national developments contained within the revised draft national planning framework 4. Each national development is categorised into three categories. Each category is followed by a national development and its location.&#10;&#10;Sustainable Places:&#10;1. Energy Innovation Development on the islands, covering Orkney, Shetland and Western Isles&#10;2. Pumped Hydro Storage, Scotland wide&#10;3. Strategic Renewable Electric Generation and Transmission Infrastructure, Scotland wide&#10;4. Circular economy materials management facilities,  Scotland wide&#10;5. Urban Sustainable Blue and Green Surface Water Management Solutions, Edinburgh and Glasgow&#10;6. Urban Mass/Rapid Transit Networks, Aberdeen, Edinburgh and Glasgow&#10;&#10;Liveable Places&#10;7. Central Scotland Green Network, Central Scotland&#10;8. National Walking, Cycling and Wheeling Network, Scotland wide&#10;9. Edinburgh Waterfront&#10;10. Dundee Waterfront&#10;11. Stranraer Gateway&#10;12. Digital fibre network, Scotland wide&#10;&#10;Productive Places&#10;13. Clyde Mission, Glasgow City Region&#10;14. Aberdeen Harbour&#10;15. Industrial Green Transition Zones, Grangemouth and North East Scotland&#10;16. Hunterston Strategic Asset, North Ayrshire &#10;17. Chapelcross Power Station Redevelopment, Dumfries and Galloway &#10;18. High Speed Rail, Glasgow and Edinburgh to England. "/>
                    <pic:cNvPicPr/>
                  </pic:nvPicPr>
                  <pic:blipFill>
                    <a:blip r:embed="rId11">
                      <a:extLst>
                        <a:ext uri="{28A0092B-C50C-407E-A947-70E740481C1C}">
                          <a14:useLocalDpi xmlns:a14="http://schemas.microsoft.com/office/drawing/2010/main" val="0"/>
                        </a:ext>
                      </a:extLst>
                    </a:blip>
                    <a:stretch>
                      <a:fillRect/>
                    </a:stretch>
                  </pic:blipFill>
                  <pic:spPr>
                    <a:xfrm>
                      <a:off x="0" y="0"/>
                      <a:ext cx="6175169" cy="6251065"/>
                    </a:xfrm>
                    <a:prstGeom prst="rect">
                      <a:avLst/>
                    </a:prstGeom>
                  </pic:spPr>
                </pic:pic>
              </a:graphicData>
            </a:graphic>
          </wp:inline>
        </w:drawing>
      </w:r>
    </w:p>
    <w:p w14:paraId="3DD62EE0" w14:textId="438C7309" w:rsidR="00C53930" w:rsidRDefault="00C53930" w:rsidP="004E37EC">
      <w:pPr>
        <w:pStyle w:val="STPR2CaptionFigures"/>
      </w:pPr>
      <w:r w:rsidRPr="0041150C">
        <w:t>Figure B.</w:t>
      </w:r>
      <w:r w:rsidR="00F21144">
        <w:fldChar w:fldCharType="begin"/>
      </w:r>
      <w:r w:rsidR="00F21144">
        <w:instrText xml:space="preserve"> SEQ Figure \* ARABIC </w:instrText>
      </w:r>
      <w:r w:rsidR="00F21144">
        <w:fldChar w:fldCharType="separate"/>
      </w:r>
      <w:r w:rsidR="00766743">
        <w:rPr>
          <w:noProof/>
        </w:rPr>
        <w:t>1</w:t>
      </w:r>
      <w:r w:rsidR="00F21144">
        <w:fldChar w:fldCharType="end"/>
      </w:r>
      <w:r w:rsidRPr="0041150C">
        <w:t xml:space="preserve"> </w:t>
      </w:r>
      <w:r w:rsidR="00263378">
        <w:t>–</w:t>
      </w:r>
      <w:r w:rsidRPr="0041150C">
        <w:t xml:space="preserve"> </w:t>
      </w:r>
      <w:r w:rsidR="00956C8A">
        <w:t xml:space="preserve">Revised </w:t>
      </w:r>
      <w:r w:rsidR="00263378">
        <w:t xml:space="preserve">Draft </w:t>
      </w:r>
      <w:r w:rsidRPr="0041150C">
        <w:t>NPF4 National Developments Overview</w:t>
      </w:r>
    </w:p>
    <w:p w14:paraId="27E4063B" w14:textId="5CF334EB" w:rsidR="00956C8A" w:rsidRPr="00C66548" w:rsidRDefault="00DB07C5">
      <w:pPr>
        <w:rPr>
          <w:rFonts w:ascii="Arial" w:hAnsi="Arial" w:cs="Arial"/>
          <w:b/>
          <w:bCs/>
          <w:color w:val="44546A" w:themeColor="text2"/>
          <w:sz w:val="24"/>
          <w:szCs w:val="24"/>
          <w:lang w:val="en-GB"/>
        </w:rPr>
      </w:pPr>
      <w:r w:rsidRPr="00C66548">
        <w:rPr>
          <w:rFonts w:ascii="Arial" w:hAnsi="Arial" w:cs="Arial"/>
          <w:b/>
          <w:bCs/>
          <w:color w:val="44546A" w:themeColor="text2"/>
          <w:sz w:val="24"/>
          <w:szCs w:val="24"/>
          <w:lang w:val="en-GB"/>
        </w:rPr>
        <w:t xml:space="preserve">(Source: </w:t>
      </w:r>
      <w:r w:rsidR="00062ED4" w:rsidRPr="00C66548">
        <w:rPr>
          <w:rFonts w:ascii="Arial" w:hAnsi="Arial" w:cs="Arial"/>
          <w:b/>
          <w:bCs/>
          <w:color w:val="44546A" w:themeColor="text2"/>
          <w:sz w:val="24"/>
          <w:szCs w:val="24"/>
          <w:lang w:val="en-GB"/>
        </w:rPr>
        <w:t>National Planning Framework 4: Revised Draft, Scottish Government, November 2022, https://www.gov.scot/publications/national-planning-framework-4-revised-draft/)</w:t>
      </w:r>
    </w:p>
    <w:p w14:paraId="6F2AE0D3" w14:textId="1C266080" w:rsidR="00250358" w:rsidRPr="00EB7AC6" w:rsidRDefault="00250358" w:rsidP="005273E2">
      <w:pPr>
        <w:pStyle w:val="STPR2AppendicesHeading1"/>
      </w:pPr>
      <w:r w:rsidRPr="00EB7AC6">
        <w:lastRenderedPageBreak/>
        <w:t>SEA and Impact Assessment Objectives</w:t>
      </w:r>
    </w:p>
    <w:p w14:paraId="5AFFDF75" w14:textId="77777777" w:rsidR="00250358" w:rsidRPr="00ED5F07" w:rsidRDefault="00250358" w:rsidP="00116E61">
      <w:pPr>
        <w:pStyle w:val="Heading2"/>
      </w:pPr>
      <w:r w:rsidRPr="00ED5F07">
        <w:t xml:space="preserve">SEA </w:t>
      </w:r>
      <w:r w:rsidRPr="00116E61">
        <w:t>Topics</w:t>
      </w:r>
      <w:r w:rsidRPr="00ED5F07">
        <w:t xml:space="preserve"> and Objectives</w:t>
      </w:r>
    </w:p>
    <w:p w14:paraId="252C7F6C" w14:textId="77777777" w:rsidR="00250358" w:rsidRPr="00D35E06" w:rsidRDefault="00250358" w:rsidP="005273E2">
      <w:pPr>
        <w:pStyle w:val="STPR2BodyText"/>
      </w:pPr>
      <w:r w:rsidRPr="00D35E06">
        <w:t>Climatic Factors</w:t>
      </w:r>
    </w:p>
    <w:p w14:paraId="372105A3" w14:textId="25ADA750" w:rsidR="00250358" w:rsidRPr="00EB7AC6" w:rsidRDefault="00250358" w:rsidP="005273E2">
      <w:pPr>
        <w:pStyle w:val="STPR2BulletsLevel1"/>
      </w:pPr>
      <w:r w:rsidRPr="00EB7AC6">
        <w:t>Reduce emissions from Scotland’s transport sector by reducing the need to travel and encouraging modal shift and help meet Scotland’s wider targets to reduce greenhouse gas emissions</w:t>
      </w:r>
      <w:r w:rsidR="00DC77F6">
        <w:t>;</w:t>
      </w:r>
    </w:p>
    <w:p w14:paraId="08E208EC" w14:textId="278CDE70" w:rsidR="00250358" w:rsidRPr="00EB7AC6" w:rsidRDefault="00250358" w:rsidP="005273E2">
      <w:pPr>
        <w:pStyle w:val="STPR2BulletsLevel1"/>
      </w:pPr>
      <w:r w:rsidRPr="00EB7AC6">
        <w:t>Adapt the transport network to the predicted effects of climate change</w:t>
      </w:r>
      <w:r w:rsidR="006B4499" w:rsidRPr="00EB7AC6">
        <w:t>.</w:t>
      </w:r>
    </w:p>
    <w:p w14:paraId="627CFCE1" w14:textId="77777777" w:rsidR="00250358" w:rsidRPr="00EB7AC6" w:rsidRDefault="00250358" w:rsidP="005273E2">
      <w:pPr>
        <w:pStyle w:val="STPR2BodyText"/>
      </w:pPr>
      <w:r w:rsidRPr="00EB7AC6">
        <w:t>Air Quality</w:t>
      </w:r>
    </w:p>
    <w:p w14:paraId="6FFE37F3" w14:textId="5C8502CD" w:rsidR="00250358" w:rsidRPr="00EB7AC6" w:rsidRDefault="00250358" w:rsidP="005273E2">
      <w:pPr>
        <w:pStyle w:val="STPR2BulletsLevel1"/>
      </w:pPr>
      <w:r w:rsidRPr="00EB7AC6">
        <w:t>Reduce all forms of transport-related air pollution and improve air quality throughout</w:t>
      </w:r>
      <w:r w:rsidR="00451392">
        <w:t> </w:t>
      </w:r>
      <w:r w:rsidRPr="00EB7AC6">
        <w:t>Scotland</w:t>
      </w:r>
      <w:r w:rsidR="006B4499" w:rsidRPr="00EB7AC6">
        <w:t>.</w:t>
      </w:r>
    </w:p>
    <w:p w14:paraId="06B55AEB" w14:textId="640A89A9" w:rsidR="00250358" w:rsidRPr="00D35E06" w:rsidRDefault="00250358" w:rsidP="005273E2">
      <w:pPr>
        <w:pStyle w:val="STPR2BodyText"/>
      </w:pPr>
      <w:r w:rsidRPr="00D35E06">
        <w:t xml:space="preserve">Population </w:t>
      </w:r>
      <w:r w:rsidR="006B4499">
        <w:t>and</w:t>
      </w:r>
      <w:r w:rsidRPr="00D35E06">
        <w:t xml:space="preserve"> Human Health</w:t>
      </w:r>
    </w:p>
    <w:p w14:paraId="766DA3BD" w14:textId="11F8656F" w:rsidR="00250358" w:rsidRPr="00EB7AC6" w:rsidRDefault="00250358" w:rsidP="005273E2">
      <w:pPr>
        <w:pStyle w:val="STPR2BulletsLevel1"/>
      </w:pPr>
      <w:r w:rsidRPr="00EB7AC6">
        <w:t>Improve quality of life and human health and increase sustainable access to essential services, employment and the natural environment</w:t>
      </w:r>
      <w:r w:rsidR="00DC77F6">
        <w:t>;</w:t>
      </w:r>
    </w:p>
    <w:p w14:paraId="672F769B" w14:textId="0157FDBD" w:rsidR="00250358" w:rsidRPr="00EB7AC6" w:rsidRDefault="00250358" w:rsidP="005273E2">
      <w:pPr>
        <w:pStyle w:val="STPR2BulletsLevel1"/>
      </w:pPr>
      <w:r w:rsidRPr="00EB7AC6">
        <w:t>Reduce noise and vibration associated with the transport network</w:t>
      </w:r>
      <w:r w:rsidR="00DC77F6">
        <w:t>;</w:t>
      </w:r>
    </w:p>
    <w:p w14:paraId="22E5F658" w14:textId="27ADE7CB" w:rsidR="00250358" w:rsidRPr="00EB7AC6" w:rsidRDefault="00250358" w:rsidP="005273E2">
      <w:pPr>
        <w:pStyle w:val="STPR2BulletsLevel1"/>
      </w:pPr>
      <w:r w:rsidRPr="00EB7AC6">
        <w:t>Promote, invest in, build and maintain infrastructure to support the development of high-quality places</w:t>
      </w:r>
      <w:r w:rsidR="00DC77F6">
        <w:t>;</w:t>
      </w:r>
    </w:p>
    <w:p w14:paraId="6B28663B" w14:textId="4FCFA6F6" w:rsidR="00250358" w:rsidRPr="00EB7AC6" w:rsidRDefault="00250358" w:rsidP="005273E2">
      <w:pPr>
        <w:pStyle w:val="STPR2BulletsLevel1"/>
      </w:pPr>
      <w:r w:rsidRPr="00EB7AC6">
        <w:t>Improve safety on the transport network</w:t>
      </w:r>
      <w:r w:rsidR="00EA4E0A" w:rsidRPr="00EB7AC6">
        <w:t>.</w:t>
      </w:r>
    </w:p>
    <w:p w14:paraId="07E6E497" w14:textId="77777777" w:rsidR="00250358" w:rsidRPr="00EB7AC6" w:rsidRDefault="00250358" w:rsidP="005273E2">
      <w:pPr>
        <w:pStyle w:val="STPR2BodyText"/>
      </w:pPr>
      <w:r w:rsidRPr="00EB7AC6">
        <w:t>Material Assets</w:t>
      </w:r>
    </w:p>
    <w:p w14:paraId="3FDC31C6" w14:textId="55A23010" w:rsidR="00250358" w:rsidRPr="00EB7AC6" w:rsidRDefault="00250358" w:rsidP="005273E2">
      <w:pPr>
        <w:pStyle w:val="STPR2BulletsLevel1"/>
      </w:pPr>
      <w:r w:rsidRPr="00EB7AC6">
        <w:t>Promote and improve the sustainable use of the transport network</w:t>
      </w:r>
      <w:r w:rsidR="00DC77F6">
        <w:t>;</w:t>
      </w:r>
    </w:p>
    <w:p w14:paraId="7D6E4641" w14:textId="3E3F4839" w:rsidR="00250358" w:rsidRPr="00EB7AC6" w:rsidRDefault="00250358" w:rsidP="005273E2">
      <w:pPr>
        <w:pStyle w:val="STPR2BulletsLevel1"/>
      </w:pPr>
      <w:r w:rsidRPr="00EB7AC6">
        <w:t>Reduce use of natural resources</w:t>
      </w:r>
      <w:r w:rsidR="00F62140" w:rsidRPr="00EB7AC6">
        <w:t>.</w:t>
      </w:r>
    </w:p>
    <w:p w14:paraId="0A8A16D7" w14:textId="77777777" w:rsidR="00250358" w:rsidRPr="00EB7AC6" w:rsidRDefault="00250358" w:rsidP="005273E2">
      <w:pPr>
        <w:pStyle w:val="STPR2BodyText"/>
      </w:pPr>
      <w:r w:rsidRPr="00EB7AC6">
        <w:t>Water Environment</w:t>
      </w:r>
    </w:p>
    <w:p w14:paraId="6E9AE6E2" w14:textId="77777777" w:rsidR="00250358" w:rsidRPr="00EB7AC6" w:rsidRDefault="00250358" w:rsidP="005273E2">
      <w:pPr>
        <w:pStyle w:val="STPR2BulletsLevel1"/>
      </w:pPr>
      <w:r w:rsidRPr="00EB7AC6">
        <w:t>Protect, maintain and improve the quality of water bodies and wetlands that could be directly or indirectly affected by transport infrastructure (with respect to Water Framework Directive targets) and protect against the risk of flooding.</w:t>
      </w:r>
    </w:p>
    <w:p w14:paraId="47984F75" w14:textId="77777777" w:rsidR="00250358" w:rsidRPr="00EB7AC6" w:rsidRDefault="00250358" w:rsidP="005273E2">
      <w:pPr>
        <w:pStyle w:val="STPR2BodyText"/>
      </w:pPr>
      <w:r w:rsidRPr="005273E2">
        <w:t>Biodiversity</w:t>
      </w:r>
    </w:p>
    <w:p w14:paraId="392D0FF3" w14:textId="14CC4CAA" w:rsidR="00250358" w:rsidRPr="00EB7AC6" w:rsidRDefault="00250358" w:rsidP="005273E2">
      <w:pPr>
        <w:pStyle w:val="STPR2BulletsLevel1"/>
      </w:pPr>
      <w:r w:rsidRPr="00EB7AC6">
        <w:t>Protect, maintain and enhance biodiversity and ecosystem services, avoiding damage to</w:t>
      </w:r>
      <w:r w:rsidR="00912896" w:rsidRPr="00EB7AC6">
        <w:t>,</w:t>
      </w:r>
      <w:r w:rsidRPr="00EB7AC6">
        <w:t xml:space="preserve"> or loss of</w:t>
      </w:r>
      <w:r w:rsidR="00912896" w:rsidRPr="00EB7AC6">
        <w:t>,</w:t>
      </w:r>
      <w:r w:rsidRPr="00EB7AC6">
        <w:t xml:space="preserve"> designated and undesignated wildlife or geological sites.</w:t>
      </w:r>
    </w:p>
    <w:p w14:paraId="10C9ABF5" w14:textId="77777777" w:rsidR="00250358" w:rsidRPr="00EB7AC6" w:rsidRDefault="00250358" w:rsidP="005273E2">
      <w:pPr>
        <w:pStyle w:val="STPR2BodyText"/>
      </w:pPr>
      <w:r w:rsidRPr="00EB7AC6">
        <w:t>Soil</w:t>
      </w:r>
    </w:p>
    <w:p w14:paraId="64D28648" w14:textId="034FFFA6" w:rsidR="00250358" w:rsidRPr="00EB7AC6" w:rsidRDefault="00250358" w:rsidP="005273E2">
      <w:pPr>
        <w:pStyle w:val="STPR2BulletsLevel1"/>
      </w:pPr>
      <w:r w:rsidRPr="00EB7AC6">
        <w:t>Safeguard and improve soil quality in Scotland, particularly high</w:t>
      </w:r>
      <w:r w:rsidR="007D2887" w:rsidRPr="00EB7AC6">
        <w:t>-</w:t>
      </w:r>
      <w:r w:rsidRPr="00EB7AC6">
        <w:t>value agricultural land and carbon-rich soil</w:t>
      </w:r>
      <w:r w:rsidR="00912896" w:rsidRPr="00EB7AC6">
        <w:t>.</w:t>
      </w:r>
    </w:p>
    <w:p w14:paraId="7B767296" w14:textId="77331D75" w:rsidR="00250358" w:rsidRPr="00EB7AC6" w:rsidRDefault="00250358" w:rsidP="005273E2">
      <w:pPr>
        <w:pStyle w:val="STPR2BodyText"/>
      </w:pPr>
      <w:r w:rsidRPr="00EB7AC6">
        <w:t>Cultural Heritage</w:t>
      </w:r>
    </w:p>
    <w:p w14:paraId="0A16DD0E" w14:textId="77777777" w:rsidR="00250358" w:rsidRPr="00EB7AC6" w:rsidRDefault="00250358" w:rsidP="005273E2">
      <w:pPr>
        <w:pStyle w:val="STPR2BulletsLevel1"/>
      </w:pPr>
      <w:r w:rsidRPr="00EB7AC6">
        <w:t>Protect and enhance (where appropriate) historic and archaeological sites and other culturally and historically important features, landscapes and their settings.</w:t>
      </w:r>
    </w:p>
    <w:p w14:paraId="2A2B1F9B" w14:textId="2F0F4252" w:rsidR="00250358" w:rsidRPr="00EB7AC6" w:rsidRDefault="00250358" w:rsidP="00116E61">
      <w:pPr>
        <w:pStyle w:val="STPR2BodyText"/>
        <w:keepNext/>
        <w:keepLines/>
      </w:pPr>
      <w:r w:rsidRPr="00EB7AC6">
        <w:lastRenderedPageBreak/>
        <w:t xml:space="preserve">Landscape </w:t>
      </w:r>
      <w:r w:rsidR="00630C27" w:rsidRPr="00EB7AC6">
        <w:t>and</w:t>
      </w:r>
      <w:r w:rsidRPr="00EB7AC6">
        <w:t xml:space="preserve"> Visual Amenity</w:t>
      </w:r>
    </w:p>
    <w:p w14:paraId="5FDF3849" w14:textId="2744286D" w:rsidR="00250358" w:rsidRPr="00EB7AC6" w:rsidRDefault="00250358" w:rsidP="00451392">
      <w:pPr>
        <w:pStyle w:val="STPR2BulletsLevel1"/>
      </w:pPr>
      <w:r w:rsidRPr="00EB7AC6">
        <w:t xml:space="preserve">Safeguard </w:t>
      </w:r>
      <w:r w:rsidRPr="00451392">
        <w:t>and</w:t>
      </w:r>
      <w:r w:rsidRPr="00EB7AC6">
        <w:t xml:space="preserve"> enhance the character and diversity of the Scottish landscape and areas of valuable landscape.</w:t>
      </w:r>
    </w:p>
    <w:p w14:paraId="117F2296" w14:textId="28073AFD" w:rsidR="00E3646A" w:rsidRPr="00E3646A" w:rsidRDefault="007F273C" w:rsidP="00116E61">
      <w:pPr>
        <w:pStyle w:val="Heading2"/>
      </w:pPr>
      <w:r w:rsidRPr="007F273C">
        <w:t xml:space="preserve">Social and </w:t>
      </w:r>
      <w:r w:rsidRPr="00116E61">
        <w:t>Equalities</w:t>
      </w:r>
      <w:r w:rsidRPr="007F273C">
        <w:t xml:space="preserve"> Impact Assessments Topic</w:t>
      </w:r>
      <w:r w:rsidR="003D5272">
        <w:t>s</w:t>
      </w:r>
      <w:r w:rsidRPr="007F273C">
        <w:t xml:space="preserve"> and Objectives</w:t>
      </w:r>
    </w:p>
    <w:p w14:paraId="555E94B4" w14:textId="77777777" w:rsidR="00250358" w:rsidRPr="00ED5F07" w:rsidRDefault="00250358" w:rsidP="00812527">
      <w:pPr>
        <w:pStyle w:val="STPR2BodyText"/>
      </w:pPr>
      <w:r w:rsidRPr="00ED5F07">
        <w:t>Population</w:t>
      </w:r>
    </w:p>
    <w:p w14:paraId="287BB0C8" w14:textId="6163E76D" w:rsidR="00250358" w:rsidRPr="00ED5F07" w:rsidRDefault="00250358" w:rsidP="00451392">
      <w:pPr>
        <w:pStyle w:val="STPR2BulletsLevel1"/>
      </w:pPr>
      <w:r w:rsidRPr="00ED5F07">
        <w:t>Promote greater equality of opportunity for all of Scotland’s residents to promote a fairer, more inclusive society.</w:t>
      </w:r>
    </w:p>
    <w:p w14:paraId="2C39B802" w14:textId="77777777" w:rsidR="00250358" w:rsidRPr="00ED5F07" w:rsidRDefault="00250358" w:rsidP="00812527">
      <w:pPr>
        <w:pStyle w:val="STPR2BodyText"/>
      </w:pPr>
      <w:r w:rsidRPr="00ED5F07">
        <w:t>Deprivation</w:t>
      </w:r>
    </w:p>
    <w:p w14:paraId="3D54E5EA" w14:textId="77777777" w:rsidR="00250358" w:rsidRPr="00ED5F07" w:rsidRDefault="00250358" w:rsidP="00451392">
      <w:pPr>
        <w:pStyle w:val="STPR2BulletsLevel1"/>
      </w:pPr>
      <w:r w:rsidRPr="00ED5F07">
        <w:t>Deliver an accessible and affordable transport system that reduces inequalities of outcome resulting from multiple deprivation and supports the regeneration of disadvantaged or deprived areas.</w:t>
      </w:r>
    </w:p>
    <w:p w14:paraId="7D051CE4" w14:textId="77777777" w:rsidR="00250358" w:rsidRPr="00ED5F07" w:rsidRDefault="00250358" w:rsidP="00812527">
      <w:pPr>
        <w:pStyle w:val="STPR2BodyText"/>
      </w:pPr>
      <w:r w:rsidRPr="00ED5F07">
        <w:t>Employment</w:t>
      </w:r>
    </w:p>
    <w:p w14:paraId="483263B1" w14:textId="77777777" w:rsidR="00250358" w:rsidRPr="00ED5F07" w:rsidRDefault="00250358" w:rsidP="00451392">
      <w:pPr>
        <w:pStyle w:val="STPR2BulletsLevel1"/>
      </w:pPr>
      <w:r w:rsidRPr="00ED5F07">
        <w:t>Deliver an effective and integrated transport system that improves access to employment and economic opportunities for all.</w:t>
      </w:r>
    </w:p>
    <w:p w14:paraId="502769B9" w14:textId="77701469" w:rsidR="00250358" w:rsidRPr="00ED5F07" w:rsidRDefault="00250358" w:rsidP="00812527">
      <w:pPr>
        <w:pStyle w:val="STPR2BodyText"/>
      </w:pPr>
      <w:r w:rsidRPr="00ED5F07">
        <w:t xml:space="preserve">Income </w:t>
      </w:r>
      <w:r w:rsidR="00AE7AFA">
        <w:t>and</w:t>
      </w:r>
      <w:r w:rsidRPr="00ED5F07">
        <w:t xml:space="preserve"> Wealth</w:t>
      </w:r>
    </w:p>
    <w:p w14:paraId="130FB1AE" w14:textId="2A78452E" w:rsidR="00250358" w:rsidRPr="00ED5F07" w:rsidRDefault="00250358" w:rsidP="00451392">
      <w:pPr>
        <w:pStyle w:val="STPR2BulletsLevel1"/>
      </w:pPr>
      <w:r w:rsidRPr="00ED5F07">
        <w:t xml:space="preserve">Deliver an effective and integrated transport system </w:t>
      </w:r>
      <w:r w:rsidR="009C0FB6">
        <w:t>that</w:t>
      </w:r>
      <w:r w:rsidRPr="00ED5F07">
        <w:t xml:space="preserve"> promotes economic opportunity for all.</w:t>
      </w:r>
    </w:p>
    <w:p w14:paraId="5C202106" w14:textId="6302CAFA" w:rsidR="00250358" w:rsidRPr="00ED5F07" w:rsidRDefault="00250358" w:rsidP="00812527">
      <w:pPr>
        <w:pStyle w:val="STPR2BodyText"/>
      </w:pPr>
      <w:r w:rsidRPr="00ED5F07">
        <w:t xml:space="preserve">Education </w:t>
      </w:r>
      <w:r w:rsidR="009C0FB6">
        <w:t>and</w:t>
      </w:r>
      <w:r w:rsidRPr="00ED5F07">
        <w:t xml:space="preserve"> Skills</w:t>
      </w:r>
    </w:p>
    <w:p w14:paraId="579FC197" w14:textId="77777777" w:rsidR="00250358" w:rsidRPr="00ED5F07" w:rsidRDefault="00250358" w:rsidP="00451392">
      <w:pPr>
        <w:pStyle w:val="STPR2BulletsLevel1"/>
      </w:pPr>
      <w:r w:rsidRPr="00ED5F07">
        <w:t>Enhance access to education and training opportunities across Scotland to reduce socio-economic and geographic disparities in educational attainment.</w:t>
      </w:r>
    </w:p>
    <w:p w14:paraId="26D2929A" w14:textId="7D31CDC8" w:rsidR="00250358" w:rsidRPr="00ED5F07" w:rsidRDefault="00250358" w:rsidP="00812527">
      <w:pPr>
        <w:pStyle w:val="STPR2BodyText"/>
      </w:pPr>
      <w:r w:rsidRPr="00ED5F07">
        <w:t xml:space="preserve">Health </w:t>
      </w:r>
      <w:r w:rsidR="009C0FB6">
        <w:t>and</w:t>
      </w:r>
      <w:r w:rsidRPr="00ED5F07">
        <w:t xml:space="preserve"> Health Inequality</w:t>
      </w:r>
    </w:p>
    <w:p w14:paraId="774EE221" w14:textId="7AB0603F" w:rsidR="00250358" w:rsidRPr="00ED5F07" w:rsidRDefault="00250358" w:rsidP="00451392">
      <w:pPr>
        <w:pStyle w:val="STPR2BulletsLevel1"/>
      </w:pPr>
      <w:r w:rsidRPr="00ED5F07">
        <w:t>Maintain, or provide opportunities to improve, human health for all demographic groups and communities across Scotland and minimi</w:t>
      </w:r>
      <w:r w:rsidR="00703FD1">
        <w:t>s</w:t>
      </w:r>
      <w:r w:rsidRPr="00ED5F07">
        <w:t>e health inequalities</w:t>
      </w:r>
      <w:r w:rsidR="00EE6CA6">
        <w:t>.</w:t>
      </w:r>
    </w:p>
    <w:p w14:paraId="2845F111" w14:textId="5B6954FC" w:rsidR="00250358" w:rsidRPr="00ED5F07" w:rsidRDefault="00250358" w:rsidP="00812527">
      <w:pPr>
        <w:pStyle w:val="STPR2BodyText"/>
      </w:pPr>
      <w:r w:rsidRPr="00ED5F07">
        <w:t xml:space="preserve">Transport Accessibility </w:t>
      </w:r>
      <w:r w:rsidR="00703FD1">
        <w:t>and</w:t>
      </w:r>
      <w:r w:rsidRPr="00ED5F07">
        <w:t xml:space="preserve"> Connectivity</w:t>
      </w:r>
    </w:p>
    <w:p w14:paraId="1E3DF45E" w14:textId="3DAF3D54" w:rsidR="00250358" w:rsidRPr="00ED5F07" w:rsidRDefault="00250358" w:rsidP="00451392">
      <w:pPr>
        <w:pStyle w:val="STPR2BulletsLevel1"/>
      </w:pPr>
      <w:r w:rsidRPr="00ED5F07">
        <w:t>Ensure the provision of adequate and affordable transport infrastructure, services and facilities to meet identified population and economic needs and minimise barriers to travel for all people, in particular those facing socio-economic</w:t>
      </w:r>
      <w:r w:rsidR="00116E61">
        <w:t> </w:t>
      </w:r>
      <w:r w:rsidRPr="00ED5F07">
        <w:t>disadvantage.</w:t>
      </w:r>
    </w:p>
    <w:p w14:paraId="49D46FCC" w14:textId="72EE2A60" w:rsidR="00250358" w:rsidRPr="00ED5F07" w:rsidRDefault="00250358" w:rsidP="00812527">
      <w:pPr>
        <w:pStyle w:val="STPR2BodyText"/>
      </w:pPr>
      <w:r w:rsidRPr="00ED5F07">
        <w:t xml:space="preserve">Safety </w:t>
      </w:r>
      <w:r w:rsidR="00C04F15">
        <w:t>and</w:t>
      </w:r>
      <w:r w:rsidRPr="00ED5F07">
        <w:t xml:space="preserve"> Security</w:t>
      </w:r>
    </w:p>
    <w:p w14:paraId="75D1C10B" w14:textId="77777777" w:rsidR="00250358" w:rsidRPr="00ED5F07" w:rsidRDefault="00250358" w:rsidP="00451392">
      <w:pPr>
        <w:pStyle w:val="STPR2BulletsLevel1"/>
      </w:pPr>
      <w:r w:rsidRPr="00ED5F07">
        <w:t>Improve the safety, security and health of people by reducing the risk of death, injury or illness arising from transport, and by promoting travel modes that are beneficial to health.</w:t>
      </w:r>
    </w:p>
    <w:p w14:paraId="19109B01" w14:textId="77777777" w:rsidR="00EE6CA6" w:rsidRDefault="00EE6CA6">
      <w:pPr>
        <w:rPr>
          <w:rFonts w:ascii="Arial" w:eastAsiaTheme="minorEastAsia" w:hAnsi="Arial" w:cs="Arial"/>
          <w:color w:val="000000"/>
          <w:sz w:val="24"/>
          <w:lang w:val="en-GB"/>
        </w:rPr>
      </w:pPr>
      <w:r w:rsidRPr="00F211B6">
        <w:rPr>
          <w:rFonts w:ascii="Arial" w:hAnsi="Arial"/>
          <w:lang w:val="en-GB"/>
        </w:rPr>
        <w:br w:type="page"/>
      </w:r>
    </w:p>
    <w:p w14:paraId="0AE7BE55" w14:textId="35DC951E" w:rsidR="00250358" w:rsidRPr="00ED5F07" w:rsidRDefault="00250358" w:rsidP="00812527">
      <w:pPr>
        <w:pStyle w:val="STPR2BodyText"/>
      </w:pPr>
      <w:r w:rsidRPr="00ED5F07">
        <w:lastRenderedPageBreak/>
        <w:t xml:space="preserve">Children </w:t>
      </w:r>
      <w:r w:rsidR="00EE6CA6">
        <w:t>and</w:t>
      </w:r>
      <w:r w:rsidRPr="00ED5F07">
        <w:t xml:space="preserve"> Young People</w:t>
      </w:r>
    </w:p>
    <w:p w14:paraId="777D75C1" w14:textId="7088C39B" w:rsidR="00250358" w:rsidRPr="00ED5F07" w:rsidRDefault="00250358" w:rsidP="00451392">
      <w:pPr>
        <w:pStyle w:val="STPR2BulletsLevel1"/>
      </w:pPr>
      <w:r w:rsidRPr="00ED5F07">
        <w:t>Safeguard the rights of children and allow young people to reach their full potential</w:t>
      </w:r>
      <w:r w:rsidR="00EE6CA6">
        <w:t>.</w:t>
      </w:r>
    </w:p>
    <w:p w14:paraId="231B53C4" w14:textId="77777777" w:rsidR="00250358" w:rsidRPr="00ED5F07" w:rsidRDefault="00250358" w:rsidP="00812527">
      <w:pPr>
        <w:pStyle w:val="STPR2BodyText"/>
      </w:pPr>
      <w:r w:rsidRPr="00ED5F07">
        <w:t>Island Communities</w:t>
      </w:r>
    </w:p>
    <w:p w14:paraId="0C603E46" w14:textId="18BDE521" w:rsidR="00250358" w:rsidRPr="00116E61" w:rsidRDefault="00250358" w:rsidP="00451392">
      <w:pPr>
        <w:pStyle w:val="STPR2BulletsLevel1"/>
      </w:pPr>
      <w:r w:rsidRPr="00ED5F07">
        <w:t>Increase the economic prosperity of</w:t>
      </w:r>
      <w:r w:rsidR="00920EA0">
        <w:t>,</w:t>
      </w:r>
      <w:r w:rsidRPr="00ED5F07">
        <w:t xml:space="preserve"> and address the unique challenges faced by</w:t>
      </w:r>
      <w:r w:rsidR="00920EA0">
        <w:t>,</w:t>
      </w:r>
      <w:r w:rsidRPr="00ED5F07">
        <w:t xml:space="preserve"> Scotland’s island communities.</w:t>
      </w:r>
    </w:p>
    <w:p w14:paraId="1930AC06" w14:textId="3ADF8D89" w:rsidR="00250358" w:rsidRPr="006F38D3" w:rsidRDefault="00250358" w:rsidP="005273E2">
      <w:pPr>
        <w:pStyle w:val="STPR2AppendicesHeading1"/>
        <w:rPr>
          <w:lang w:val="en-GB"/>
        </w:rPr>
      </w:pPr>
      <w:r w:rsidRPr="006F38D3">
        <w:rPr>
          <w:lang w:val="en-GB"/>
        </w:rPr>
        <w:lastRenderedPageBreak/>
        <w:t xml:space="preserve">Engagement </w:t>
      </w:r>
      <w:r w:rsidR="007A7A4E">
        <w:rPr>
          <w:lang w:val="en-GB"/>
        </w:rPr>
        <w:t xml:space="preserve">and Consultation </w:t>
      </w:r>
      <w:r w:rsidRPr="006F38D3">
        <w:rPr>
          <w:lang w:val="en-GB"/>
        </w:rPr>
        <w:t>Details</w:t>
      </w:r>
    </w:p>
    <w:p w14:paraId="7EE5955B" w14:textId="77777777" w:rsidR="00250358" w:rsidRPr="00C869BC" w:rsidRDefault="00250358" w:rsidP="00116E61">
      <w:pPr>
        <w:pStyle w:val="STPR2BodyText"/>
      </w:pPr>
      <w:r w:rsidRPr="00260844">
        <w:t xml:space="preserve">The </w:t>
      </w:r>
      <w:r w:rsidRPr="00C869BC">
        <w:t>key elements of the engagement process can be summarised as follows:</w:t>
      </w:r>
    </w:p>
    <w:p w14:paraId="489FAD2F" w14:textId="0D2E7147" w:rsidR="00250358" w:rsidRPr="00116E61" w:rsidRDefault="00250358" w:rsidP="00116E61">
      <w:pPr>
        <w:pStyle w:val="STPR2BulletsLevel1"/>
      </w:pPr>
      <w:r w:rsidRPr="00116E61">
        <w:t>Some 600 individual stakeholders engaged in 22 regional problems and opportunities workshops in the Summer of 2019, representing almost 300 organisations</w:t>
      </w:r>
      <w:r w:rsidR="009E38F7" w:rsidRPr="00116E61">
        <w:t>;</w:t>
      </w:r>
    </w:p>
    <w:p w14:paraId="30C3B7EC" w14:textId="49BC7BCC" w:rsidR="00250358" w:rsidRPr="00116E61" w:rsidRDefault="00250358" w:rsidP="00116E61">
      <w:pPr>
        <w:pStyle w:val="STPR2BulletsLevel1"/>
      </w:pPr>
      <w:r w:rsidRPr="00116E61">
        <w:t>Over 150 Regional Structured Interviews</w:t>
      </w:r>
      <w:r w:rsidR="009E38F7" w:rsidRPr="00116E61">
        <w:t>;</w:t>
      </w:r>
    </w:p>
    <w:p w14:paraId="5F739606" w14:textId="1BEC3441" w:rsidR="00250358" w:rsidRPr="00116E61" w:rsidRDefault="00250358" w:rsidP="00116E61">
      <w:pPr>
        <w:pStyle w:val="STPR2BulletsLevel1"/>
      </w:pPr>
      <w:r w:rsidRPr="00116E61">
        <w:t xml:space="preserve">20 Regional </w:t>
      </w:r>
      <w:r w:rsidR="00933E25" w:rsidRPr="00116E61">
        <w:t>Option Genera</w:t>
      </w:r>
      <w:r w:rsidRPr="00116E61">
        <w:t>tion workshops in October/November 2019</w:t>
      </w:r>
      <w:r w:rsidR="009E38F7" w:rsidRPr="00116E61">
        <w:t>;</w:t>
      </w:r>
    </w:p>
    <w:p w14:paraId="704F5458" w14:textId="6212824F" w:rsidR="00250358" w:rsidRPr="00116E61" w:rsidRDefault="00250358" w:rsidP="00116E61">
      <w:pPr>
        <w:pStyle w:val="STPR2BulletsLevel1"/>
      </w:pPr>
      <w:r w:rsidRPr="00116E61">
        <w:t>10 national workshops in August/September 2019</w:t>
      </w:r>
      <w:r w:rsidR="009E38F7" w:rsidRPr="00116E61">
        <w:t>;</w:t>
      </w:r>
    </w:p>
    <w:p w14:paraId="2E63B0F3" w14:textId="61AA789D" w:rsidR="00250358" w:rsidRPr="00116E61" w:rsidRDefault="00343E6B" w:rsidP="00116E61">
      <w:pPr>
        <w:pStyle w:val="STPR2BulletsLevel1"/>
      </w:pPr>
      <w:r w:rsidRPr="00116E61">
        <w:t>Three</w:t>
      </w:r>
      <w:r w:rsidR="00250358" w:rsidRPr="00116E61">
        <w:t xml:space="preserve"> Business focussed engagement events in October </w:t>
      </w:r>
      <w:proofErr w:type="gramStart"/>
      <w:r w:rsidR="00250358" w:rsidRPr="00116E61">
        <w:t>2019</w:t>
      </w:r>
      <w:r w:rsidR="009E38F7" w:rsidRPr="00116E61">
        <w:t>;</w:t>
      </w:r>
      <w:proofErr w:type="gramEnd"/>
    </w:p>
    <w:p w14:paraId="41883338" w14:textId="1C1531FB" w:rsidR="00250358" w:rsidRPr="00116E61" w:rsidRDefault="00250358" w:rsidP="00116E61">
      <w:pPr>
        <w:pStyle w:val="STPR2BulletsLevel1"/>
      </w:pPr>
      <w:r w:rsidRPr="00116E61">
        <w:t xml:space="preserve">Over 3,000 responses to national survey between </w:t>
      </w:r>
      <w:r w:rsidR="002C6A08" w:rsidRPr="00116E61">
        <w:t>0</w:t>
      </w:r>
      <w:r w:rsidRPr="00116E61">
        <w:t>2 December 2019 and 10</w:t>
      </w:r>
      <w:r w:rsidR="00116E61">
        <w:t> </w:t>
      </w:r>
      <w:r w:rsidRPr="00116E61">
        <w:t>January</w:t>
      </w:r>
      <w:r w:rsidR="00116E61">
        <w:t> </w:t>
      </w:r>
      <w:r w:rsidRPr="00116E61">
        <w:t>2020</w:t>
      </w:r>
      <w:r w:rsidR="009E38F7" w:rsidRPr="00116E61">
        <w:t>;</w:t>
      </w:r>
    </w:p>
    <w:p w14:paraId="2121B620" w14:textId="73BB8581" w:rsidR="00250358" w:rsidRPr="00116E61" w:rsidRDefault="00250358" w:rsidP="00116E61">
      <w:pPr>
        <w:pStyle w:val="STPR2BulletsLevel1"/>
      </w:pPr>
      <w:r w:rsidRPr="00116E61">
        <w:t>655 pupils involved in 30 engagement sessions with schools across Scotland</w:t>
      </w:r>
      <w:r w:rsidR="009E38F7" w:rsidRPr="00116E61">
        <w:t>;</w:t>
      </w:r>
    </w:p>
    <w:p w14:paraId="2554A7BE" w14:textId="7BFD937B" w:rsidR="00250358" w:rsidRPr="00116E61" w:rsidRDefault="00250358" w:rsidP="00116E61">
      <w:pPr>
        <w:pStyle w:val="STPR2BulletsLevel1"/>
      </w:pPr>
      <w:r w:rsidRPr="00116E61">
        <w:t>Over 100 responses from the Case for Change Consultation, 50 Organisations and 50+ individuals</w:t>
      </w:r>
      <w:r w:rsidR="009E38F7" w:rsidRPr="00116E61">
        <w:t>;</w:t>
      </w:r>
    </w:p>
    <w:p w14:paraId="3BB3EDC1" w14:textId="7BEFE356" w:rsidR="00250358" w:rsidRPr="00116E61" w:rsidRDefault="00934736" w:rsidP="00116E61">
      <w:pPr>
        <w:pStyle w:val="STPR2BulletsLevel1"/>
      </w:pPr>
      <w:r w:rsidRPr="00116E61">
        <w:t>Seven</w:t>
      </w:r>
      <w:r w:rsidR="008A7E12" w:rsidRPr="00116E61">
        <w:t xml:space="preserve"> rounds of</w:t>
      </w:r>
      <w:r w:rsidR="00250358" w:rsidRPr="00116E61">
        <w:t xml:space="preserve"> Regional Working Group</w:t>
      </w:r>
      <w:r w:rsidR="002F2F10" w:rsidRPr="00116E61">
        <w:t xml:space="preserve"> meeting</w:t>
      </w:r>
      <w:r w:rsidR="00250358" w:rsidRPr="00116E61">
        <w:t xml:space="preserve">s which were a mix of face to face and online between 2019 </w:t>
      </w:r>
      <w:r w:rsidR="009D42EF" w:rsidRPr="00116E61">
        <w:t>–</w:t>
      </w:r>
      <w:r w:rsidR="00250358" w:rsidRPr="00116E61">
        <w:t xml:space="preserve"> 2021</w:t>
      </w:r>
      <w:r w:rsidR="009E38F7" w:rsidRPr="00116E61">
        <w:t xml:space="preserve">; </w:t>
      </w:r>
    </w:p>
    <w:p w14:paraId="00B4D4C4" w14:textId="3CF15BA5" w:rsidR="00250358" w:rsidRPr="00116E61" w:rsidRDefault="00343E6B" w:rsidP="00116E61">
      <w:pPr>
        <w:pStyle w:val="STPR2BulletsLevel1"/>
      </w:pPr>
      <w:r w:rsidRPr="00116E61">
        <w:t>One</w:t>
      </w:r>
      <w:r w:rsidR="00250358" w:rsidRPr="00116E61">
        <w:t xml:space="preserve"> Virtual STPR2 Information session for MSPs in February 2021</w:t>
      </w:r>
      <w:r w:rsidR="009E38F7" w:rsidRPr="00116E61">
        <w:t>;</w:t>
      </w:r>
    </w:p>
    <w:p w14:paraId="345319E7" w14:textId="12559718" w:rsidR="00250358" w:rsidRPr="00116E61" w:rsidRDefault="00343E6B" w:rsidP="00116E61">
      <w:pPr>
        <w:pStyle w:val="STPR2BulletsLevel1"/>
      </w:pPr>
      <w:r w:rsidRPr="00116E61">
        <w:t>One</w:t>
      </w:r>
      <w:r w:rsidR="00250358" w:rsidRPr="00116E61">
        <w:t xml:space="preserve"> Virtual Business focused Information session in March 2021</w:t>
      </w:r>
      <w:r w:rsidR="009E38F7" w:rsidRPr="00116E61">
        <w:t>;</w:t>
      </w:r>
    </w:p>
    <w:p w14:paraId="73157D52" w14:textId="78923880" w:rsidR="00250358" w:rsidRPr="00116E61" w:rsidRDefault="004D3A9C" w:rsidP="00116E61">
      <w:pPr>
        <w:pStyle w:val="STPR2BulletsLevel1"/>
      </w:pPr>
      <w:r w:rsidRPr="00116E61">
        <w:t>Five Statutory Impact Assessment</w:t>
      </w:r>
      <w:r w:rsidR="00250358" w:rsidRPr="00116E61">
        <w:t xml:space="preserve"> workshops in March 2021</w:t>
      </w:r>
      <w:r w:rsidR="009E38F7" w:rsidRPr="00116E61">
        <w:t>;</w:t>
      </w:r>
    </w:p>
    <w:p w14:paraId="1A75A64B" w14:textId="77777777" w:rsidR="00250358" w:rsidRPr="006F38D3" w:rsidRDefault="00250358" w:rsidP="00116E61">
      <w:pPr>
        <w:pStyle w:val="STPR2BulletsLevel1"/>
      </w:pPr>
      <w:r w:rsidRPr="00116E61">
        <w:t>Comments forms published in February 2021 to capture feedback: 394 responses to Phase</w:t>
      </w:r>
      <w:r w:rsidRPr="007E3766">
        <w:t xml:space="preserve"> 1 and the National Case for Change chapter</w:t>
      </w:r>
      <w:r>
        <w:t>.</w:t>
      </w:r>
    </w:p>
    <w:p w14:paraId="5C15833B" w14:textId="18F98FA6" w:rsidR="00224F98" w:rsidRPr="00934736" w:rsidRDefault="007709E5" w:rsidP="00116E61">
      <w:pPr>
        <w:pStyle w:val="STPR2BodyText"/>
      </w:pPr>
      <w:r w:rsidRPr="00934736">
        <w:t xml:space="preserve">During the 12-week consultation period </w:t>
      </w:r>
      <w:r w:rsidR="007415F5" w:rsidRPr="00934736">
        <w:t>(</w:t>
      </w:r>
      <w:r w:rsidR="00267BB2" w:rsidRPr="00934736">
        <w:t>20 January 2022</w:t>
      </w:r>
      <w:r w:rsidR="00C11547" w:rsidRPr="00934736">
        <w:t xml:space="preserve"> to 15 April 2022</w:t>
      </w:r>
      <w:r w:rsidR="00267BB2" w:rsidRPr="00934736">
        <w:t xml:space="preserve">), </w:t>
      </w:r>
      <w:r w:rsidRPr="00934736">
        <w:t xml:space="preserve">30 Information sessions were undertaken. These were designed to promote the consultation exercise, providing an overview of STPR2 and the 45 draft recommendations and further details on how stakeholders could feed into the consultation process. </w:t>
      </w:r>
    </w:p>
    <w:p w14:paraId="15F572A0" w14:textId="58C015E9" w:rsidR="00224F98" w:rsidRPr="00934736" w:rsidRDefault="00224F98" w:rsidP="00116E61">
      <w:pPr>
        <w:pStyle w:val="STPR2BodyText"/>
      </w:pPr>
      <w:r w:rsidRPr="00934736">
        <w:t>The key elements of the statutory consultation process can be summarised as follows:</w:t>
      </w:r>
    </w:p>
    <w:p w14:paraId="170AAB63" w14:textId="76200D8F" w:rsidR="00170B4F" w:rsidRPr="00170B4F" w:rsidRDefault="00343E6B" w:rsidP="00116E61">
      <w:pPr>
        <w:pStyle w:val="STPR2BulletsLevel1"/>
      </w:pPr>
      <w:r>
        <w:t>Eight</w:t>
      </w:r>
      <w:r w:rsidR="00170B4F" w:rsidRPr="00170B4F">
        <w:t xml:space="preserve"> Presentations</w:t>
      </w:r>
      <w:r w:rsidR="00DC49A5">
        <w:t>;</w:t>
      </w:r>
    </w:p>
    <w:p w14:paraId="6947AACA" w14:textId="46B5273A" w:rsidR="00170B4F" w:rsidRPr="00170B4F" w:rsidRDefault="00170B4F" w:rsidP="00116E61">
      <w:pPr>
        <w:pStyle w:val="STPR2BulletsLevel1"/>
      </w:pPr>
      <w:r w:rsidRPr="00170B4F">
        <w:t>10 Regional Transport Working Group (RTWG) Sessions</w:t>
      </w:r>
      <w:r w:rsidR="00DC49A5">
        <w:t>;</w:t>
      </w:r>
    </w:p>
    <w:p w14:paraId="7E210805" w14:textId="2EAEB4B6" w:rsidR="00170B4F" w:rsidRPr="00170B4F" w:rsidRDefault="00343E6B" w:rsidP="00116E61">
      <w:pPr>
        <w:pStyle w:val="STPR2BulletsLevel1"/>
      </w:pPr>
      <w:r>
        <w:t>Three</w:t>
      </w:r>
      <w:r w:rsidR="00170B4F" w:rsidRPr="00170B4F">
        <w:t xml:space="preserve"> Business Information Sessions</w:t>
      </w:r>
      <w:r w:rsidR="00DC49A5">
        <w:t>;</w:t>
      </w:r>
    </w:p>
    <w:p w14:paraId="28232B74" w14:textId="7F577F62" w:rsidR="00170B4F" w:rsidRPr="00170B4F" w:rsidRDefault="00343E6B" w:rsidP="00116E61">
      <w:pPr>
        <w:pStyle w:val="STPR2BulletsLevel1"/>
      </w:pPr>
      <w:r>
        <w:t>Three</w:t>
      </w:r>
      <w:r w:rsidR="00170B4F" w:rsidRPr="00170B4F">
        <w:t xml:space="preserve"> Wider Stakeholder Information Sessions</w:t>
      </w:r>
      <w:r w:rsidR="00AE416B">
        <w:t xml:space="preserve"> (one</w:t>
      </w:r>
      <w:r>
        <w:t xml:space="preserve"> British Sign Language (</w:t>
      </w:r>
      <w:r w:rsidR="00AE416B">
        <w:t>BSL</w:t>
      </w:r>
      <w:r>
        <w:t>)</w:t>
      </w:r>
      <w:r w:rsidR="00AE416B">
        <w:t xml:space="preserve"> interpreted</w:t>
      </w:r>
      <w:r w:rsidR="00AE416B" w:rsidRPr="001B6F75">
        <w:t>)</w:t>
      </w:r>
      <w:r w:rsidR="00DC49A5">
        <w:t>;</w:t>
      </w:r>
    </w:p>
    <w:p w14:paraId="6B5D7AD0" w14:textId="07F69DB4" w:rsidR="00170B4F" w:rsidRPr="00170B4F" w:rsidRDefault="00343E6B" w:rsidP="00116E61">
      <w:pPr>
        <w:pStyle w:val="STPR2BulletsLevel1"/>
      </w:pPr>
      <w:r>
        <w:t>One</w:t>
      </w:r>
      <w:r w:rsidR="00170B4F" w:rsidRPr="00170B4F">
        <w:t xml:space="preserve"> MSP Information Session</w:t>
      </w:r>
      <w:r w:rsidR="00A63FE5">
        <w:t>;</w:t>
      </w:r>
    </w:p>
    <w:p w14:paraId="7C3D7299" w14:textId="1B0CB904" w:rsidR="00170B4F" w:rsidRPr="00170B4F" w:rsidRDefault="00343E6B" w:rsidP="00116E61">
      <w:pPr>
        <w:pStyle w:val="STPR2BulletsLevel1"/>
      </w:pPr>
      <w:r>
        <w:t>Five</w:t>
      </w:r>
      <w:r w:rsidR="00170B4F" w:rsidRPr="00170B4F">
        <w:t xml:space="preserve"> Environmental and Equalities Information Sessions</w:t>
      </w:r>
      <w:r w:rsidR="00A63FE5">
        <w:t>;</w:t>
      </w:r>
    </w:p>
    <w:p w14:paraId="5C626439" w14:textId="3770B34C" w:rsidR="00170B4F" w:rsidRPr="00170B4F" w:rsidRDefault="00343E6B" w:rsidP="00116E61">
      <w:pPr>
        <w:pStyle w:val="STPR2BulletsLevel2"/>
      </w:pPr>
      <w:r>
        <w:t xml:space="preserve">One </w:t>
      </w:r>
      <w:r w:rsidR="00AE416B">
        <w:t>Strategic Environ</w:t>
      </w:r>
      <w:r w:rsidR="00164B12">
        <w:t>mental Assessment (</w:t>
      </w:r>
      <w:r w:rsidR="00170B4F" w:rsidRPr="00170B4F">
        <w:t>SEA</w:t>
      </w:r>
      <w:r w:rsidR="00164B12">
        <w:t>)</w:t>
      </w:r>
      <w:r w:rsidR="00170B4F" w:rsidRPr="00170B4F">
        <w:t xml:space="preserve"> Statutory Consultees Technical</w:t>
      </w:r>
      <w:r w:rsidR="00116E61">
        <w:t> </w:t>
      </w:r>
      <w:r w:rsidR="00170B4F" w:rsidRPr="00170B4F">
        <w:t>session</w:t>
      </w:r>
      <w:r w:rsidR="00A63FE5">
        <w:t>;</w:t>
      </w:r>
    </w:p>
    <w:p w14:paraId="45ABB64C" w14:textId="13439D97" w:rsidR="00170B4F" w:rsidRPr="00170B4F" w:rsidRDefault="00343E6B" w:rsidP="00116E61">
      <w:pPr>
        <w:pStyle w:val="STPR2BulletsLevel2"/>
      </w:pPr>
      <w:r>
        <w:t xml:space="preserve">One </w:t>
      </w:r>
      <w:r w:rsidR="00170B4F" w:rsidRPr="00170B4F">
        <w:t>Equalities Impact Assessment and Fairer Scotland Duty Assessment</w:t>
      </w:r>
      <w:r w:rsidR="00A63FE5">
        <w:t>;</w:t>
      </w:r>
    </w:p>
    <w:p w14:paraId="677D6869" w14:textId="24016174" w:rsidR="00170B4F" w:rsidRPr="00170B4F" w:rsidRDefault="00343E6B" w:rsidP="00116E61">
      <w:pPr>
        <w:pStyle w:val="STPR2BulletsLevel2"/>
      </w:pPr>
      <w:r>
        <w:t xml:space="preserve">One </w:t>
      </w:r>
      <w:r w:rsidR="00170B4F" w:rsidRPr="00170B4F">
        <w:t>Island Communities Impact Assessment</w:t>
      </w:r>
      <w:r w:rsidR="00A63FE5">
        <w:t>;</w:t>
      </w:r>
    </w:p>
    <w:p w14:paraId="5487B246" w14:textId="74CF0C35" w:rsidR="005273E2" w:rsidRDefault="00164B12" w:rsidP="00116E61">
      <w:pPr>
        <w:pStyle w:val="STPR2BulletsLevel2"/>
      </w:pPr>
      <w:r>
        <w:t xml:space="preserve">Two </w:t>
      </w:r>
      <w:r w:rsidR="00170B4F" w:rsidRPr="00170B4F">
        <w:t xml:space="preserve">SEA </w:t>
      </w:r>
      <w:r w:rsidR="00934736">
        <w:t>and</w:t>
      </w:r>
      <w:r w:rsidR="00170B4F" w:rsidRPr="00170B4F">
        <w:t xml:space="preserve"> Equalities Impact Assessments (</w:t>
      </w:r>
      <w:r>
        <w:t xml:space="preserve">both </w:t>
      </w:r>
      <w:r w:rsidR="00170B4F" w:rsidRPr="00170B4F">
        <w:t>BSL Interpreted</w:t>
      </w:r>
      <w:r w:rsidR="00170B4F" w:rsidRPr="001B6F75">
        <w:t>)</w:t>
      </w:r>
      <w:r w:rsidR="005273E2">
        <w:t>.</w:t>
      </w:r>
    </w:p>
    <w:p w14:paraId="7F22C029" w14:textId="4CBEF346" w:rsidR="00343E6B" w:rsidRPr="005273E2" w:rsidRDefault="00343E6B" w:rsidP="005273E2">
      <w:pPr>
        <w:pStyle w:val="STPR2BodyText"/>
        <w:rPr>
          <w:szCs w:val="24"/>
        </w:rPr>
      </w:pPr>
      <w:r w:rsidRPr="005273E2">
        <w:br w:type="page"/>
      </w:r>
    </w:p>
    <w:p w14:paraId="5C9D63B0" w14:textId="461432DB" w:rsidR="00250358" w:rsidRPr="003D2520" w:rsidRDefault="00250358" w:rsidP="005273E2">
      <w:pPr>
        <w:pStyle w:val="STPR2AppendicesHeading1"/>
        <w:rPr>
          <w:lang w:val="en-GB"/>
        </w:rPr>
      </w:pPr>
      <w:r w:rsidRPr="003D2520">
        <w:rPr>
          <w:lang w:val="en-GB"/>
        </w:rPr>
        <w:lastRenderedPageBreak/>
        <w:t xml:space="preserve">Appraisal Approach and Criterion Descriptions </w:t>
      </w:r>
    </w:p>
    <w:p w14:paraId="1D064815" w14:textId="77777777" w:rsidR="00250358" w:rsidRPr="003D2520" w:rsidRDefault="00250358" w:rsidP="00812527">
      <w:pPr>
        <w:pStyle w:val="Heading2"/>
      </w:pPr>
      <w:r w:rsidRPr="003D2520">
        <w:t>Preliminary Appraisal Scoring</w:t>
      </w:r>
    </w:p>
    <w:p w14:paraId="15080BBF" w14:textId="77777777" w:rsidR="00250358" w:rsidRPr="00116E61" w:rsidRDefault="00250358" w:rsidP="00116E61">
      <w:pPr>
        <w:pStyle w:val="STPR2BodyText"/>
      </w:pPr>
      <w:r w:rsidRPr="00116E61">
        <w:t>Significant Positive Effect (+ +)</w:t>
      </w:r>
    </w:p>
    <w:p w14:paraId="70B7681D" w14:textId="4D1C38DD" w:rsidR="00250358" w:rsidRPr="00116E61" w:rsidRDefault="00250358" w:rsidP="00116E61">
      <w:pPr>
        <w:pStyle w:val="STPR2BodyText"/>
      </w:pPr>
      <w:r w:rsidRPr="00116E61">
        <w:t>The Grouping contributes significantly to the achievement of the objective</w:t>
      </w:r>
      <w:r w:rsidR="00555C47" w:rsidRPr="00116E61">
        <w:t>/criteria</w:t>
      </w:r>
      <w:r w:rsidRPr="00116E61">
        <w:t>. In relation to aspects of deliverability, the assessment is very positive with minimal projected risk, and strong supporting evidence/examples can be provided.</w:t>
      </w:r>
    </w:p>
    <w:p w14:paraId="4722168C" w14:textId="77777777" w:rsidR="00250358" w:rsidRPr="00116E61" w:rsidRDefault="00250358" w:rsidP="00116E61">
      <w:pPr>
        <w:pStyle w:val="STPR2BodyText"/>
      </w:pPr>
      <w:r w:rsidRPr="00116E61">
        <w:t>Minor Positive Effect (+)</w:t>
      </w:r>
    </w:p>
    <w:p w14:paraId="01C7D600" w14:textId="18125BA8" w:rsidR="00250358" w:rsidRPr="00116E61" w:rsidRDefault="00250358" w:rsidP="00116E61">
      <w:pPr>
        <w:pStyle w:val="STPR2BodyText"/>
      </w:pPr>
      <w:r w:rsidRPr="00116E61">
        <w:t>The Grouping contributes to the achievement of the objective</w:t>
      </w:r>
      <w:r w:rsidR="00555C47" w:rsidRPr="00116E61">
        <w:t>/criteria</w:t>
      </w:r>
      <w:r w:rsidRPr="00116E61">
        <w:t>, but not significantly. In relation to aspects of deliverability, the overall assessment is positive with relatively low risk, and some evidence/examples can be provided.</w:t>
      </w:r>
    </w:p>
    <w:p w14:paraId="6A696902" w14:textId="77777777" w:rsidR="00250358" w:rsidRPr="00116E61" w:rsidRDefault="00250358" w:rsidP="00116E61">
      <w:pPr>
        <w:pStyle w:val="STPR2BodyText"/>
      </w:pPr>
      <w:r w:rsidRPr="00116E61">
        <w:t>Neutral Effect (0)</w:t>
      </w:r>
    </w:p>
    <w:p w14:paraId="68EE559B" w14:textId="720E2520" w:rsidR="00250358" w:rsidRPr="00116E61" w:rsidRDefault="00250358" w:rsidP="00116E61">
      <w:pPr>
        <w:pStyle w:val="STPR2BodyText"/>
      </w:pPr>
      <w:r w:rsidRPr="00116E61">
        <w:t>The Grouping is related to</w:t>
      </w:r>
      <w:r w:rsidR="006E2C6E" w:rsidRPr="00116E61">
        <w:t>,</w:t>
      </w:r>
      <w:r w:rsidRPr="00116E61">
        <w:t xml:space="preserve"> but does not have any effect on</w:t>
      </w:r>
      <w:r w:rsidR="006E2C6E" w:rsidRPr="00116E61">
        <w:t>,</w:t>
      </w:r>
      <w:r w:rsidRPr="00116E61">
        <w:t xml:space="preserve"> the achievement of the objective</w:t>
      </w:r>
      <w:r w:rsidR="00555C47" w:rsidRPr="00116E61">
        <w:t>/criteria</w:t>
      </w:r>
      <w:r w:rsidRPr="00116E61">
        <w:t>, or the assessment of the category is neither positive nor negative.</w:t>
      </w:r>
    </w:p>
    <w:p w14:paraId="1A571106" w14:textId="77777777" w:rsidR="00250358" w:rsidRPr="00116E61" w:rsidRDefault="00250358" w:rsidP="00116E61">
      <w:pPr>
        <w:pStyle w:val="STPR2BodyText"/>
      </w:pPr>
      <w:r w:rsidRPr="00116E61">
        <w:t>Minor Negative Effect (-)</w:t>
      </w:r>
    </w:p>
    <w:p w14:paraId="1934D45F" w14:textId="001341FE" w:rsidR="00250358" w:rsidRPr="00116E61" w:rsidRDefault="00250358" w:rsidP="00116E61">
      <w:pPr>
        <w:pStyle w:val="STPR2BodyText"/>
      </w:pPr>
      <w:r w:rsidRPr="00116E61">
        <w:t>The Grouping detracts from the achievement of the objective</w:t>
      </w:r>
      <w:r w:rsidR="00555C47" w:rsidRPr="00116E61">
        <w:t>/criteria</w:t>
      </w:r>
      <w:r w:rsidRPr="00116E61">
        <w:t>, but not significantly. In relation to aspects of deliverability, the overall assessment is negative with some identified risks and/or uncertainty.</w:t>
      </w:r>
    </w:p>
    <w:p w14:paraId="1AC3F50A" w14:textId="77777777" w:rsidR="00250358" w:rsidRPr="00116E61" w:rsidRDefault="00250358" w:rsidP="00116E61">
      <w:pPr>
        <w:pStyle w:val="STPR2BodyText"/>
      </w:pPr>
      <w:r w:rsidRPr="00116E61">
        <w:t>Significant Negative Effect (- -)</w:t>
      </w:r>
    </w:p>
    <w:p w14:paraId="6A9C40C5" w14:textId="6ECA6970" w:rsidR="00250358" w:rsidRPr="00116E61" w:rsidRDefault="00250358" w:rsidP="00116E61">
      <w:pPr>
        <w:pStyle w:val="STPR2BodyText"/>
      </w:pPr>
      <w:r w:rsidRPr="00116E61">
        <w:t>The Grouping detracts significantly from the achievement of the objective</w:t>
      </w:r>
      <w:r w:rsidR="00555C47" w:rsidRPr="00116E61">
        <w:t>/criteria</w:t>
      </w:r>
      <w:r w:rsidRPr="00116E61">
        <w:t>. In relation to aspects of deliverability, the overall assessment is strongly negative with multiple identified risks and/or a high degree of uncertainty.</w:t>
      </w:r>
    </w:p>
    <w:p w14:paraId="076DB1FE" w14:textId="77777777" w:rsidR="00250358" w:rsidRPr="00116E61" w:rsidRDefault="00250358" w:rsidP="00116E61">
      <w:pPr>
        <w:pStyle w:val="STPR2BodyText"/>
      </w:pPr>
      <w:r w:rsidRPr="00116E61">
        <w:t>Uncertain Effect (?)</w:t>
      </w:r>
    </w:p>
    <w:p w14:paraId="16520A62" w14:textId="697DD3D0" w:rsidR="00250358" w:rsidRPr="00116E61" w:rsidRDefault="00250358" w:rsidP="00116E61">
      <w:pPr>
        <w:pStyle w:val="STPR2BodyText"/>
      </w:pPr>
      <w:r w:rsidRPr="00116E61">
        <w:t>The Grouping has an uncertain relationship with the objective/criteria or the relationship is dependent on the way in which the aspect is managed. In addition, for some limited interventions insufficient information may be available to enable an assessment to be</w:t>
      </w:r>
      <w:r w:rsidR="00116E61">
        <w:t> </w:t>
      </w:r>
      <w:r w:rsidRPr="00116E61">
        <w:t>made.</w:t>
      </w:r>
    </w:p>
    <w:p w14:paraId="6465126A" w14:textId="77777777" w:rsidR="00250358" w:rsidRPr="00116E61" w:rsidRDefault="00250358" w:rsidP="00116E61">
      <w:pPr>
        <w:pStyle w:val="STPR2BodyText"/>
      </w:pPr>
      <w:r w:rsidRPr="00116E61">
        <w:t>No or negligible relationship (~)</w:t>
      </w:r>
    </w:p>
    <w:p w14:paraId="18C6EE1E" w14:textId="0D9BF1F4" w:rsidR="00250358" w:rsidRDefault="00250358" w:rsidP="00116E61">
      <w:pPr>
        <w:pStyle w:val="STPR2BodyText"/>
      </w:pPr>
      <w:r w:rsidRPr="00116E61">
        <w:t>There is no clear relationship between the Grouping and the achievement of the objective/criteria or the relationship is negligible.</w:t>
      </w:r>
    </w:p>
    <w:p w14:paraId="22A9B916" w14:textId="77777777" w:rsidR="00250358" w:rsidRDefault="00250358" w:rsidP="00116E61">
      <w:pPr>
        <w:pStyle w:val="Heading2"/>
        <w:keepNext/>
        <w:keepLines/>
        <w:widowControl/>
      </w:pPr>
      <w:r>
        <w:lastRenderedPageBreak/>
        <w:t>Deliverability Criteria</w:t>
      </w:r>
    </w:p>
    <w:p w14:paraId="642E3FB5" w14:textId="77777777" w:rsidR="00250358" w:rsidRPr="000069E2" w:rsidRDefault="00250358" w:rsidP="00116E61">
      <w:pPr>
        <w:pStyle w:val="STPR2BodyText"/>
        <w:keepNext/>
        <w:keepLines/>
      </w:pPr>
      <w:r w:rsidRPr="000069E2">
        <w:t>Feasibility</w:t>
      </w:r>
    </w:p>
    <w:p w14:paraId="5D4EDDDE" w14:textId="7CE93DEF" w:rsidR="00250358" w:rsidRPr="000069E2" w:rsidRDefault="00250358" w:rsidP="00116E61">
      <w:pPr>
        <w:pStyle w:val="STPR2BodyText"/>
        <w:keepNext/>
        <w:keepLines/>
      </w:pPr>
      <w:r w:rsidRPr="000069E2">
        <w:t xml:space="preserve">Appraises whether </w:t>
      </w:r>
      <w:r w:rsidR="00E33A1A" w:rsidRPr="000069E2">
        <w:t xml:space="preserve">the </w:t>
      </w:r>
      <w:r w:rsidRPr="000069E2">
        <w:t>Grouping can be implemented and operated using proven construction methods or technology, without significant risk. Risks may include unexpected cost, delay, or departure from design standards.</w:t>
      </w:r>
    </w:p>
    <w:p w14:paraId="35A262B1" w14:textId="59FEE2BA" w:rsidR="00250358" w:rsidRPr="000069E2" w:rsidRDefault="00C56960" w:rsidP="00116E61">
      <w:pPr>
        <w:pStyle w:val="STPR2BodyText"/>
      </w:pPr>
      <w:r w:rsidRPr="000069E2">
        <w:t>Affordability</w:t>
      </w:r>
    </w:p>
    <w:p w14:paraId="31B1005C" w14:textId="77777777" w:rsidR="00250358" w:rsidRPr="000069E2" w:rsidRDefault="00250358" w:rsidP="00116E61">
      <w:pPr>
        <w:pStyle w:val="STPR2BodyText"/>
      </w:pPr>
      <w:r w:rsidRPr="000069E2">
        <w:t>Appraises the overall cost of the Grouping, the likely availability of funding, the level of risk associated with funding, the ongoing cost of operation and maintenance, and any ongoing revenue from operation.</w:t>
      </w:r>
    </w:p>
    <w:p w14:paraId="6E679E03" w14:textId="77777777" w:rsidR="00250358" w:rsidRPr="000069E2" w:rsidRDefault="00250358" w:rsidP="00116E61">
      <w:pPr>
        <w:pStyle w:val="STPR2BodyText"/>
      </w:pPr>
      <w:r w:rsidRPr="000069E2">
        <w:t>Public Acceptability</w:t>
      </w:r>
    </w:p>
    <w:p w14:paraId="7F783F21" w14:textId="5122B150" w:rsidR="00250358" w:rsidRPr="003D2520" w:rsidRDefault="00250358" w:rsidP="00116E61">
      <w:pPr>
        <w:pStyle w:val="STPR2BodyText"/>
      </w:pPr>
      <w:bookmarkStart w:id="0" w:name="_Ref66391319"/>
      <w:r w:rsidRPr="003D2520">
        <w:t>Appraises the likely acceptability of the Grouping to the public, based on consultation and stakeholder engagemen</w:t>
      </w:r>
      <w:bookmarkEnd w:id="0"/>
      <w:r w:rsidRPr="003D2520">
        <w:t>t</w:t>
      </w:r>
      <w:r w:rsidR="00F316B9">
        <w:t>.</w:t>
      </w:r>
    </w:p>
    <w:p w14:paraId="431AD5B7" w14:textId="24AE360D" w:rsidR="00250358" w:rsidRPr="003D2520" w:rsidRDefault="00250358" w:rsidP="004E37EC">
      <w:pPr>
        <w:pStyle w:val="STPR2CaptionFigures"/>
      </w:pPr>
      <w:r w:rsidRPr="003D2520">
        <w:t xml:space="preserve">Table E.1 </w:t>
      </w:r>
      <w:r w:rsidR="00116E61">
        <w:t>–</w:t>
      </w:r>
      <w:r w:rsidRPr="003D2520">
        <w:t xml:space="preserve"> Cost Bands for Preliminary Appraisal</w:t>
      </w:r>
    </w:p>
    <w:tbl>
      <w:tblPr>
        <w:tblStyle w:val="ListTable4-Accent6"/>
        <w:tblW w:w="9771" w:type="dxa"/>
        <w:tblLook w:val="04A0" w:firstRow="1" w:lastRow="0" w:firstColumn="1" w:lastColumn="0" w:noHBand="0" w:noVBand="1"/>
      </w:tblPr>
      <w:tblGrid>
        <w:gridCol w:w="4572"/>
        <w:gridCol w:w="5199"/>
      </w:tblGrid>
      <w:tr w:rsidR="00250358" w:rsidRPr="003D2520" w14:paraId="1347B2E9" w14:textId="77777777" w:rsidTr="00116E6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0" w:type="dxa"/>
            <w:shd w:val="clear" w:color="auto" w:fill="007D55"/>
            <w:vAlign w:val="center"/>
            <w:hideMark/>
          </w:tcPr>
          <w:p w14:paraId="7785A9B7" w14:textId="77777777" w:rsidR="00250358" w:rsidRPr="003D2520" w:rsidRDefault="00250358" w:rsidP="00116E61">
            <w:pPr>
              <w:pStyle w:val="TABLEHEADINGWHITE"/>
              <w:rPr>
                <w:rFonts w:ascii="Arial" w:hAnsi="Arial"/>
              </w:rPr>
            </w:pPr>
            <w:r w:rsidRPr="001B6F75">
              <w:rPr>
                <w:rFonts w:ascii="Arial" w:hAnsi="Arial"/>
              </w:rPr>
              <w:t>COST BAND</w:t>
            </w:r>
          </w:p>
        </w:tc>
        <w:tc>
          <w:tcPr>
            <w:tcW w:w="0" w:type="dxa"/>
            <w:shd w:val="clear" w:color="auto" w:fill="007D55"/>
            <w:vAlign w:val="center"/>
            <w:hideMark/>
          </w:tcPr>
          <w:p w14:paraId="5DCCC252" w14:textId="77777777" w:rsidR="00250358" w:rsidRPr="003D2520" w:rsidRDefault="00250358" w:rsidP="00116E61">
            <w:pPr>
              <w:pStyle w:val="TABLEHEADINGWHITE"/>
              <w:cnfStyle w:val="100000000000" w:firstRow="1" w:lastRow="0" w:firstColumn="0" w:lastColumn="0" w:oddVBand="0" w:evenVBand="0" w:oddHBand="0" w:evenHBand="0" w:firstRowFirstColumn="0" w:firstRowLastColumn="0" w:lastRowFirstColumn="0" w:lastRowLastColumn="0"/>
              <w:rPr>
                <w:rFonts w:ascii="Arial" w:hAnsi="Arial"/>
              </w:rPr>
            </w:pPr>
            <w:r w:rsidRPr="001B6F75">
              <w:rPr>
                <w:rFonts w:ascii="Arial" w:hAnsi="Arial"/>
              </w:rPr>
              <w:t>VALUE</w:t>
            </w:r>
          </w:p>
        </w:tc>
      </w:tr>
      <w:tr w:rsidR="00250358" w:rsidRPr="003D2520" w14:paraId="4A151154" w14:textId="77777777" w:rsidTr="0011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40A7566F" w14:textId="77777777" w:rsidR="00250358" w:rsidRPr="003D2520" w:rsidRDefault="00250358" w:rsidP="00116E61">
            <w:pPr>
              <w:pStyle w:val="STPR2TableBody"/>
            </w:pPr>
            <w:r w:rsidRPr="003D2520">
              <w:t>1</w:t>
            </w:r>
          </w:p>
        </w:tc>
        <w:tc>
          <w:tcPr>
            <w:tcW w:w="0" w:type="dxa"/>
            <w:vAlign w:val="center"/>
          </w:tcPr>
          <w:p w14:paraId="6EABA63B" w14:textId="77777777" w:rsidR="00250358" w:rsidRPr="003D2520" w:rsidRDefault="00250358" w:rsidP="00116E61">
            <w:pPr>
              <w:pStyle w:val="STPR2TableBody"/>
              <w:cnfStyle w:val="000000100000" w:firstRow="0" w:lastRow="0" w:firstColumn="0" w:lastColumn="0" w:oddVBand="0" w:evenVBand="0" w:oddHBand="1" w:evenHBand="0" w:firstRowFirstColumn="0" w:firstRowLastColumn="0" w:lastRowFirstColumn="0" w:lastRowLastColumn="0"/>
            </w:pPr>
            <w:r w:rsidRPr="003D2520">
              <w:t>£0</w:t>
            </w:r>
          </w:p>
        </w:tc>
      </w:tr>
      <w:tr w:rsidR="00250358" w:rsidRPr="003D2520" w14:paraId="798E68D5" w14:textId="77777777" w:rsidTr="00116E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2546B2F0" w14:textId="77777777" w:rsidR="00250358" w:rsidRPr="003D2520" w:rsidRDefault="00250358" w:rsidP="00116E61">
            <w:pPr>
              <w:pStyle w:val="STPR2TableBody"/>
            </w:pPr>
            <w:r w:rsidRPr="003D2520">
              <w:t>2</w:t>
            </w:r>
          </w:p>
        </w:tc>
        <w:tc>
          <w:tcPr>
            <w:tcW w:w="0" w:type="dxa"/>
            <w:vAlign w:val="center"/>
          </w:tcPr>
          <w:p w14:paraId="244B587D" w14:textId="42E4BB85" w:rsidR="00250358" w:rsidRPr="003D2520" w:rsidRDefault="00250358" w:rsidP="00116E61">
            <w:pPr>
              <w:pStyle w:val="STPR2TableBody"/>
              <w:cnfStyle w:val="000000010000" w:firstRow="0" w:lastRow="0" w:firstColumn="0" w:lastColumn="0" w:oddVBand="0" w:evenVBand="0" w:oddHBand="0" w:evenHBand="1" w:firstRowFirstColumn="0" w:firstRowLastColumn="0" w:lastRowFirstColumn="0" w:lastRowLastColumn="0"/>
            </w:pPr>
            <w:r w:rsidRPr="003D2520">
              <w:t>£0-5</w:t>
            </w:r>
            <w:r w:rsidR="00A65F2B">
              <w:t xml:space="preserve"> </w:t>
            </w:r>
            <w:r w:rsidRPr="003D2520">
              <w:t>m</w:t>
            </w:r>
            <w:r w:rsidR="00A65F2B">
              <w:t>illion</w:t>
            </w:r>
          </w:p>
        </w:tc>
      </w:tr>
      <w:tr w:rsidR="00250358" w:rsidRPr="003D2520" w14:paraId="3D2FBB4E" w14:textId="77777777" w:rsidTr="0011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758A0C6" w14:textId="77777777" w:rsidR="00250358" w:rsidRPr="003D2520" w:rsidRDefault="00250358" w:rsidP="00116E61">
            <w:pPr>
              <w:pStyle w:val="STPR2TableBody"/>
            </w:pPr>
            <w:r w:rsidRPr="003D2520">
              <w:t>3</w:t>
            </w:r>
          </w:p>
        </w:tc>
        <w:tc>
          <w:tcPr>
            <w:tcW w:w="0" w:type="dxa"/>
            <w:vAlign w:val="center"/>
          </w:tcPr>
          <w:p w14:paraId="4E1CAD43" w14:textId="686B10F7" w:rsidR="00250358" w:rsidRPr="003D2520" w:rsidRDefault="00250358" w:rsidP="00116E61">
            <w:pPr>
              <w:pStyle w:val="STPR2TableBody"/>
              <w:cnfStyle w:val="000000100000" w:firstRow="0" w:lastRow="0" w:firstColumn="0" w:lastColumn="0" w:oddVBand="0" w:evenVBand="0" w:oddHBand="1" w:evenHBand="0" w:firstRowFirstColumn="0" w:firstRowLastColumn="0" w:lastRowFirstColumn="0" w:lastRowLastColumn="0"/>
            </w:pPr>
            <w:r w:rsidRPr="003D2520">
              <w:t>£5-10</w:t>
            </w:r>
            <w:r w:rsidR="00A65F2B">
              <w:t xml:space="preserve"> </w:t>
            </w:r>
            <w:r w:rsidRPr="003D2520">
              <w:t>m</w:t>
            </w:r>
            <w:r w:rsidR="00A65F2B">
              <w:t>illion</w:t>
            </w:r>
          </w:p>
        </w:tc>
      </w:tr>
      <w:tr w:rsidR="00250358" w:rsidRPr="003D2520" w14:paraId="165E086F" w14:textId="77777777" w:rsidTr="00116E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B31829D" w14:textId="77777777" w:rsidR="00250358" w:rsidRPr="003D2520" w:rsidRDefault="00250358" w:rsidP="00116E61">
            <w:pPr>
              <w:pStyle w:val="STPR2TableBody"/>
            </w:pPr>
            <w:r w:rsidRPr="003D2520">
              <w:t>4</w:t>
            </w:r>
          </w:p>
        </w:tc>
        <w:tc>
          <w:tcPr>
            <w:tcW w:w="0" w:type="dxa"/>
            <w:vAlign w:val="center"/>
          </w:tcPr>
          <w:p w14:paraId="656CB4B9" w14:textId="5C4370CF" w:rsidR="00250358" w:rsidRPr="003D2520" w:rsidRDefault="00250358" w:rsidP="00116E61">
            <w:pPr>
              <w:pStyle w:val="STPR2TableBody"/>
              <w:cnfStyle w:val="000000010000" w:firstRow="0" w:lastRow="0" w:firstColumn="0" w:lastColumn="0" w:oddVBand="0" w:evenVBand="0" w:oddHBand="0" w:evenHBand="1" w:firstRowFirstColumn="0" w:firstRowLastColumn="0" w:lastRowFirstColumn="0" w:lastRowLastColumn="0"/>
            </w:pPr>
            <w:r w:rsidRPr="003D2520">
              <w:t>£10-25</w:t>
            </w:r>
            <w:r w:rsidR="00A65F2B">
              <w:t xml:space="preserve"> </w:t>
            </w:r>
            <w:r w:rsidRPr="003D2520">
              <w:t>m</w:t>
            </w:r>
            <w:r w:rsidR="00A65F2B">
              <w:t>illion</w:t>
            </w:r>
          </w:p>
        </w:tc>
      </w:tr>
      <w:tr w:rsidR="00250358" w:rsidRPr="003D2520" w14:paraId="5B111DE0" w14:textId="77777777" w:rsidTr="0011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0763B07" w14:textId="77777777" w:rsidR="00250358" w:rsidRPr="003D2520" w:rsidRDefault="00250358" w:rsidP="00116E61">
            <w:pPr>
              <w:pStyle w:val="STPR2TableBody"/>
              <w:rPr>
                <w:szCs w:val="20"/>
              </w:rPr>
            </w:pPr>
            <w:r w:rsidRPr="003D2520">
              <w:t>5</w:t>
            </w:r>
          </w:p>
        </w:tc>
        <w:tc>
          <w:tcPr>
            <w:tcW w:w="0" w:type="dxa"/>
            <w:vAlign w:val="center"/>
          </w:tcPr>
          <w:p w14:paraId="42C357EE" w14:textId="4B75995E" w:rsidR="00250358" w:rsidRPr="003D2520" w:rsidRDefault="00250358" w:rsidP="00116E61">
            <w:pPr>
              <w:pStyle w:val="STPR2TableBody"/>
              <w:cnfStyle w:val="000000100000" w:firstRow="0" w:lastRow="0" w:firstColumn="0" w:lastColumn="0" w:oddVBand="0" w:evenVBand="0" w:oddHBand="1" w:evenHBand="0" w:firstRowFirstColumn="0" w:firstRowLastColumn="0" w:lastRowFirstColumn="0" w:lastRowLastColumn="0"/>
            </w:pPr>
            <w:r w:rsidRPr="003D2520">
              <w:t>£25-50</w:t>
            </w:r>
            <w:r w:rsidR="00A65F2B">
              <w:t xml:space="preserve"> </w:t>
            </w:r>
            <w:r w:rsidRPr="003D2520">
              <w:t>m</w:t>
            </w:r>
            <w:r w:rsidR="00A65F2B">
              <w:t>illion</w:t>
            </w:r>
          </w:p>
        </w:tc>
      </w:tr>
      <w:tr w:rsidR="00250358" w:rsidRPr="003D2520" w14:paraId="27C40C41" w14:textId="77777777" w:rsidTr="00116E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AB4011A" w14:textId="77777777" w:rsidR="00250358" w:rsidRPr="003D2520" w:rsidDel="00F728AD" w:rsidRDefault="00250358" w:rsidP="00116E61">
            <w:pPr>
              <w:pStyle w:val="STPR2TableBody"/>
            </w:pPr>
            <w:r w:rsidRPr="003D2520">
              <w:t>6</w:t>
            </w:r>
          </w:p>
        </w:tc>
        <w:tc>
          <w:tcPr>
            <w:tcW w:w="0" w:type="dxa"/>
            <w:vAlign w:val="center"/>
          </w:tcPr>
          <w:p w14:paraId="269B1D69" w14:textId="2D9CDA1E" w:rsidR="00250358" w:rsidRPr="003D2520" w:rsidDel="00F728AD" w:rsidRDefault="00250358" w:rsidP="00116E61">
            <w:pPr>
              <w:pStyle w:val="STPR2TableBody"/>
              <w:cnfStyle w:val="000000010000" w:firstRow="0" w:lastRow="0" w:firstColumn="0" w:lastColumn="0" w:oddVBand="0" w:evenVBand="0" w:oddHBand="0" w:evenHBand="1" w:firstRowFirstColumn="0" w:firstRowLastColumn="0" w:lastRowFirstColumn="0" w:lastRowLastColumn="0"/>
            </w:pPr>
            <w:r w:rsidRPr="003D2520">
              <w:t>£50-100</w:t>
            </w:r>
            <w:r w:rsidR="00A65F2B">
              <w:t xml:space="preserve"> </w:t>
            </w:r>
            <w:r w:rsidRPr="003D2520">
              <w:t>m</w:t>
            </w:r>
            <w:r w:rsidR="00A65F2B">
              <w:t>illion</w:t>
            </w:r>
          </w:p>
        </w:tc>
      </w:tr>
      <w:tr w:rsidR="00250358" w:rsidRPr="003D2520" w14:paraId="766463D4" w14:textId="77777777" w:rsidTr="0011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2716DB8D" w14:textId="77777777" w:rsidR="00250358" w:rsidRPr="003D2520" w:rsidDel="00F728AD" w:rsidRDefault="00250358" w:rsidP="00116E61">
            <w:pPr>
              <w:pStyle w:val="STPR2TableBody"/>
            </w:pPr>
            <w:r w:rsidRPr="003D2520">
              <w:t>7</w:t>
            </w:r>
          </w:p>
        </w:tc>
        <w:tc>
          <w:tcPr>
            <w:tcW w:w="0" w:type="dxa"/>
            <w:vAlign w:val="center"/>
          </w:tcPr>
          <w:p w14:paraId="32F18412" w14:textId="41C57E33" w:rsidR="00250358" w:rsidRPr="003D2520" w:rsidDel="00F728AD" w:rsidRDefault="00250358" w:rsidP="00116E61">
            <w:pPr>
              <w:pStyle w:val="STPR2TableBody"/>
              <w:cnfStyle w:val="000000100000" w:firstRow="0" w:lastRow="0" w:firstColumn="0" w:lastColumn="0" w:oddVBand="0" w:evenVBand="0" w:oddHBand="1" w:evenHBand="0" w:firstRowFirstColumn="0" w:firstRowLastColumn="0" w:lastRowFirstColumn="0" w:lastRowLastColumn="0"/>
            </w:pPr>
            <w:r w:rsidRPr="003D2520">
              <w:t>£100-250</w:t>
            </w:r>
            <w:r w:rsidR="00A65F2B">
              <w:t xml:space="preserve"> </w:t>
            </w:r>
            <w:r w:rsidRPr="003D2520">
              <w:t>m</w:t>
            </w:r>
            <w:r w:rsidR="00A65F2B">
              <w:t>illion</w:t>
            </w:r>
          </w:p>
        </w:tc>
      </w:tr>
      <w:tr w:rsidR="00250358" w:rsidRPr="003D2520" w14:paraId="1DD2081D" w14:textId="77777777" w:rsidTr="00116E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0456AC30" w14:textId="77777777" w:rsidR="00250358" w:rsidRPr="003D2520" w:rsidDel="00F728AD" w:rsidRDefault="00250358" w:rsidP="00116E61">
            <w:pPr>
              <w:pStyle w:val="STPR2TableBody"/>
            </w:pPr>
            <w:r w:rsidRPr="003D2520">
              <w:t>8</w:t>
            </w:r>
          </w:p>
        </w:tc>
        <w:tc>
          <w:tcPr>
            <w:tcW w:w="0" w:type="dxa"/>
            <w:vAlign w:val="center"/>
          </w:tcPr>
          <w:p w14:paraId="0C185DC5" w14:textId="72A1016F" w:rsidR="00250358" w:rsidRPr="003D2520" w:rsidDel="00F728AD" w:rsidRDefault="00250358" w:rsidP="00116E61">
            <w:pPr>
              <w:pStyle w:val="STPR2TableBody"/>
              <w:cnfStyle w:val="000000010000" w:firstRow="0" w:lastRow="0" w:firstColumn="0" w:lastColumn="0" w:oddVBand="0" w:evenVBand="0" w:oddHBand="0" w:evenHBand="1" w:firstRowFirstColumn="0" w:firstRowLastColumn="0" w:lastRowFirstColumn="0" w:lastRowLastColumn="0"/>
            </w:pPr>
            <w:r w:rsidRPr="003D2520">
              <w:t>£250-500</w:t>
            </w:r>
            <w:r w:rsidR="00A65F2B">
              <w:t xml:space="preserve"> </w:t>
            </w:r>
            <w:r w:rsidRPr="003D2520">
              <w:t>m</w:t>
            </w:r>
            <w:r w:rsidR="00A65F2B">
              <w:t>illion</w:t>
            </w:r>
          </w:p>
        </w:tc>
      </w:tr>
      <w:tr w:rsidR="00250358" w:rsidRPr="003D2520" w14:paraId="3B163E3D" w14:textId="77777777" w:rsidTr="00116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1D8E0732" w14:textId="77777777" w:rsidR="00250358" w:rsidRPr="003D2520" w:rsidDel="00F728AD" w:rsidRDefault="00250358" w:rsidP="00116E61">
            <w:pPr>
              <w:pStyle w:val="STPR2TableBody"/>
            </w:pPr>
            <w:r w:rsidRPr="003D2520">
              <w:t>9</w:t>
            </w:r>
          </w:p>
        </w:tc>
        <w:tc>
          <w:tcPr>
            <w:tcW w:w="0" w:type="dxa"/>
            <w:vAlign w:val="center"/>
          </w:tcPr>
          <w:p w14:paraId="6CB6C7A7" w14:textId="1E337097" w:rsidR="00250358" w:rsidRPr="003D2520" w:rsidDel="00F728AD" w:rsidRDefault="00250358" w:rsidP="00116E61">
            <w:pPr>
              <w:pStyle w:val="STPR2TableBody"/>
              <w:cnfStyle w:val="000000100000" w:firstRow="0" w:lastRow="0" w:firstColumn="0" w:lastColumn="0" w:oddVBand="0" w:evenVBand="0" w:oddHBand="1" w:evenHBand="0" w:firstRowFirstColumn="0" w:firstRowLastColumn="0" w:lastRowFirstColumn="0" w:lastRowLastColumn="0"/>
            </w:pPr>
            <w:r w:rsidRPr="003D2520">
              <w:t>£500-1</w:t>
            </w:r>
            <w:r w:rsidR="00A65F2B">
              <w:t>,</w:t>
            </w:r>
            <w:r w:rsidRPr="003D2520">
              <w:t>000</w:t>
            </w:r>
            <w:r w:rsidR="00A65F2B">
              <w:t xml:space="preserve"> </w:t>
            </w:r>
            <w:r w:rsidRPr="003D2520">
              <w:t>m</w:t>
            </w:r>
            <w:r w:rsidR="00A65F2B">
              <w:t>illion</w:t>
            </w:r>
          </w:p>
        </w:tc>
      </w:tr>
      <w:tr w:rsidR="00250358" w:rsidRPr="003D2520" w14:paraId="6A8C61B8" w14:textId="77777777" w:rsidTr="00116E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5F5E8BA4" w14:textId="77777777" w:rsidR="00250358" w:rsidRPr="003D2520" w:rsidDel="00F728AD" w:rsidRDefault="00250358" w:rsidP="00116E61">
            <w:pPr>
              <w:pStyle w:val="STPR2TableBody"/>
              <w:rPr>
                <w:b/>
              </w:rPr>
            </w:pPr>
            <w:r w:rsidRPr="003D2520">
              <w:t>10</w:t>
            </w:r>
          </w:p>
        </w:tc>
        <w:tc>
          <w:tcPr>
            <w:tcW w:w="0" w:type="dxa"/>
            <w:vAlign w:val="center"/>
          </w:tcPr>
          <w:p w14:paraId="491FF87B" w14:textId="23A8FCCA" w:rsidR="00250358" w:rsidRPr="003D2520" w:rsidDel="00F728AD" w:rsidRDefault="00A65F2B" w:rsidP="00116E61">
            <w:pPr>
              <w:pStyle w:val="STPR2TableBody"/>
              <w:cnfStyle w:val="000000010000" w:firstRow="0" w:lastRow="0" w:firstColumn="0" w:lastColumn="0" w:oddVBand="0" w:evenVBand="0" w:oddHBand="0" w:evenHBand="1" w:firstRowFirstColumn="0" w:firstRowLastColumn="0" w:lastRowFirstColumn="0" w:lastRowLastColumn="0"/>
            </w:pPr>
            <w:r>
              <w:t xml:space="preserve">Over </w:t>
            </w:r>
            <w:r w:rsidR="00250358" w:rsidRPr="003D2520">
              <w:t>£1</w:t>
            </w:r>
            <w:r>
              <w:t>,</w:t>
            </w:r>
            <w:r w:rsidR="00250358" w:rsidRPr="003D2520">
              <w:t>000</w:t>
            </w:r>
            <w:r>
              <w:t xml:space="preserve"> </w:t>
            </w:r>
            <w:r w:rsidR="00250358" w:rsidRPr="003D2520">
              <w:t>m</w:t>
            </w:r>
            <w:r>
              <w:t>illion</w:t>
            </w:r>
          </w:p>
        </w:tc>
      </w:tr>
    </w:tbl>
    <w:p w14:paraId="218AD177" w14:textId="77777777" w:rsidR="00250358" w:rsidRPr="003D2520" w:rsidRDefault="00250358" w:rsidP="00116E61">
      <w:pPr>
        <w:pStyle w:val="Heading2"/>
      </w:pPr>
      <w:r w:rsidRPr="003D2520">
        <w:t>Detailed Appraisal Scoring</w:t>
      </w:r>
    </w:p>
    <w:p w14:paraId="2CFA1E20" w14:textId="573C7708" w:rsidR="00895338" w:rsidRDefault="00852EDD" w:rsidP="00116E61">
      <w:pPr>
        <w:pStyle w:val="STPR2BodyText"/>
      </w:pPr>
      <w:r>
        <w:t>(as defined by STAG)</w:t>
      </w:r>
    </w:p>
    <w:p w14:paraId="65927C00" w14:textId="1BFF5204" w:rsidR="00250358" w:rsidRPr="003D2520" w:rsidRDefault="00250358" w:rsidP="00116E61">
      <w:pPr>
        <w:pStyle w:val="STPR2BodyText"/>
      </w:pPr>
      <w:r w:rsidRPr="003D2520">
        <w:t>Major benefit (+++)</w:t>
      </w:r>
    </w:p>
    <w:p w14:paraId="3FABE790" w14:textId="77777777" w:rsidR="00250358" w:rsidRPr="003D2520" w:rsidRDefault="00250358" w:rsidP="00116E61">
      <w:pPr>
        <w:pStyle w:val="STPR2BodyText"/>
      </w:pPr>
      <w:r w:rsidRPr="003D2520">
        <w:t>These are benefits or positive impacts which, depending on the scale of benefit or severity of impact, the practitioner feels should be a principal consideration when assessing an option’s eligibility for funding.</w:t>
      </w:r>
    </w:p>
    <w:p w14:paraId="40DF57CE" w14:textId="77777777" w:rsidR="00250358" w:rsidRPr="003D2520" w:rsidRDefault="00250358" w:rsidP="00116E61">
      <w:pPr>
        <w:pStyle w:val="STPR2BodyText"/>
        <w:keepNext/>
        <w:keepLines/>
      </w:pPr>
      <w:r w:rsidRPr="003D2520">
        <w:lastRenderedPageBreak/>
        <w:t>Moderate benefit (++)</w:t>
      </w:r>
    </w:p>
    <w:p w14:paraId="5338412B" w14:textId="4422C1C1" w:rsidR="00250358" w:rsidRPr="003D2520" w:rsidRDefault="00250358" w:rsidP="00116E61">
      <w:pPr>
        <w:pStyle w:val="STPR2BodyText"/>
      </w:pPr>
      <w:r w:rsidRPr="003D2520">
        <w:t>The option is anticipated to have only a moderate benefit or positive impact. Moderate benefits and impacts are those which taken in isolation may not determine an option’s eligibility for funding, but taken together do so.</w:t>
      </w:r>
    </w:p>
    <w:p w14:paraId="3028E577" w14:textId="77777777" w:rsidR="00250358" w:rsidRPr="003D2520" w:rsidRDefault="00250358" w:rsidP="00116E61">
      <w:pPr>
        <w:pStyle w:val="STPR2BodyText"/>
      </w:pPr>
      <w:r w:rsidRPr="003D2520">
        <w:t>Minor benefit (+)</w:t>
      </w:r>
    </w:p>
    <w:p w14:paraId="2BF7CDB7" w14:textId="232693F5" w:rsidR="00250358" w:rsidRPr="003D2520" w:rsidRDefault="00250358" w:rsidP="00116E61">
      <w:pPr>
        <w:pStyle w:val="STPR2BodyText"/>
      </w:pPr>
      <w:r w:rsidRPr="003D2520">
        <w:t>The option is anticipated to have only a small benefit or positive impact. Small benefits or impacts are those which are worth noting, but the practitioner believes are not likely to contribute materially to determining whether an option is funded or otherwise.</w:t>
      </w:r>
    </w:p>
    <w:p w14:paraId="5C9BA3E5" w14:textId="77777777" w:rsidR="00250358" w:rsidRPr="003D2520" w:rsidRDefault="00250358" w:rsidP="00116E61">
      <w:pPr>
        <w:pStyle w:val="STPR2BodyText"/>
      </w:pPr>
      <w:r w:rsidRPr="003D2520">
        <w:t>No benefit or impact (0)</w:t>
      </w:r>
    </w:p>
    <w:p w14:paraId="59EB6DCB" w14:textId="77777777" w:rsidR="00250358" w:rsidRPr="003D2520" w:rsidRDefault="00250358" w:rsidP="00116E61">
      <w:pPr>
        <w:pStyle w:val="STPR2BodyText"/>
      </w:pPr>
      <w:r w:rsidRPr="003D2520">
        <w:t>The option is anticipated to have no or negligible benefit or negative impact.</w:t>
      </w:r>
    </w:p>
    <w:p w14:paraId="37DFEA46" w14:textId="1A06EB7B" w:rsidR="00250358" w:rsidRPr="003D2520" w:rsidRDefault="00250358" w:rsidP="00116E61">
      <w:pPr>
        <w:pStyle w:val="STPR2BodyText"/>
      </w:pPr>
      <w:r w:rsidRPr="003D2520">
        <w:t>Small minor cost or negative impact (-)</w:t>
      </w:r>
    </w:p>
    <w:p w14:paraId="242B5DFE" w14:textId="416976DB" w:rsidR="00250358" w:rsidRPr="003D2520" w:rsidRDefault="00250358" w:rsidP="00116E61">
      <w:pPr>
        <w:pStyle w:val="STPR2BodyText"/>
      </w:pPr>
      <w:r w:rsidRPr="003D2520">
        <w:t>The option is anticipated to have only a minor cost or negative impact. Minor costs/negative impacts are those which taken in isolation may not determine an option’s eligibility for funding, but taken together could do so.</w:t>
      </w:r>
    </w:p>
    <w:p w14:paraId="2EC19598" w14:textId="77777777" w:rsidR="00250358" w:rsidRPr="003D2520" w:rsidRDefault="00250358" w:rsidP="00116E61">
      <w:pPr>
        <w:pStyle w:val="STPR2BodyText"/>
      </w:pPr>
      <w:r w:rsidRPr="003D2520">
        <w:t>Moderate cost or negative impact (--)</w:t>
      </w:r>
    </w:p>
    <w:p w14:paraId="5394A429" w14:textId="0165FDBC" w:rsidR="00250358" w:rsidRPr="003D2520" w:rsidRDefault="00250358" w:rsidP="00116E61">
      <w:pPr>
        <w:pStyle w:val="STPR2BodyText"/>
      </w:pPr>
      <w:r w:rsidRPr="003D2520">
        <w:t>The option is anticipated to have only a moderate cost or negative impact. Moderate costs/negative impacts are those which taken in isolation may not determine an option’s eligibility for funding, but taken together could do so.</w:t>
      </w:r>
    </w:p>
    <w:p w14:paraId="086A9EBA" w14:textId="77777777" w:rsidR="00250358" w:rsidRPr="003D2520" w:rsidRDefault="00250358" w:rsidP="00116E61">
      <w:pPr>
        <w:pStyle w:val="STPR2BodyText"/>
      </w:pPr>
      <w:r w:rsidRPr="003D2520">
        <w:t>Major cost or negative impact (---)</w:t>
      </w:r>
    </w:p>
    <w:p w14:paraId="7D57F346" w14:textId="33F5B14C" w:rsidR="00250358" w:rsidRPr="003D2520" w:rsidRDefault="00250358" w:rsidP="00116E61">
      <w:pPr>
        <w:pStyle w:val="STPR2BodyText"/>
      </w:pPr>
      <w:r w:rsidRPr="003D2520">
        <w:t>These are costs or negative impacts which, depending on the scale of cost or severity of impact, the practitioner should take into consideration when assessing an option’s eligibility for funding.</w:t>
      </w:r>
    </w:p>
    <w:p w14:paraId="321CBCFE" w14:textId="77777777" w:rsidR="00250358" w:rsidRPr="003D2520" w:rsidRDefault="00250358" w:rsidP="00812527">
      <w:pPr>
        <w:pStyle w:val="STPR2TableBullets"/>
        <w:numPr>
          <w:ilvl w:val="0"/>
          <w:numId w:val="0"/>
        </w:numPr>
        <w:ind w:left="504" w:hanging="360"/>
        <w:sectPr w:rsidR="00250358" w:rsidRPr="003D2520" w:rsidSect="00116E61">
          <w:headerReference w:type="default" r:id="rId12"/>
          <w:footerReference w:type="default" r:id="rId13"/>
          <w:pgSz w:w="11906" w:h="16838" w:code="9"/>
          <w:pgMar w:top="1699" w:right="1138" w:bottom="1138" w:left="1138" w:header="461" w:footer="562" w:gutter="0"/>
          <w:cols w:space="720"/>
          <w:docGrid w:linePitch="360"/>
        </w:sectPr>
      </w:pPr>
    </w:p>
    <w:p w14:paraId="138B19CB" w14:textId="2594BDE1" w:rsidR="00250358" w:rsidRPr="00601FFE" w:rsidRDefault="00250358" w:rsidP="004E37EC">
      <w:pPr>
        <w:pStyle w:val="STPR2CaptionFigures"/>
      </w:pPr>
      <w:r w:rsidRPr="00601FFE">
        <w:lastRenderedPageBreak/>
        <w:t xml:space="preserve">Table E.2 – Mapping of </w:t>
      </w:r>
      <w:r>
        <w:t>Previous</w:t>
      </w:r>
      <w:r w:rsidRPr="00601FFE">
        <w:t xml:space="preserve"> and </w:t>
      </w:r>
      <w:r w:rsidR="00F21144">
        <w:t>Revised</w:t>
      </w:r>
      <w:r w:rsidRPr="00601FFE">
        <w:t xml:space="preserve"> STAG Criteria</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2917"/>
        <w:gridCol w:w="1564"/>
        <w:gridCol w:w="3575"/>
      </w:tblGrid>
      <w:tr w:rsidR="00250358" w14:paraId="6EB18F37" w14:textId="77777777" w:rsidTr="00116E61">
        <w:trPr>
          <w:tblHeader/>
        </w:trPr>
        <w:tc>
          <w:tcPr>
            <w:tcW w:w="707" w:type="pct"/>
            <w:shd w:val="clear" w:color="auto" w:fill="007D55"/>
          </w:tcPr>
          <w:p w14:paraId="5A693917" w14:textId="231A7076" w:rsidR="00250358" w:rsidRPr="00601FFE" w:rsidRDefault="00F21144" w:rsidP="00F774F2">
            <w:pPr>
              <w:pStyle w:val="TABLEHEADINGWHITE"/>
              <w:spacing w:before="40" w:after="40"/>
              <w:rPr>
                <w:rFonts w:ascii="Arial" w:hAnsi="Arial"/>
              </w:rPr>
            </w:pPr>
            <w:r>
              <w:rPr>
                <w:rFonts w:ascii="Arial" w:hAnsi="Arial"/>
              </w:rPr>
              <w:t>PREVIOUS</w:t>
            </w:r>
            <w:r w:rsidR="00250358" w:rsidRPr="00601FFE">
              <w:rPr>
                <w:rFonts w:ascii="Arial" w:hAnsi="Arial"/>
              </w:rPr>
              <w:t xml:space="preserve"> STAG </w:t>
            </w:r>
            <w:r w:rsidR="00421CDE" w:rsidRPr="00DB2DCF">
              <w:rPr>
                <w:rFonts w:ascii="Arial" w:hAnsi="Arial"/>
              </w:rPr>
              <w:t>CRITERI</w:t>
            </w:r>
            <w:r w:rsidR="00421CDE">
              <w:rPr>
                <w:rFonts w:ascii="Arial" w:hAnsi="Arial"/>
              </w:rPr>
              <w:t>A</w:t>
            </w:r>
          </w:p>
        </w:tc>
        <w:tc>
          <w:tcPr>
            <w:tcW w:w="1570" w:type="pct"/>
            <w:shd w:val="clear" w:color="auto" w:fill="007D55"/>
          </w:tcPr>
          <w:p w14:paraId="11C017FA" w14:textId="48592FDD" w:rsidR="00250358" w:rsidRPr="00601FFE" w:rsidRDefault="00F21144" w:rsidP="00F774F2">
            <w:pPr>
              <w:pStyle w:val="TABLEHEADINGWHITE"/>
              <w:spacing w:before="40" w:after="40"/>
              <w:rPr>
                <w:rFonts w:ascii="Arial" w:hAnsi="Arial"/>
              </w:rPr>
            </w:pPr>
            <w:r>
              <w:rPr>
                <w:rFonts w:ascii="Arial" w:hAnsi="Arial"/>
              </w:rPr>
              <w:t>PREVIOUS</w:t>
            </w:r>
            <w:r w:rsidR="00250358" w:rsidRPr="00601FFE">
              <w:rPr>
                <w:rFonts w:ascii="Arial" w:hAnsi="Arial"/>
              </w:rPr>
              <w:t xml:space="preserve"> STAG SUB-</w:t>
            </w:r>
            <w:r w:rsidR="00421CDE" w:rsidRPr="00814B56">
              <w:rPr>
                <w:rFonts w:ascii="Arial" w:hAnsi="Arial"/>
              </w:rPr>
              <w:t>CRITERI</w:t>
            </w:r>
            <w:r w:rsidR="00421CDE">
              <w:rPr>
                <w:rFonts w:ascii="Arial" w:hAnsi="Arial"/>
              </w:rPr>
              <w:t>A</w:t>
            </w:r>
          </w:p>
        </w:tc>
        <w:tc>
          <w:tcPr>
            <w:tcW w:w="810" w:type="pct"/>
            <w:shd w:val="clear" w:color="auto" w:fill="007D55"/>
          </w:tcPr>
          <w:p w14:paraId="11648586" w14:textId="208E18B0" w:rsidR="00250358" w:rsidRPr="00601FFE" w:rsidRDefault="00250358" w:rsidP="00F774F2">
            <w:pPr>
              <w:pStyle w:val="TABLEHEADINGWHITE"/>
              <w:spacing w:before="40" w:after="40"/>
              <w:rPr>
                <w:rFonts w:ascii="Arial" w:hAnsi="Arial"/>
              </w:rPr>
            </w:pPr>
            <w:r w:rsidRPr="00601FFE">
              <w:rPr>
                <w:rFonts w:ascii="Arial" w:hAnsi="Arial"/>
              </w:rPr>
              <w:t xml:space="preserve">REVISED STAG </w:t>
            </w:r>
            <w:r w:rsidR="00421CDE" w:rsidRPr="001B6F75">
              <w:rPr>
                <w:rFonts w:ascii="Arial" w:hAnsi="Arial"/>
              </w:rPr>
              <w:t>CRITERI</w:t>
            </w:r>
            <w:r w:rsidR="00421CDE">
              <w:rPr>
                <w:rFonts w:ascii="Arial" w:hAnsi="Arial"/>
              </w:rPr>
              <w:t>A</w:t>
            </w:r>
          </w:p>
        </w:tc>
        <w:tc>
          <w:tcPr>
            <w:tcW w:w="1912" w:type="pct"/>
            <w:shd w:val="clear" w:color="auto" w:fill="007D55"/>
          </w:tcPr>
          <w:p w14:paraId="586325E4" w14:textId="6E214170" w:rsidR="00250358" w:rsidRPr="00601FFE" w:rsidRDefault="00250358" w:rsidP="00F774F2">
            <w:pPr>
              <w:pStyle w:val="TABLEHEADINGWHITE"/>
              <w:spacing w:before="40" w:after="40"/>
              <w:rPr>
                <w:rFonts w:ascii="Arial" w:hAnsi="Arial"/>
              </w:rPr>
            </w:pPr>
            <w:r w:rsidRPr="00601FFE">
              <w:rPr>
                <w:rFonts w:ascii="Arial" w:hAnsi="Arial"/>
              </w:rPr>
              <w:t>REVISED STAG SUB</w:t>
            </w:r>
            <w:r w:rsidR="00F774F2">
              <w:rPr>
                <w:rFonts w:ascii="Arial" w:hAnsi="Arial"/>
              </w:rPr>
              <w:noBreakHyphen/>
            </w:r>
            <w:r w:rsidR="00421CDE" w:rsidRPr="001B6F75">
              <w:rPr>
                <w:rFonts w:ascii="Arial" w:hAnsi="Arial"/>
              </w:rPr>
              <w:t>CRITERI</w:t>
            </w:r>
            <w:r w:rsidR="00421CDE">
              <w:rPr>
                <w:rFonts w:ascii="Arial" w:hAnsi="Arial"/>
              </w:rPr>
              <w:t>A</w:t>
            </w:r>
          </w:p>
        </w:tc>
      </w:tr>
      <w:tr w:rsidR="00250358" w14:paraId="58FE6456" w14:textId="77777777" w:rsidTr="00116E61">
        <w:tc>
          <w:tcPr>
            <w:tcW w:w="707" w:type="pct"/>
            <w:shd w:val="clear" w:color="auto" w:fill="DCEDC6"/>
          </w:tcPr>
          <w:p w14:paraId="2CD026B2" w14:textId="77777777" w:rsidR="00250358" w:rsidRPr="00601FFE" w:rsidRDefault="00250358" w:rsidP="00F774F2">
            <w:pPr>
              <w:pStyle w:val="STPR2TableBody"/>
              <w:spacing w:before="40" w:after="40"/>
            </w:pPr>
            <w:r w:rsidRPr="00116E61">
              <w:t>Environment</w:t>
            </w:r>
            <w:r w:rsidRPr="00601FFE">
              <w:t xml:space="preserve"> </w:t>
            </w:r>
          </w:p>
        </w:tc>
        <w:tc>
          <w:tcPr>
            <w:tcW w:w="1570" w:type="pct"/>
            <w:shd w:val="clear" w:color="auto" w:fill="DCEDC6"/>
          </w:tcPr>
          <w:p w14:paraId="48693BED" w14:textId="22000A54" w:rsidR="00250358" w:rsidRPr="00116E61" w:rsidRDefault="00250358" w:rsidP="00F774F2">
            <w:pPr>
              <w:pStyle w:val="STPR2TableBullets"/>
              <w:spacing w:before="40" w:after="40"/>
            </w:pPr>
            <w:r w:rsidRPr="00116E61">
              <w:t xml:space="preserve">Noise and </w:t>
            </w:r>
            <w:r w:rsidR="005C58A6" w:rsidRPr="00116E61">
              <w:t>V</w:t>
            </w:r>
            <w:r w:rsidRPr="00116E61">
              <w:t>ibration</w:t>
            </w:r>
          </w:p>
          <w:p w14:paraId="082CD4F5" w14:textId="6388621B" w:rsidR="00250358" w:rsidRPr="00116E61" w:rsidRDefault="00250358" w:rsidP="00F774F2">
            <w:pPr>
              <w:pStyle w:val="STPR2TableBullets"/>
              <w:spacing w:before="40" w:after="40"/>
            </w:pPr>
            <w:r w:rsidRPr="00116E61">
              <w:t xml:space="preserve">Global </w:t>
            </w:r>
            <w:r w:rsidR="005C58A6" w:rsidRPr="00116E61">
              <w:t>A</w:t>
            </w:r>
            <w:r w:rsidRPr="00116E61">
              <w:t xml:space="preserve">ir </w:t>
            </w:r>
            <w:r w:rsidR="005C58A6" w:rsidRPr="00116E61">
              <w:t>Q</w:t>
            </w:r>
            <w:r w:rsidRPr="00116E61">
              <w:t>uality - carbon dioxide (CO2)</w:t>
            </w:r>
          </w:p>
          <w:p w14:paraId="3AF27706" w14:textId="6C36559B" w:rsidR="00250358" w:rsidRPr="00116E61" w:rsidRDefault="00250358" w:rsidP="00F774F2">
            <w:pPr>
              <w:pStyle w:val="STPR2TableBullets"/>
              <w:spacing w:before="40" w:after="40"/>
            </w:pPr>
            <w:r w:rsidRPr="00116E61">
              <w:t xml:space="preserve">Local </w:t>
            </w:r>
            <w:r w:rsidR="005C58A6" w:rsidRPr="00116E61">
              <w:t>A</w:t>
            </w:r>
            <w:r w:rsidRPr="00116E61">
              <w:t xml:space="preserve">ir </w:t>
            </w:r>
            <w:r w:rsidR="005C58A6" w:rsidRPr="00116E61">
              <w:t>Q</w:t>
            </w:r>
            <w:r w:rsidRPr="00116E61">
              <w:t>uality - particulates (PM10) and nitrogen dioxide (NO2)</w:t>
            </w:r>
          </w:p>
          <w:p w14:paraId="02CCE79E" w14:textId="559BF625" w:rsidR="00250358" w:rsidRPr="00116E61" w:rsidRDefault="00250358" w:rsidP="00F774F2">
            <w:pPr>
              <w:pStyle w:val="STPR2TableBullets"/>
              <w:spacing w:before="40" w:after="40"/>
            </w:pPr>
            <w:r w:rsidRPr="00116E61">
              <w:t xml:space="preserve">Water </w:t>
            </w:r>
            <w:r w:rsidR="005C58A6" w:rsidRPr="00116E61">
              <w:t>Q</w:t>
            </w:r>
            <w:r w:rsidRPr="00116E61">
              <w:t xml:space="preserve">uality, </w:t>
            </w:r>
            <w:r w:rsidR="005C58A6" w:rsidRPr="00116E61">
              <w:t>D</w:t>
            </w:r>
            <w:r w:rsidRPr="00116E61">
              <w:t xml:space="preserve">rainage and </w:t>
            </w:r>
            <w:r w:rsidR="005C58A6" w:rsidRPr="00116E61">
              <w:t>F</w:t>
            </w:r>
            <w:r w:rsidRPr="00116E61">
              <w:t xml:space="preserve">lood </w:t>
            </w:r>
            <w:r w:rsidR="005C58A6" w:rsidRPr="00116E61">
              <w:t>D</w:t>
            </w:r>
            <w:r w:rsidRPr="00116E61">
              <w:t>efence</w:t>
            </w:r>
          </w:p>
          <w:p w14:paraId="09DE41FD" w14:textId="77777777" w:rsidR="00250358" w:rsidRPr="00116E61" w:rsidRDefault="00250358" w:rsidP="00F774F2">
            <w:pPr>
              <w:pStyle w:val="STPR2TableBullets"/>
              <w:spacing w:before="40" w:after="40"/>
            </w:pPr>
            <w:r w:rsidRPr="00116E61">
              <w:t>Geology</w:t>
            </w:r>
          </w:p>
          <w:p w14:paraId="2E96331F" w14:textId="5B3EC347" w:rsidR="00250358" w:rsidRPr="00116E61" w:rsidRDefault="00250358" w:rsidP="00F774F2">
            <w:pPr>
              <w:pStyle w:val="STPR2TableBullets"/>
              <w:spacing w:before="40" w:after="40"/>
            </w:pPr>
            <w:r w:rsidRPr="00116E61">
              <w:t xml:space="preserve">Biodiversity and </w:t>
            </w:r>
            <w:r w:rsidR="005C58A6" w:rsidRPr="00116E61">
              <w:t>H</w:t>
            </w:r>
            <w:r w:rsidRPr="00116E61">
              <w:t>abitats</w:t>
            </w:r>
          </w:p>
          <w:p w14:paraId="5333FD2D" w14:textId="77777777" w:rsidR="00250358" w:rsidRPr="00116E61" w:rsidRDefault="00250358" w:rsidP="00F774F2">
            <w:pPr>
              <w:pStyle w:val="STPR2TableBullets"/>
              <w:spacing w:before="40" w:after="40"/>
            </w:pPr>
            <w:r w:rsidRPr="00116E61">
              <w:t>Landscape</w:t>
            </w:r>
          </w:p>
          <w:p w14:paraId="0C847889" w14:textId="11D672D5" w:rsidR="00250358" w:rsidRPr="00116E61" w:rsidRDefault="00250358" w:rsidP="00F774F2">
            <w:pPr>
              <w:pStyle w:val="STPR2TableBullets"/>
              <w:spacing w:before="40" w:after="40"/>
            </w:pPr>
            <w:r w:rsidRPr="00116E61">
              <w:t xml:space="preserve">Visual </w:t>
            </w:r>
            <w:r w:rsidR="005C58A6" w:rsidRPr="00116E61">
              <w:t>A</w:t>
            </w:r>
            <w:r w:rsidRPr="00116E61">
              <w:t>menity</w:t>
            </w:r>
          </w:p>
          <w:p w14:paraId="5110DF02" w14:textId="6B000867" w:rsidR="00250358" w:rsidRPr="00116E61" w:rsidRDefault="00250358" w:rsidP="00F774F2">
            <w:pPr>
              <w:pStyle w:val="STPR2TableBullets"/>
              <w:spacing w:before="40" w:after="40"/>
            </w:pPr>
            <w:r w:rsidRPr="00116E61">
              <w:t xml:space="preserve">Agriculture and </w:t>
            </w:r>
            <w:r w:rsidR="005C58A6" w:rsidRPr="00116E61">
              <w:t>S</w:t>
            </w:r>
            <w:r w:rsidRPr="00116E61">
              <w:t>oils</w:t>
            </w:r>
          </w:p>
          <w:p w14:paraId="0F483542" w14:textId="7B4F4C01" w:rsidR="00250358" w:rsidRPr="00601FFE" w:rsidRDefault="00250358" w:rsidP="00F774F2">
            <w:pPr>
              <w:pStyle w:val="STPR2TableBullets"/>
              <w:spacing w:before="40" w:after="40"/>
            </w:pPr>
            <w:r w:rsidRPr="00116E61">
              <w:t xml:space="preserve">Cultural </w:t>
            </w:r>
            <w:r w:rsidR="005C58A6" w:rsidRPr="00116E61">
              <w:t>H</w:t>
            </w:r>
            <w:r w:rsidRPr="00116E61">
              <w:t>eritage</w:t>
            </w:r>
          </w:p>
        </w:tc>
        <w:tc>
          <w:tcPr>
            <w:tcW w:w="810" w:type="pct"/>
            <w:shd w:val="clear" w:color="auto" w:fill="DCEDC6"/>
          </w:tcPr>
          <w:p w14:paraId="602FDD2C" w14:textId="77777777" w:rsidR="00250358" w:rsidRPr="00601FFE" w:rsidRDefault="00250358" w:rsidP="00F774F2">
            <w:pPr>
              <w:pStyle w:val="STPR2TableBody"/>
              <w:spacing w:before="40" w:after="40"/>
            </w:pPr>
            <w:r w:rsidRPr="00601FFE">
              <w:t>Environment</w:t>
            </w:r>
          </w:p>
          <w:p w14:paraId="2744C3AB" w14:textId="77777777" w:rsidR="00250358" w:rsidRPr="00601FFE" w:rsidRDefault="00250358" w:rsidP="00F774F2">
            <w:pPr>
              <w:spacing w:before="40" w:after="40"/>
              <w:rPr>
                <w:rFonts w:ascii="Arial" w:hAnsi="Arial" w:cs="Arial"/>
              </w:rPr>
            </w:pPr>
            <w:r w:rsidRPr="00D86E97">
              <w:rPr>
                <w:rFonts w:ascii="Arial" w:hAnsi="Arial" w:cs="Arial"/>
                <w:sz w:val="24"/>
                <w:szCs w:val="24"/>
              </w:rPr>
              <w:t>Climate Change</w:t>
            </w:r>
          </w:p>
        </w:tc>
        <w:tc>
          <w:tcPr>
            <w:tcW w:w="1912" w:type="pct"/>
            <w:shd w:val="clear" w:color="auto" w:fill="DCEDC6"/>
          </w:tcPr>
          <w:p w14:paraId="14133311" w14:textId="77777777" w:rsidR="00250358" w:rsidRPr="00601FFE" w:rsidRDefault="00250358" w:rsidP="00F774F2">
            <w:pPr>
              <w:pStyle w:val="STPR2TableBody"/>
              <w:spacing w:before="40" w:after="40"/>
            </w:pPr>
            <w:r w:rsidRPr="00601FFE">
              <w:t>Environment:</w:t>
            </w:r>
          </w:p>
          <w:p w14:paraId="3F9AD2A4" w14:textId="77777777" w:rsidR="00250358" w:rsidRPr="00116E61" w:rsidRDefault="00250358" w:rsidP="00F774F2">
            <w:pPr>
              <w:pStyle w:val="STPR2TableBullets"/>
              <w:spacing w:before="40" w:after="40"/>
            </w:pPr>
            <w:r w:rsidRPr="00116E61">
              <w:t>Biodiversity and Habitats</w:t>
            </w:r>
          </w:p>
          <w:p w14:paraId="318FB1A6" w14:textId="77777777" w:rsidR="00250358" w:rsidRPr="00116E61" w:rsidRDefault="00250358" w:rsidP="00F774F2">
            <w:pPr>
              <w:pStyle w:val="STPR2TableBullets"/>
              <w:spacing w:before="40" w:after="40"/>
            </w:pPr>
            <w:r w:rsidRPr="00116E61">
              <w:t>Geology and Soils</w:t>
            </w:r>
          </w:p>
          <w:p w14:paraId="709EFF80" w14:textId="77777777" w:rsidR="00250358" w:rsidRPr="00116E61" w:rsidRDefault="00250358" w:rsidP="00F774F2">
            <w:pPr>
              <w:pStyle w:val="STPR2TableBullets"/>
              <w:spacing w:before="40" w:after="40"/>
            </w:pPr>
            <w:r w:rsidRPr="00116E61">
              <w:t>Land Use (including Agriculture and Forestry)</w:t>
            </w:r>
          </w:p>
          <w:p w14:paraId="1EBCB54F" w14:textId="77777777" w:rsidR="00250358" w:rsidRPr="00116E61" w:rsidRDefault="00250358" w:rsidP="00F774F2">
            <w:pPr>
              <w:pStyle w:val="STPR2TableBullets"/>
              <w:spacing w:before="40" w:after="40"/>
            </w:pPr>
            <w:r w:rsidRPr="00116E61">
              <w:t>Water, Drainage and Flooding</w:t>
            </w:r>
          </w:p>
          <w:p w14:paraId="48844914" w14:textId="77777777" w:rsidR="00250358" w:rsidRPr="00116E61" w:rsidRDefault="00250358" w:rsidP="00F774F2">
            <w:pPr>
              <w:pStyle w:val="STPR2TableBullets"/>
              <w:spacing w:before="40" w:after="40"/>
            </w:pPr>
            <w:r w:rsidRPr="00116E61">
              <w:t>Air Quality</w:t>
            </w:r>
          </w:p>
          <w:p w14:paraId="15F452A5" w14:textId="77777777" w:rsidR="00250358" w:rsidRPr="00116E61" w:rsidRDefault="00250358" w:rsidP="00F774F2">
            <w:pPr>
              <w:pStyle w:val="STPR2TableBullets"/>
              <w:spacing w:before="40" w:after="40"/>
            </w:pPr>
            <w:r w:rsidRPr="00116E61">
              <w:t>Historic Environment</w:t>
            </w:r>
          </w:p>
          <w:p w14:paraId="59133744" w14:textId="77777777" w:rsidR="00250358" w:rsidRPr="00116E61" w:rsidRDefault="00250358" w:rsidP="00F774F2">
            <w:pPr>
              <w:pStyle w:val="STPR2TableBullets"/>
              <w:spacing w:before="40" w:after="40"/>
            </w:pPr>
            <w:r w:rsidRPr="00116E61">
              <w:t>Landscape</w:t>
            </w:r>
          </w:p>
          <w:p w14:paraId="091D3B1C" w14:textId="04CAD1A2" w:rsidR="00250358" w:rsidRPr="00601FFE" w:rsidRDefault="00250358" w:rsidP="00F774F2">
            <w:pPr>
              <w:pStyle w:val="STPR2TableBullets"/>
              <w:spacing w:before="40" w:after="40"/>
            </w:pPr>
            <w:r w:rsidRPr="00116E61">
              <w:t>Noise and</w:t>
            </w:r>
            <w:r w:rsidRPr="00601FFE">
              <w:t xml:space="preserve"> Vibration</w:t>
            </w:r>
          </w:p>
          <w:p w14:paraId="41714849" w14:textId="77777777" w:rsidR="00250358" w:rsidRPr="00601FFE" w:rsidRDefault="00250358" w:rsidP="00F774F2">
            <w:pPr>
              <w:pStyle w:val="STPR2TableBody"/>
              <w:spacing w:before="40" w:after="40"/>
            </w:pPr>
            <w:r w:rsidRPr="00601FFE">
              <w:t>Climate Change:</w:t>
            </w:r>
          </w:p>
          <w:p w14:paraId="31EEEB51" w14:textId="77777777" w:rsidR="00250358" w:rsidRPr="00116E61" w:rsidRDefault="00250358" w:rsidP="00F774F2">
            <w:pPr>
              <w:pStyle w:val="STPR2TableBullets"/>
              <w:spacing w:before="40" w:after="40"/>
            </w:pPr>
            <w:r w:rsidRPr="00116E61">
              <w:t>Greenhouse Gas Emissions</w:t>
            </w:r>
          </w:p>
          <w:p w14:paraId="35C65140" w14:textId="77777777" w:rsidR="00250358" w:rsidRPr="00116E61" w:rsidRDefault="00250358" w:rsidP="00F774F2">
            <w:pPr>
              <w:pStyle w:val="STPR2TableBullets"/>
              <w:spacing w:before="40" w:after="40"/>
            </w:pPr>
            <w:r w:rsidRPr="00116E61">
              <w:t>Vulnerability to Effects of Climate Change</w:t>
            </w:r>
          </w:p>
          <w:p w14:paraId="1427E164" w14:textId="77777777" w:rsidR="00250358" w:rsidRPr="00601FFE" w:rsidRDefault="00250358" w:rsidP="00F774F2">
            <w:pPr>
              <w:pStyle w:val="STPR2TableBullets"/>
              <w:spacing w:before="40" w:after="40"/>
            </w:pPr>
            <w:r w:rsidRPr="00116E61">
              <w:t>Potential to Adapt to Effects of Climate</w:t>
            </w:r>
            <w:r w:rsidRPr="00601FFE">
              <w:t xml:space="preserve"> Change</w:t>
            </w:r>
          </w:p>
        </w:tc>
      </w:tr>
      <w:tr w:rsidR="00250358" w14:paraId="5B347565" w14:textId="77777777" w:rsidTr="00116E61">
        <w:tc>
          <w:tcPr>
            <w:tcW w:w="707" w:type="pct"/>
            <w:shd w:val="clear" w:color="auto" w:fill="DCEDC6"/>
          </w:tcPr>
          <w:p w14:paraId="325C1B1F" w14:textId="4E3610D6" w:rsidR="00250358" w:rsidRPr="00116E61" w:rsidRDefault="00250358" w:rsidP="00F774F2">
            <w:pPr>
              <w:pStyle w:val="STPR2TableBody"/>
              <w:spacing w:before="40" w:after="40"/>
            </w:pPr>
            <w:r w:rsidRPr="00116E61">
              <w:t>Safety</w:t>
            </w:r>
          </w:p>
        </w:tc>
        <w:tc>
          <w:tcPr>
            <w:tcW w:w="1570" w:type="pct"/>
            <w:shd w:val="clear" w:color="auto" w:fill="DCEDC6"/>
          </w:tcPr>
          <w:p w14:paraId="128952F9" w14:textId="77777777" w:rsidR="00250358" w:rsidRPr="00116E61" w:rsidRDefault="00250358" w:rsidP="00F774F2">
            <w:pPr>
              <w:pStyle w:val="STPR2TableBullets"/>
              <w:spacing w:before="40" w:after="40"/>
            </w:pPr>
            <w:r w:rsidRPr="00116E61">
              <w:t>Accidents</w:t>
            </w:r>
          </w:p>
          <w:p w14:paraId="3940E4B6" w14:textId="77777777" w:rsidR="00250358" w:rsidRPr="00116E61" w:rsidRDefault="00250358" w:rsidP="00F774F2">
            <w:pPr>
              <w:pStyle w:val="STPR2TableBullets"/>
              <w:spacing w:before="40" w:after="40"/>
            </w:pPr>
            <w:r w:rsidRPr="00116E61">
              <w:t>Security</w:t>
            </w:r>
          </w:p>
        </w:tc>
        <w:tc>
          <w:tcPr>
            <w:tcW w:w="810" w:type="pct"/>
            <w:shd w:val="clear" w:color="auto" w:fill="DCEDC6"/>
          </w:tcPr>
          <w:p w14:paraId="0992F42F" w14:textId="77777777" w:rsidR="00250358" w:rsidRPr="00601FFE" w:rsidRDefault="00250358" w:rsidP="00F774F2">
            <w:pPr>
              <w:pStyle w:val="STPR2TableBody"/>
              <w:spacing w:before="40" w:after="40"/>
            </w:pPr>
            <w:r w:rsidRPr="00601FFE">
              <w:t>Health, Safety and Wellbeing</w:t>
            </w:r>
          </w:p>
        </w:tc>
        <w:tc>
          <w:tcPr>
            <w:tcW w:w="1912" w:type="pct"/>
            <w:shd w:val="clear" w:color="auto" w:fill="DCEDC6"/>
          </w:tcPr>
          <w:p w14:paraId="65AE6F49" w14:textId="77777777" w:rsidR="00250358" w:rsidRPr="00F774F2" w:rsidRDefault="00250358" w:rsidP="00F774F2">
            <w:pPr>
              <w:pStyle w:val="STPR2TableBullets"/>
              <w:spacing w:before="40" w:after="40"/>
            </w:pPr>
            <w:r w:rsidRPr="00F774F2">
              <w:t>Accidents</w:t>
            </w:r>
          </w:p>
          <w:p w14:paraId="6FF036E8" w14:textId="77777777" w:rsidR="00250358" w:rsidRPr="00F774F2" w:rsidRDefault="00250358" w:rsidP="00F774F2">
            <w:pPr>
              <w:pStyle w:val="STPR2TableBullets"/>
              <w:spacing w:before="40" w:after="40"/>
            </w:pPr>
            <w:r w:rsidRPr="00F774F2">
              <w:t>Security</w:t>
            </w:r>
          </w:p>
          <w:p w14:paraId="6D7757FE" w14:textId="77777777" w:rsidR="00250358" w:rsidRPr="00F774F2" w:rsidRDefault="00250358" w:rsidP="00F774F2">
            <w:pPr>
              <w:pStyle w:val="STPR2TableBullets"/>
              <w:spacing w:before="40" w:after="40"/>
            </w:pPr>
            <w:r w:rsidRPr="00F774F2">
              <w:t>Health</w:t>
            </w:r>
          </w:p>
          <w:p w14:paraId="167792E7" w14:textId="77777777" w:rsidR="00250358" w:rsidRPr="00F774F2" w:rsidRDefault="00250358" w:rsidP="00F774F2">
            <w:pPr>
              <w:pStyle w:val="STPR2TableBullets"/>
              <w:spacing w:before="40" w:after="40"/>
            </w:pPr>
            <w:r w:rsidRPr="00F774F2">
              <w:t>Access to Health and Wellbeing Infrastructure</w:t>
            </w:r>
          </w:p>
          <w:p w14:paraId="044B637D" w14:textId="77777777" w:rsidR="00250358" w:rsidRPr="00F774F2" w:rsidRDefault="00250358" w:rsidP="00F774F2">
            <w:pPr>
              <w:pStyle w:val="STPR2TableBullets"/>
              <w:spacing w:before="40" w:after="40"/>
            </w:pPr>
            <w:r w:rsidRPr="00F774F2">
              <w:t>Visual Amenity</w:t>
            </w:r>
          </w:p>
        </w:tc>
      </w:tr>
      <w:tr w:rsidR="00250358" w14:paraId="7EDD48FA" w14:textId="77777777" w:rsidTr="00116E61">
        <w:tc>
          <w:tcPr>
            <w:tcW w:w="707" w:type="pct"/>
            <w:shd w:val="clear" w:color="auto" w:fill="DCEDC6"/>
          </w:tcPr>
          <w:p w14:paraId="06888C5F" w14:textId="77777777" w:rsidR="00250358" w:rsidRPr="00116E61" w:rsidRDefault="00250358" w:rsidP="00F774F2">
            <w:pPr>
              <w:pStyle w:val="STPR2TableBody"/>
              <w:spacing w:before="40" w:after="40"/>
            </w:pPr>
            <w:r w:rsidRPr="00116E61">
              <w:t xml:space="preserve">Economy </w:t>
            </w:r>
          </w:p>
        </w:tc>
        <w:tc>
          <w:tcPr>
            <w:tcW w:w="1570" w:type="pct"/>
            <w:shd w:val="clear" w:color="auto" w:fill="DCEDC6"/>
          </w:tcPr>
          <w:p w14:paraId="3F7DC279" w14:textId="77777777" w:rsidR="00250358" w:rsidRPr="00116E61" w:rsidRDefault="00250358" w:rsidP="00F774F2">
            <w:pPr>
              <w:pStyle w:val="STPR2TableBullets"/>
              <w:spacing w:before="40" w:after="40"/>
            </w:pPr>
            <w:r w:rsidRPr="00116E61">
              <w:t>Transport Economic Efficiency</w:t>
            </w:r>
          </w:p>
          <w:p w14:paraId="569A6B01" w14:textId="77777777" w:rsidR="00250358" w:rsidRPr="00116E61" w:rsidRDefault="00250358" w:rsidP="00F774F2">
            <w:pPr>
              <w:pStyle w:val="STPR2TableBullets"/>
              <w:spacing w:before="40" w:after="40"/>
            </w:pPr>
            <w:r w:rsidRPr="00116E61">
              <w:t>Wider Economic Impacts</w:t>
            </w:r>
          </w:p>
        </w:tc>
        <w:tc>
          <w:tcPr>
            <w:tcW w:w="810" w:type="pct"/>
            <w:shd w:val="clear" w:color="auto" w:fill="DCEDC6"/>
          </w:tcPr>
          <w:p w14:paraId="7D07F767" w14:textId="77777777" w:rsidR="00250358" w:rsidRPr="00601FFE" w:rsidRDefault="00250358" w:rsidP="00F774F2">
            <w:pPr>
              <w:pStyle w:val="STPR2TableBody"/>
              <w:spacing w:before="40" w:after="40"/>
            </w:pPr>
            <w:r w:rsidRPr="00601FFE">
              <w:t>Economy</w:t>
            </w:r>
          </w:p>
        </w:tc>
        <w:tc>
          <w:tcPr>
            <w:tcW w:w="1912" w:type="pct"/>
            <w:shd w:val="clear" w:color="auto" w:fill="DCEDC6"/>
          </w:tcPr>
          <w:p w14:paraId="35AB15CB" w14:textId="77777777" w:rsidR="00250358" w:rsidRPr="00F774F2" w:rsidRDefault="00250358" w:rsidP="00F774F2">
            <w:pPr>
              <w:pStyle w:val="STPR2TableBullets"/>
              <w:spacing w:before="40" w:after="40"/>
            </w:pPr>
            <w:r w:rsidRPr="00F774F2">
              <w:t>Transport Economic Efficiency</w:t>
            </w:r>
          </w:p>
          <w:p w14:paraId="7F6FCB75" w14:textId="77777777" w:rsidR="00250358" w:rsidRPr="00F774F2" w:rsidRDefault="00250358" w:rsidP="00F774F2">
            <w:pPr>
              <w:pStyle w:val="STPR2TableBullets"/>
              <w:spacing w:before="40" w:after="40"/>
            </w:pPr>
            <w:r w:rsidRPr="00F774F2">
              <w:t>Wider Economic Impacts</w:t>
            </w:r>
          </w:p>
        </w:tc>
      </w:tr>
      <w:tr w:rsidR="00250358" w14:paraId="7D7292D7" w14:textId="77777777" w:rsidTr="00116E61">
        <w:tc>
          <w:tcPr>
            <w:tcW w:w="707" w:type="pct"/>
            <w:shd w:val="clear" w:color="auto" w:fill="DCEDC6"/>
          </w:tcPr>
          <w:p w14:paraId="0A459A3B" w14:textId="77777777" w:rsidR="00250358" w:rsidRPr="00116E61" w:rsidRDefault="00250358" w:rsidP="00F774F2">
            <w:pPr>
              <w:pStyle w:val="STPR2TableBody"/>
              <w:spacing w:before="40" w:after="40"/>
            </w:pPr>
            <w:r w:rsidRPr="00116E61">
              <w:t xml:space="preserve">Integration </w:t>
            </w:r>
          </w:p>
        </w:tc>
        <w:tc>
          <w:tcPr>
            <w:tcW w:w="1570" w:type="pct"/>
            <w:shd w:val="clear" w:color="auto" w:fill="DCEDC6"/>
          </w:tcPr>
          <w:p w14:paraId="2B3A8334" w14:textId="77777777" w:rsidR="00250358" w:rsidRPr="00116E61" w:rsidRDefault="00250358" w:rsidP="00F774F2">
            <w:pPr>
              <w:pStyle w:val="STPR2TableBullets"/>
              <w:spacing w:before="40" w:after="40"/>
            </w:pPr>
            <w:r w:rsidRPr="00116E61">
              <w:t>Transport Integration</w:t>
            </w:r>
          </w:p>
          <w:p w14:paraId="7EC83D73" w14:textId="77777777" w:rsidR="00250358" w:rsidRPr="00116E61" w:rsidRDefault="00250358" w:rsidP="00F774F2">
            <w:pPr>
              <w:pStyle w:val="STPR2TableBullets"/>
              <w:spacing w:before="40" w:after="40"/>
            </w:pPr>
            <w:r w:rsidRPr="00116E61">
              <w:t>Transport and Land-Use Integration</w:t>
            </w:r>
          </w:p>
          <w:p w14:paraId="62EA63A1" w14:textId="77777777" w:rsidR="00250358" w:rsidRPr="00116E61" w:rsidRDefault="00250358" w:rsidP="00F774F2">
            <w:pPr>
              <w:pStyle w:val="STPR2TableBullets"/>
              <w:spacing w:before="40" w:after="40"/>
            </w:pPr>
            <w:r w:rsidRPr="00116E61">
              <w:t>Policy Integration</w:t>
            </w:r>
          </w:p>
        </w:tc>
        <w:tc>
          <w:tcPr>
            <w:tcW w:w="810" w:type="pct"/>
            <w:vMerge w:val="restart"/>
            <w:shd w:val="clear" w:color="auto" w:fill="DCEDC6"/>
          </w:tcPr>
          <w:p w14:paraId="09BF92CA" w14:textId="0B30D296" w:rsidR="00250358" w:rsidRPr="00601FFE" w:rsidRDefault="00250358" w:rsidP="00F774F2">
            <w:pPr>
              <w:pStyle w:val="STPR2TableBody"/>
              <w:spacing w:before="40" w:after="40"/>
            </w:pPr>
            <w:r w:rsidRPr="00601FFE">
              <w:t>Equality and Accessibility</w:t>
            </w:r>
          </w:p>
        </w:tc>
        <w:tc>
          <w:tcPr>
            <w:tcW w:w="1912" w:type="pct"/>
            <w:vMerge w:val="restart"/>
            <w:shd w:val="clear" w:color="auto" w:fill="DCEDC6"/>
          </w:tcPr>
          <w:p w14:paraId="156F12BF" w14:textId="77777777" w:rsidR="00250358" w:rsidRPr="00F774F2" w:rsidRDefault="00250358" w:rsidP="00F774F2">
            <w:pPr>
              <w:pStyle w:val="STPR2TableBullets"/>
              <w:spacing w:before="40" w:after="40"/>
            </w:pPr>
            <w:r w:rsidRPr="00F774F2">
              <w:t>Public Transport Network Coverage</w:t>
            </w:r>
          </w:p>
          <w:p w14:paraId="612EE82D" w14:textId="77777777" w:rsidR="00250358" w:rsidRPr="00F774F2" w:rsidRDefault="00250358" w:rsidP="00F774F2">
            <w:pPr>
              <w:pStyle w:val="STPR2TableBullets"/>
              <w:spacing w:before="40" w:after="40"/>
            </w:pPr>
            <w:r w:rsidRPr="00F774F2">
              <w:t>Active Travel Network Coverage</w:t>
            </w:r>
          </w:p>
          <w:p w14:paraId="5F8DE86D" w14:textId="77777777" w:rsidR="00250358" w:rsidRPr="00F774F2" w:rsidRDefault="00250358" w:rsidP="00F774F2">
            <w:pPr>
              <w:pStyle w:val="STPR2TableBullets"/>
              <w:spacing w:before="40" w:after="40"/>
            </w:pPr>
            <w:r w:rsidRPr="00F774F2">
              <w:t>Comparative Access by People Group</w:t>
            </w:r>
          </w:p>
          <w:p w14:paraId="621A94E2" w14:textId="77777777" w:rsidR="00250358" w:rsidRPr="00F774F2" w:rsidRDefault="00250358" w:rsidP="00F774F2">
            <w:pPr>
              <w:pStyle w:val="STPR2TableBullets"/>
              <w:spacing w:before="40" w:after="40"/>
            </w:pPr>
            <w:r w:rsidRPr="00F774F2">
              <w:t>Comparative Access by Geographic Location</w:t>
            </w:r>
          </w:p>
          <w:p w14:paraId="30CE8289" w14:textId="77777777" w:rsidR="00250358" w:rsidRPr="00F774F2" w:rsidRDefault="00250358" w:rsidP="00F774F2">
            <w:pPr>
              <w:pStyle w:val="STPR2TableBullets"/>
              <w:spacing w:before="40" w:after="40"/>
            </w:pPr>
            <w:r w:rsidRPr="00F774F2">
              <w:t>Affordability</w:t>
            </w:r>
          </w:p>
        </w:tc>
      </w:tr>
      <w:tr w:rsidR="00250358" w14:paraId="78A3FFED" w14:textId="77777777" w:rsidTr="00116E61">
        <w:tc>
          <w:tcPr>
            <w:tcW w:w="707" w:type="pct"/>
            <w:shd w:val="clear" w:color="auto" w:fill="DCEDC6"/>
          </w:tcPr>
          <w:p w14:paraId="2F78307A" w14:textId="77777777" w:rsidR="00250358" w:rsidRPr="00116E61" w:rsidRDefault="00250358" w:rsidP="00F774F2">
            <w:pPr>
              <w:pStyle w:val="STPR2TableBody"/>
              <w:spacing w:before="40" w:after="40"/>
            </w:pPr>
            <w:r w:rsidRPr="00116E61">
              <w:t>Accessibility and Social Inclusion</w:t>
            </w:r>
          </w:p>
        </w:tc>
        <w:tc>
          <w:tcPr>
            <w:tcW w:w="1570" w:type="pct"/>
            <w:shd w:val="clear" w:color="auto" w:fill="DCEDC6"/>
          </w:tcPr>
          <w:p w14:paraId="30E8813A" w14:textId="77777777" w:rsidR="00250358" w:rsidRPr="00116E61" w:rsidRDefault="00250358" w:rsidP="00F774F2">
            <w:pPr>
              <w:pStyle w:val="STPR2TableBullets"/>
              <w:spacing w:before="40" w:after="40"/>
            </w:pPr>
            <w:r w:rsidRPr="00116E61">
              <w:t>Community Accessibility (Public Transport Network Coverage; Local Accessibility)</w:t>
            </w:r>
          </w:p>
          <w:p w14:paraId="62B25DCB" w14:textId="77777777" w:rsidR="00250358" w:rsidRPr="00116E61" w:rsidRDefault="00250358" w:rsidP="00F774F2">
            <w:pPr>
              <w:pStyle w:val="STPR2TableBullets"/>
              <w:spacing w:before="40" w:after="40"/>
            </w:pPr>
            <w:r w:rsidRPr="00116E61">
              <w:t>Comparative Accessibility (by People Group and Geographic Location)</w:t>
            </w:r>
          </w:p>
        </w:tc>
        <w:tc>
          <w:tcPr>
            <w:tcW w:w="810" w:type="pct"/>
            <w:vMerge/>
            <w:shd w:val="clear" w:color="auto" w:fill="DCEDC6"/>
          </w:tcPr>
          <w:p w14:paraId="6FC518C6" w14:textId="77777777" w:rsidR="00250358" w:rsidRPr="00601FFE" w:rsidRDefault="00250358" w:rsidP="00F774F2">
            <w:pPr>
              <w:spacing w:before="40" w:after="40"/>
              <w:rPr>
                <w:rFonts w:ascii="Arial" w:hAnsi="Arial" w:cs="Arial"/>
              </w:rPr>
            </w:pPr>
          </w:p>
        </w:tc>
        <w:tc>
          <w:tcPr>
            <w:tcW w:w="1912" w:type="pct"/>
            <w:vMerge/>
            <w:shd w:val="clear" w:color="auto" w:fill="DCEDC6"/>
          </w:tcPr>
          <w:p w14:paraId="77545093" w14:textId="77777777" w:rsidR="00250358" w:rsidRPr="00601FFE" w:rsidRDefault="00250358" w:rsidP="00F774F2">
            <w:pPr>
              <w:spacing w:before="40" w:after="40"/>
              <w:rPr>
                <w:rFonts w:ascii="Arial" w:hAnsi="Arial" w:cs="Arial"/>
              </w:rPr>
            </w:pPr>
          </w:p>
        </w:tc>
      </w:tr>
    </w:tbl>
    <w:p w14:paraId="7FFD0423" w14:textId="77777777" w:rsidR="00250358" w:rsidRPr="00D5189F" w:rsidRDefault="00250358" w:rsidP="00250358">
      <w:pPr>
        <w:rPr>
          <w:rFonts w:ascii="Arial" w:hAnsi="Arial" w:cs="Arial"/>
          <w:sz w:val="24"/>
          <w:szCs w:val="24"/>
          <w:lang w:val="en-GB"/>
        </w:rPr>
      </w:pPr>
    </w:p>
    <w:sectPr w:rsidR="00250358" w:rsidRPr="00D5189F" w:rsidSect="00116E61">
      <w:headerReference w:type="even" r:id="rId14"/>
      <w:headerReference w:type="default" r:id="rId15"/>
      <w:footerReference w:type="even" r:id="rId16"/>
      <w:footerReference w:type="default" r:id="rId17"/>
      <w:headerReference w:type="first" r:id="rId18"/>
      <w:footerReference w:type="first" r:id="rId19"/>
      <w:pgSz w:w="11906" w:h="16838" w:code="9"/>
      <w:pgMar w:top="1699" w:right="1138" w:bottom="1138" w:left="1138" w:header="461"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6422" w14:textId="77777777" w:rsidR="00117E9B" w:rsidRDefault="00117E9B" w:rsidP="009D3582">
      <w:pPr>
        <w:spacing w:after="0" w:line="240" w:lineRule="auto"/>
      </w:pPr>
      <w:r>
        <w:separator/>
      </w:r>
    </w:p>
  </w:endnote>
  <w:endnote w:type="continuationSeparator" w:id="0">
    <w:p w14:paraId="2032E952" w14:textId="77777777" w:rsidR="00117E9B" w:rsidRDefault="00117E9B" w:rsidP="009D3582">
      <w:pPr>
        <w:spacing w:after="0" w:line="240" w:lineRule="auto"/>
      </w:pPr>
      <w:r>
        <w:continuationSeparator/>
      </w:r>
    </w:p>
  </w:endnote>
  <w:endnote w:type="continuationNotice" w:id="1">
    <w:p w14:paraId="6262A693" w14:textId="77777777" w:rsidR="00117E9B" w:rsidRDefault="00117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Light">
    <w:altName w:val="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Jacobs Chronos">
    <w:charset w:val="00"/>
    <w:family w:val="swiss"/>
    <w:pitch w:val="variable"/>
    <w:sig w:usb0="A00000EF" w:usb1="0000E0E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12"/>
      <w:gridCol w:w="1277"/>
      <w:gridCol w:w="4241"/>
    </w:tblGrid>
    <w:tr w:rsidR="00642B24" w14:paraId="0D224181" w14:textId="77777777" w:rsidTr="009B19D6">
      <w:tc>
        <w:tcPr>
          <w:tcW w:w="2135" w:type="pct"/>
        </w:tcPr>
        <w:p w14:paraId="6AE8ED37" w14:textId="77777777" w:rsidR="00642B24" w:rsidRPr="00984B20" w:rsidRDefault="00642B24" w:rsidP="00642B24">
          <w:pPr>
            <w:pStyle w:val="Footer"/>
          </w:pPr>
          <w:r w:rsidRPr="00984B20">
            <w:t>Strategic Transport Projects Review (STPR2) Consultancy Support Services Contract</w:t>
          </w:r>
        </w:p>
      </w:tc>
      <w:tc>
        <w:tcPr>
          <w:tcW w:w="663" w:type="pct"/>
          <w:vAlign w:val="center"/>
        </w:tcPr>
        <w:p w14:paraId="04E151B8" w14:textId="77777777" w:rsidR="00642B24" w:rsidRDefault="00642B24" w:rsidP="00642B24">
          <w:pPr>
            <w:pStyle w:val="Footer"/>
          </w:pPr>
          <w:r>
            <w:t xml:space="preserve">Page </w:t>
          </w:r>
          <w:r>
            <w:fldChar w:fldCharType="begin"/>
          </w:r>
          <w:r>
            <w:instrText xml:space="preserve"> PAGE   \* MERGEFORMAT </w:instrText>
          </w:r>
          <w:r>
            <w:fldChar w:fldCharType="separate"/>
          </w:r>
          <w:r>
            <w:t>8</w:t>
          </w:r>
          <w:r>
            <w:rPr>
              <w:noProof/>
            </w:rPr>
            <w:fldChar w:fldCharType="end"/>
          </w:r>
        </w:p>
      </w:tc>
      <w:tc>
        <w:tcPr>
          <w:tcW w:w="2202" w:type="pct"/>
          <w:vAlign w:val="center"/>
        </w:tcPr>
        <w:p w14:paraId="5308A156" w14:textId="77777777" w:rsidR="00642B24" w:rsidRDefault="00642B24" w:rsidP="00642B24">
          <w:pPr>
            <w:pStyle w:val="Footer"/>
          </w:pPr>
          <w:r>
            <w:rPr>
              <w:noProof/>
            </w:rPr>
            <w:drawing>
              <wp:anchor distT="0" distB="0" distL="114300" distR="114300" simplePos="0" relativeHeight="251659264" behindDoc="1" locked="0" layoutInCell="1" allowOverlap="0" wp14:anchorId="4E7B9B8A" wp14:editId="770ACA15">
                <wp:simplePos x="4206240" y="9809018"/>
                <wp:positionH relativeFrom="margin">
                  <wp:align>right</wp:align>
                </wp:positionH>
                <wp:positionV relativeFrom="paragraph">
                  <wp:posOffset>0</wp:posOffset>
                </wp:positionV>
                <wp:extent cx="1618488" cy="182880"/>
                <wp:effectExtent l="0" t="0" r="1270" b="7620"/>
                <wp:wrapTight wrapText="bothSides">
                  <wp:wrapPolygon edited="0">
                    <wp:start x="1017" y="0"/>
                    <wp:lineTo x="254" y="13500"/>
                    <wp:lineTo x="509" y="20250"/>
                    <wp:lineTo x="21363" y="20250"/>
                    <wp:lineTo x="21363" y="2250"/>
                    <wp:lineTo x="8647" y="0"/>
                    <wp:lineTo x="1017"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stretch>
                          <a:fillRect/>
                        </a:stretch>
                      </pic:blipFill>
                      <pic:spPr>
                        <a:xfrm>
                          <a:off x="0" y="0"/>
                          <a:ext cx="1618488" cy="182880"/>
                        </a:xfrm>
                        <a:prstGeom prst="rect">
                          <a:avLst/>
                        </a:prstGeom>
                      </pic:spPr>
                    </pic:pic>
                  </a:graphicData>
                </a:graphic>
                <wp14:sizeRelH relativeFrom="margin">
                  <wp14:pctWidth>0</wp14:pctWidth>
                </wp14:sizeRelH>
                <wp14:sizeRelV relativeFrom="margin">
                  <wp14:pctHeight>0</wp14:pctHeight>
                </wp14:sizeRelV>
              </wp:anchor>
            </w:drawing>
          </w:r>
        </w:p>
      </w:tc>
    </w:tr>
  </w:tbl>
  <w:p w14:paraId="76379C7F" w14:textId="77777777" w:rsidR="00642B24" w:rsidRPr="00AC7FD5" w:rsidRDefault="00642B24" w:rsidP="0064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9D7C" w14:textId="77777777" w:rsidR="001A7459" w:rsidRDefault="001A7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12"/>
      <w:gridCol w:w="1277"/>
      <w:gridCol w:w="4241"/>
    </w:tblGrid>
    <w:tr w:rsidR="00642B24" w14:paraId="0EB6B1AF" w14:textId="77777777" w:rsidTr="009B19D6">
      <w:tc>
        <w:tcPr>
          <w:tcW w:w="2135" w:type="pct"/>
        </w:tcPr>
        <w:p w14:paraId="2C168E92" w14:textId="77777777" w:rsidR="00642B24" w:rsidRPr="00984B20" w:rsidRDefault="00642B24" w:rsidP="00642B24">
          <w:pPr>
            <w:pStyle w:val="Footer"/>
          </w:pPr>
          <w:r w:rsidRPr="00984B20">
            <w:t>Strategic Transport Projects Review (STPR2) Consultancy Support Services Contract</w:t>
          </w:r>
        </w:p>
      </w:tc>
      <w:tc>
        <w:tcPr>
          <w:tcW w:w="663" w:type="pct"/>
          <w:vAlign w:val="center"/>
        </w:tcPr>
        <w:p w14:paraId="78684C14" w14:textId="77777777" w:rsidR="00642B24" w:rsidRDefault="00642B24" w:rsidP="00642B24">
          <w:pPr>
            <w:pStyle w:val="Footer"/>
          </w:pPr>
          <w:r>
            <w:t xml:space="preserve">Page </w:t>
          </w:r>
          <w:r>
            <w:fldChar w:fldCharType="begin"/>
          </w:r>
          <w:r>
            <w:instrText xml:space="preserve"> PAGE   \* MERGEFORMAT </w:instrText>
          </w:r>
          <w:r>
            <w:fldChar w:fldCharType="separate"/>
          </w:r>
          <w:r>
            <w:t>13</w:t>
          </w:r>
          <w:r>
            <w:rPr>
              <w:noProof/>
            </w:rPr>
            <w:fldChar w:fldCharType="end"/>
          </w:r>
        </w:p>
      </w:tc>
      <w:tc>
        <w:tcPr>
          <w:tcW w:w="2202" w:type="pct"/>
          <w:vAlign w:val="center"/>
        </w:tcPr>
        <w:p w14:paraId="543BA1B0" w14:textId="77777777" w:rsidR="00642B24" w:rsidRDefault="00642B24" w:rsidP="00642B24">
          <w:pPr>
            <w:pStyle w:val="Footer"/>
          </w:pPr>
          <w:r>
            <w:rPr>
              <w:noProof/>
            </w:rPr>
            <w:drawing>
              <wp:anchor distT="0" distB="0" distL="114300" distR="114300" simplePos="0" relativeHeight="251661312" behindDoc="1" locked="0" layoutInCell="1" allowOverlap="0" wp14:anchorId="3EFFD98E" wp14:editId="7849F7B2">
                <wp:simplePos x="4206240" y="9809018"/>
                <wp:positionH relativeFrom="margin">
                  <wp:align>right</wp:align>
                </wp:positionH>
                <wp:positionV relativeFrom="paragraph">
                  <wp:posOffset>0</wp:posOffset>
                </wp:positionV>
                <wp:extent cx="1618488" cy="182880"/>
                <wp:effectExtent l="0" t="0" r="1270" b="7620"/>
                <wp:wrapTight wrapText="bothSides">
                  <wp:wrapPolygon edited="0">
                    <wp:start x="1017" y="0"/>
                    <wp:lineTo x="254" y="13500"/>
                    <wp:lineTo x="509" y="20250"/>
                    <wp:lineTo x="21363" y="20250"/>
                    <wp:lineTo x="21363" y="2250"/>
                    <wp:lineTo x="8647" y="0"/>
                    <wp:lineTo x="1017"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stretch>
                          <a:fillRect/>
                        </a:stretch>
                      </pic:blipFill>
                      <pic:spPr>
                        <a:xfrm>
                          <a:off x="0" y="0"/>
                          <a:ext cx="1618488" cy="182880"/>
                        </a:xfrm>
                        <a:prstGeom prst="rect">
                          <a:avLst/>
                        </a:prstGeom>
                      </pic:spPr>
                    </pic:pic>
                  </a:graphicData>
                </a:graphic>
                <wp14:sizeRelH relativeFrom="margin">
                  <wp14:pctWidth>0</wp14:pctWidth>
                </wp14:sizeRelH>
                <wp14:sizeRelV relativeFrom="margin">
                  <wp14:pctHeight>0</wp14:pctHeight>
                </wp14:sizeRelV>
              </wp:anchor>
            </w:drawing>
          </w:r>
        </w:p>
      </w:tc>
    </w:tr>
  </w:tbl>
  <w:p w14:paraId="11CB4AC3" w14:textId="77777777" w:rsidR="00642B24" w:rsidRPr="00AC7FD5" w:rsidRDefault="00642B24" w:rsidP="00642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FC8D" w14:textId="77777777" w:rsidR="001A7459" w:rsidRDefault="001A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3303" w14:textId="77777777" w:rsidR="00117E9B" w:rsidRDefault="00117E9B" w:rsidP="009D3582">
      <w:pPr>
        <w:spacing w:after="0" w:line="240" w:lineRule="auto"/>
      </w:pPr>
      <w:r>
        <w:separator/>
      </w:r>
    </w:p>
  </w:footnote>
  <w:footnote w:type="continuationSeparator" w:id="0">
    <w:p w14:paraId="4A750733" w14:textId="77777777" w:rsidR="00117E9B" w:rsidRDefault="00117E9B" w:rsidP="009D3582">
      <w:pPr>
        <w:spacing w:after="0" w:line="240" w:lineRule="auto"/>
      </w:pPr>
      <w:r>
        <w:continuationSeparator/>
      </w:r>
    </w:p>
  </w:footnote>
  <w:footnote w:type="continuationNotice" w:id="1">
    <w:p w14:paraId="1011FB0D" w14:textId="77777777" w:rsidR="00117E9B" w:rsidRDefault="00117E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419"/>
      <w:gridCol w:w="3211"/>
    </w:tblGrid>
    <w:tr w:rsidR="00642B24" w14:paraId="6ED3B214" w14:textId="77777777" w:rsidTr="009B19D6">
      <w:tc>
        <w:tcPr>
          <w:tcW w:w="3333" w:type="pct"/>
          <w:vAlign w:val="center"/>
        </w:tcPr>
        <w:p w14:paraId="1E64669D" w14:textId="77777777" w:rsidR="00642B24" w:rsidRPr="00642B24" w:rsidRDefault="00642B24" w:rsidP="00642B24">
          <w:pPr>
            <w:pStyle w:val="Header"/>
            <w:ind w:left="-103"/>
            <w:rPr>
              <w:rFonts w:ascii="Arial" w:hAnsi="Arial" w:cs="Arial"/>
              <w:b/>
              <w:bCs/>
              <w:sz w:val="18"/>
              <w:szCs w:val="18"/>
            </w:rPr>
          </w:pPr>
          <w:r w:rsidRPr="00642B24">
            <w:rPr>
              <w:rFonts w:ascii="Arial" w:hAnsi="Arial" w:cs="Arial"/>
              <w:b/>
              <w:bCs/>
              <w:sz w:val="18"/>
              <w:szCs w:val="18"/>
            </w:rPr>
            <w:t>Strategic Transport Projects Review 2</w:t>
          </w:r>
        </w:p>
      </w:tc>
      <w:tc>
        <w:tcPr>
          <w:tcW w:w="1667" w:type="pct"/>
        </w:tcPr>
        <w:p w14:paraId="0CC14DD6" w14:textId="77777777" w:rsidR="00642B24" w:rsidRDefault="00642B24" w:rsidP="00642B24">
          <w:pPr>
            <w:pStyle w:val="Header"/>
            <w:jc w:val="right"/>
          </w:pPr>
          <w:r>
            <w:rPr>
              <w:noProof/>
            </w:rPr>
            <w:drawing>
              <wp:inline distT="0" distB="0" distL="0" distR="0" wp14:anchorId="68BD3C8E" wp14:editId="3EC8F1D9">
                <wp:extent cx="1564640" cy="719455"/>
                <wp:effectExtent l="0" t="0" r="0" b="4445"/>
                <wp:docPr id="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a:extLst>
                            <a:ext uri="{C183D7F6-B498-43B3-948B-1728B52AA6E4}">
                              <adec:decorative xmlns:adec="http://schemas.microsoft.com/office/drawing/2017/decorative" val="1"/>
                            </a:ext>
                          </a:extLst>
                        </pic:cNvPr>
                        <pic:cNvPicPr/>
                      </pic:nvPicPr>
                      <pic:blipFill rotWithShape="1">
                        <a:blip r:embed="rId1"/>
                        <a:srcRect l="8216" t="7723" r="8381" b="7310"/>
                        <a:stretch/>
                      </pic:blipFill>
                      <pic:spPr bwMode="auto">
                        <a:xfrm>
                          <a:off x="0" y="0"/>
                          <a:ext cx="1564640" cy="7194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A6390F7" w14:textId="77777777" w:rsidR="00642B24" w:rsidRPr="00AC7FD5" w:rsidRDefault="00642B24" w:rsidP="00642B2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B685" w14:textId="77777777" w:rsidR="001A7459" w:rsidRDefault="001A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419"/>
      <w:gridCol w:w="3211"/>
    </w:tblGrid>
    <w:tr w:rsidR="00642B24" w14:paraId="1BDEFB25" w14:textId="77777777" w:rsidTr="009B19D6">
      <w:tc>
        <w:tcPr>
          <w:tcW w:w="3333" w:type="pct"/>
          <w:vAlign w:val="center"/>
        </w:tcPr>
        <w:p w14:paraId="55C3229C" w14:textId="77777777" w:rsidR="00642B24" w:rsidRPr="00642B24" w:rsidRDefault="00642B24" w:rsidP="00642B24">
          <w:pPr>
            <w:pStyle w:val="Header"/>
            <w:ind w:left="-103"/>
            <w:rPr>
              <w:rFonts w:ascii="Arial" w:hAnsi="Arial" w:cs="Arial"/>
              <w:b/>
              <w:bCs/>
              <w:sz w:val="18"/>
              <w:szCs w:val="18"/>
            </w:rPr>
          </w:pPr>
          <w:r w:rsidRPr="00642B24">
            <w:rPr>
              <w:rFonts w:ascii="Arial" w:hAnsi="Arial" w:cs="Arial"/>
              <w:b/>
              <w:bCs/>
              <w:sz w:val="18"/>
              <w:szCs w:val="18"/>
            </w:rPr>
            <w:t>Strategic Transport Projects Review 2</w:t>
          </w:r>
        </w:p>
      </w:tc>
      <w:tc>
        <w:tcPr>
          <w:tcW w:w="1667" w:type="pct"/>
        </w:tcPr>
        <w:p w14:paraId="3A139244" w14:textId="77777777" w:rsidR="00642B24" w:rsidRDefault="00642B24" w:rsidP="00642B24">
          <w:pPr>
            <w:pStyle w:val="Header"/>
            <w:jc w:val="right"/>
          </w:pPr>
          <w:r>
            <w:rPr>
              <w:noProof/>
            </w:rPr>
            <w:drawing>
              <wp:inline distT="0" distB="0" distL="0" distR="0" wp14:anchorId="6D9D1413" wp14:editId="3E180594">
                <wp:extent cx="1564640" cy="719455"/>
                <wp:effectExtent l="0" t="0" r="0" b="4445"/>
                <wp:docPr id="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a:extLst>
                            <a:ext uri="{C183D7F6-B498-43B3-948B-1728B52AA6E4}">
                              <adec:decorative xmlns:adec="http://schemas.microsoft.com/office/drawing/2017/decorative" val="1"/>
                            </a:ext>
                          </a:extLst>
                        </pic:cNvPr>
                        <pic:cNvPicPr/>
                      </pic:nvPicPr>
                      <pic:blipFill rotWithShape="1">
                        <a:blip r:embed="rId1"/>
                        <a:srcRect l="8216" t="7723" r="8381" b="7310"/>
                        <a:stretch/>
                      </pic:blipFill>
                      <pic:spPr bwMode="auto">
                        <a:xfrm>
                          <a:off x="0" y="0"/>
                          <a:ext cx="1564640" cy="7194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557602" w14:textId="77777777" w:rsidR="00642B24" w:rsidRPr="00AC7FD5" w:rsidRDefault="00642B24" w:rsidP="00642B24">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83DF" w14:textId="77777777" w:rsidR="001A7459" w:rsidRDefault="001A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C7D"/>
    <w:multiLevelType w:val="hybridMultilevel"/>
    <w:tmpl w:val="AA12E2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306"/>
    <w:multiLevelType w:val="multilevel"/>
    <w:tmpl w:val="8D34A57E"/>
    <w:lvl w:ilvl="0">
      <w:start w:val="1"/>
      <w:numFmt w:val="decimal"/>
      <w:pStyle w:val="TOC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162757"/>
    <w:multiLevelType w:val="hybridMultilevel"/>
    <w:tmpl w:val="E35032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67AE"/>
    <w:multiLevelType w:val="multilevel"/>
    <w:tmpl w:val="368E3026"/>
    <w:lvl w:ilvl="0">
      <w:start w:val="1"/>
      <w:numFmt w:val="upperLetter"/>
      <w:pStyle w:val="STPR2AppendicesHeading1"/>
      <w:lvlText w:val="Appendix %1:"/>
      <w:lvlJc w:val="left"/>
      <w:pPr>
        <w:tabs>
          <w:tab w:val="num" w:pos="2160"/>
        </w:tabs>
        <w:ind w:left="2160" w:hanging="2160"/>
      </w:pPr>
      <w:rPr>
        <w:rFonts w:hint="default"/>
      </w:rPr>
    </w:lvl>
    <w:lvl w:ilvl="1">
      <w:start w:val="1"/>
      <w:numFmt w:val="decimal"/>
      <w:pStyle w:val="Heading2"/>
      <w:lvlText w:val="%1.%2."/>
      <w:lvlJc w:val="left"/>
      <w:pPr>
        <w:tabs>
          <w:tab w:val="num" w:pos="720"/>
        </w:tabs>
        <w:ind w:left="720" w:hanging="720"/>
      </w:pPr>
      <w:rPr>
        <w:rFonts w:ascii="Arial" w:hAnsi="Arial" w:hint="default"/>
        <w:b/>
        <w:bCs/>
        <w:color w:val="414144"/>
        <w:sz w:val="28"/>
        <w:szCs w:val="28"/>
      </w:rPr>
    </w:lvl>
    <w:lvl w:ilvl="2">
      <w:start w:val="1"/>
      <w:numFmt w:val="decimal"/>
      <w:pStyle w:val="Heading3"/>
      <w:lvlText w:val="%1.%2.%3."/>
      <w:lvlJc w:val="left"/>
      <w:pPr>
        <w:tabs>
          <w:tab w:val="num" w:pos="864"/>
        </w:tabs>
        <w:ind w:left="864" w:hanging="864"/>
      </w:pPr>
      <w:rPr>
        <w:rFonts w:ascii="Arial" w:hAnsi="Arial" w:cs="Arial"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36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993DB0"/>
    <w:multiLevelType w:val="multilevel"/>
    <w:tmpl w:val="379E1736"/>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b/>
        <w:bCs/>
        <w:color w:val="414144"/>
        <w:sz w:val="28"/>
        <w:szCs w:val="28"/>
      </w:rPr>
    </w:lvl>
    <w:lvl w:ilvl="2">
      <w:start w:val="1"/>
      <w:numFmt w:val="decimal"/>
      <w:lvlText w:val="%1.%2.%3."/>
      <w:lvlJc w:val="left"/>
      <w:pPr>
        <w:tabs>
          <w:tab w:val="num" w:pos="864"/>
        </w:tabs>
        <w:ind w:left="864" w:hanging="864"/>
      </w:pPr>
      <w:rPr>
        <w:rFonts w:ascii="Arial" w:hAnsi="Arial" w:cs="Arial"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360"/>
        </w:tabs>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34FAD"/>
    <w:multiLevelType w:val="hybridMultilevel"/>
    <w:tmpl w:val="D10402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3A7D"/>
    <w:multiLevelType w:val="hybridMultilevel"/>
    <w:tmpl w:val="05283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56F3F"/>
    <w:multiLevelType w:val="hybridMultilevel"/>
    <w:tmpl w:val="7AFA4F3A"/>
    <w:lvl w:ilvl="0" w:tplc="35BE4A2E">
      <w:start w:val="1"/>
      <w:numFmt w:val="decimal"/>
      <w:pStyle w:val="STPR2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B3A74"/>
    <w:multiLevelType w:val="hybridMultilevel"/>
    <w:tmpl w:val="727205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024D5"/>
    <w:multiLevelType w:val="hybridMultilevel"/>
    <w:tmpl w:val="4DD6A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F042F"/>
    <w:multiLevelType w:val="hybridMultilevel"/>
    <w:tmpl w:val="561AA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B4012"/>
    <w:multiLevelType w:val="hybridMultilevel"/>
    <w:tmpl w:val="86FA9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9644AE6">
      <w:numFmt w:val="bullet"/>
      <w:lvlText w:val="·"/>
      <w:lvlJc w:val="left"/>
      <w:pPr>
        <w:ind w:left="2160" w:hanging="360"/>
      </w:pPr>
      <w:rPr>
        <w:rFonts w:ascii="SymbolMT" w:eastAsiaTheme="minorEastAsia" w:hAnsi="SymbolMT" w:cs="SymbolM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3E07"/>
    <w:multiLevelType w:val="hybridMultilevel"/>
    <w:tmpl w:val="7A5EFC14"/>
    <w:lvl w:ilvl="0" w:tplc="2566048A">
      <w:numFmt w:val="bullet"/>
      <w:lvlText w:val=""/>
      <w:lvlJc w:val="left"/>
      <w:pPr>
        <w:ind w:left="1632" w:hanging="1272"/>
      </w:pPr>
      <w:rPr>
        <w:rFonts w:ascii="Symbol" w:eastAsiaTheme="minorHAnsi" w:hAnsi="Symbol" w:cs="Courier New"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40056"/>
    <w:multiLevelType w:val="hybridMultilevel"/>
    <w:tmpl w:val="2C729E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4570F"/>
    <w:multiLevelType w:val="multilevel"/>
    <w:tmpl w:val="06322676"/>
    <w:lvl w:ilvl="0">
      <w:start w:val="1"/>
      <w:numFmt w:val="upperLetter"/>
      <w:lvlRestart w:val="0"/>
      <w:pStyle w:val="Appendix"/>
      <w:suff w:val="space"/>
      <w:lvlText w:val="Appendix %1"/>
      <w:lvlJc w:val="left"/>
      <w:pPr>
        <w:ind w:left="0" w:firstLine="0"/>
      </w:pPr>
      <w:rPr>
        <w:rFonts w:hint="default"/>
      </w:rPr>
    </w:lvl>
    <w:lvl w:ilvl="1">
      <w:start w:val="1"/>
      <w:numFmt w:val="decimal"/>
      <w:pStyle w:val="AppendixHeading2"/>
      <w:lvlText w:val="%1.%2"/>
      <w:lvlJc w:val="left"/>
      <w:pPr>
        <w:ind w:left="357" w:hanging="357"/>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850" w:hanging="850"/>
      </w:pPr>
      <w:rPr>
        <w:rFonts w:hint="default"/>
      </w:rPr>
    </w:lvl>
    <w:lvl w:ilvl="5">
      <w:start w:val="1"/>
      <w:numFmt w:val="decimal"/>
      <w:lvlText w:val="%1.%2.%3.%4.%5.%6"/>
      <w:lvlJc w:val="left"/>
      <w:pPr>
        <w:ind w:left="850" w:hanging="850"/>
      </w:pPr>
      <w:rPr>
        <w:rFonts w:hint="default"/>
      </w:rPr>
    </w:lvl>
    <w:lvl w:ilvl="6">
      <w:start w:val="1"/>
      <w:numFmt w:val="none"/>
      <w:lvlText w:val=""/>
      <w:lvlJc w:val="left"/>
      <w:pPr>
        <w:ind w:left="850" w:hanging="850"/>
      </w:pPr>
      <w:rPr>
        <w:rFonts w:hint="default"/>
      </w:rPr>
    </w:lvl>
    <w:lvl w:ilvl="7">
      <w:start w:val="1"/>
      <w:numFmt w:val="lowerLetter"/>
      <w:lvlText w:val="%8."/>
      <w:lvlJc w:val="left"/>
      <w:pPr>
        <w:ind w:left="850" w:hanging="850"/>
      </w:pPr>
      <w:rPr>
        <w:rFonts w:hint="default"/>
      </w:rPr>
    </w:lvl>
    <w:lvl w:ilvl="8">
      <w:start w:val="1"/>
      <w:numFmt w:val="lowerRoman"/>
      <w:lvlText w:val="%9."/>
      <w:lvlJc w:val="left"/>
      <w:pPr>
        <w:ind w:left="850" w:hanging="850"/>
      </w:pPr>
      <w:rPr>
        <w:rFonts w:hint="default"/>
      </w:rPr>
    </w:lvl>
  </w:abstractNum>
  <w:abstractNum w:abstractNumId="15" w15:restartNumberingAfterBreak="0">
    <w:nsid w:val="410A599D"/>
    <w:multiLevelType w:val="hybridMultilevel"/>
    <w:tmpl w:val="28E42F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43188"/>
    <w:multiLevelType w:val="hybridMultilevel"/>
    <w:tmpl w:val="BCC090C4"/>
    <w:lvl w:ilvl="0" w:tplc="11C2942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Yu Mincho Light" w:hAnsi="Yu Mincho Light" w:cs="Yu Mincho Light" w:hint="default"/>
      </w:rPr>
    </w:lvl>
    <w:lvl w:ilvl="2" w:tplc="08090005" w:tentative="1">
      <w:start w:val="1"/>
      <w:numFmt w:val="bullet"/>
      <w:lvlText w:val=""/>
      <w:lvlJc w:val="left"/>
      <w:pPr>
        <w:ind w:left="1800" w:hanging="360"/>
      </w:pPr>
      <w:rPr>
        <w:rFonts w:ascii="Yu Mincho Light" w:hAnsi="Yu Mincho Light" w:hint="default"/>
      </w:rPr>
    </w:lvl>
    <w:lvl w:ilvl="3" w:tplc="08090001" w:tentative="1">
      <w:start w:val="1"/>
      <w:numFmt w:val="bullet"/>
      <w:lvlText w:val=""/>
      <w:lvlJc w:val="left"/>
      <w:pPr>
        <w:ind w:left="2520" w:hanging="360"/>
      </w:pPr>
      <w:rPr>
        <w:rFonts w:ascii="Cambria Math" w:hAnsi="Cambria Math" w:hint="default"/>
      </w:rPr>
    </w:lvl>
    <w:lvl w:ilvl="4" w:tplc="08090003" w:tentative="1">
      <w:start w:val="1"/>
      <w:numFmt w:val="bullet"/>
      <w:lvlText w:val="o"/>
      <w:lvlJc w:val="left"/>
      <w:pPr>
        <w:ind w:left="3240" w:hanging="360"/>
      </w:pPr>
      <w:rPr>
        <w:rFonts w:ascii="Yu Mincho Light" w:hAnsi="Yu Mincho Light" w:cs="Yu Mincho Light" w:hint="default"/>
      </w:rPr>
    </w:lvl>
    <w:lvl w:ilvl="5" w:tplc="08090005" w:tentative="1">
      <w:start w:val="1"/>
      <w:numFmt w:val="bullet"/>
      <w:lvlText w:val=""/>
      <w:lvlJc w:val="left"/>
      <w:pPr>
        <w:ind w:left="3960" w:hanging="360"/>
      </w:pPr>
      <w:rPr>
        <w:rFonts w:ascii="Yu Mincho Light" w:hAnsi="Yu Mincho Light" w:hint="default"/>
      </w:rPr>
    </w:lvl>
    <w:lvl w:ilvl="6" w:tplc="08090001" w:tentative="1">
      <w:start w:val="1"/>
      <w:numFmt w:val="bullet"/>
      <w:lvlText w:val=""/>
      <w:lvlJc w:val="left"/>
      <w:pPr>
        <w:ind w:left="4680" w:hanging="360"/>
      </w:pPr>
      <w:rPr>
        <w:rFonts w:ascii="Cambria Math" w:hAnsi="Cambria Math" w:hint="default"/>
      </w:rPr>
    </w:lvl>
    <w:lvl w:ilvl="7" w:tplc="08090003" w:tentative="1">
      <w:start w:val="1"/>
      <w:numFmt w:val="bullet"/>
      <w:lvlText w:val="o"/>
      <w:lvlJc w:val="left"/>
      <w:pPr>
        <w:ind w:left="5400" w:hanging="360"/>
      </w:pPr>
      <w:rPr>
        <w:rFonts w:ascii="Yu Mincho Light" w:hAnsi="Yu Mincho Light" w:cs="Yu Mincho Light" w:hint="default"/>
      </w:rPr>
    </w:lvl>
    <w:lvl w:ilvl="8" w:tplc="08090005" w:tentative="1">
      <w:start w:val="1"/>
      <w:numFmt w:val="bullet"/>
      <w:lvlText w:val=""/>
      <w:lvlJc w:val="left"/>
      <w:pPr>
        <w:ind w:left="6120" w:hanging="360"/>
      </w:pPr>
      <w:rPr>
        <w:rFonts w:ascii="Yu Mincho Light" w:hAnsi="Yu Mincho Light" w:hint="default"/>
      </w:rPr>
    </w:lvl>
  </w:abstractNum>
  <w:abstractNum w:abstractNumId="17" w15:restartNumberingAfterBreak="0">
    <w:nsid w:val="4A6542D5"/>
    <w:multiLevelType w:val="hybridMultilevel"/>
    <w:tmpl w:val="4EC09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961BB"/>
    <w:multiLevelType w:val="hybridMultilevel"/>
    <w:tmpl w:val="5E7EA3E4"/>
    <w:lvl w:ilvl="0" w:tplc="24762B84">
      <w:start w:val="1"/>
      <w:numFmt w:val="bullet"/>
      <w:pStyle w:val="STPR2BulletsLevel2"/>
      <w:lvlText w:val="-"/>
      <w:lvlJc w:val="left"/>
      <w:pPr>
        <w:ind w:left="1004" w:hanging="360"/>
      </w:pPr>
      <w:rPr>
        <w:rFonts w:ascii="Yu Mincho Light" w:hAnsi="Yu Mincho Light" w:hint="default"/>
      </w:rPr>
    </w:lvl>
    <w:lvl w:ilvl="1" w:tplc="08090003" w:tentative="1">
      <w:start w:val="1"/>
      <w:numFmt w:val="bullet"/>
      <w:lvlText w:val="o"/>
      <w:lvlJc w:val="left"/>
      <w:pPr>
        <w:ind w:left="1724" w:hanging="360"/>
      </w:pPr>
      <w:rPr>
        <w:rFonts w:ascii="Yu Mincho Light" w:hAnsi="Yu Mincho Light" w:cs="Yu Mincho Light" w:hint="default"/>
      </w:rPr>
    </w:lvl>
    <w:lvl w:ilvl="2" w:tplc="08090005" w:tentative="1">
      <w:start w:val="1"/>
      <w:numFmt w:val="bullet"/>
      <w:lvlText w:val=""/>
      <w:lvlJc w:val="left"/>
      <w:pPr>
        <w:ind w:left="2444" w:hanging="360"/>
      </w:pPr>
      <w:rPr>
        <w:rFonts w:ascii="Yu Mincho Light" w:hAnsi="Yu Mincho Light" w:hint="default"/>
      </w:rPr>
    </w:lvl>
    <w:lvl w:ilvl="3" w:tplc="08090001" w:tentative="1">
      <w:start w:val="1"/>
      <w:numFmt w:val="bullet"/>
      <w:lvlText w:val=""/>
      <w:lvlJc w:val="left"/>
      <w:pPr>
        <w:ind w:left="3164" w:hanging="360"/>
      </w:pPr>
      <w:rPr>
        <w:rFonts w:ascii="Cambria Math" w:hAnsi="Cambria Math" w:hint="default"/>
      </w:rPr>
    </w:lvl>
    <w:lvl w:ilvl="4" w:tplc="08090003" w:tentative="1">
      <w:start w:val="1"/>
      <w:numFmt w:val="bullet"/>
      <w:lvlText w:val="o"/>
      <w:lvlJc w:val="left"/>
      <w:pPr>
        <w:ind w:left="3884" w:hanging="360"/>
      </w:pPr>
      <w:rPr>
        <w:rFonts w:ascii="Yu Mincho Light" w:hAnsi="Yu Mincho Light" w:cs="Yu Mincho Light" w:hint="default"/>
      </w:rPr>
    </w:lvl>
    <w:lvl w:ilvl="5" w:tplc="08090005" w:tentative="1">
      <w:start w:val="1"/>
      <w:numFmt w:val="bullet"/>
      <w:lvlText w:val=""/>
      <w:lvlJc w:val="left"/>
      <w:pPr>
        <w:ind w:left="4604" w:hanging="360"/>
      </w:pPr>
      <w:rPr>
        <w:rFonts w:ascii="Yu Mincho Light" w:hAnsi="Yu Mincho Light" w:hint="default"/>
      </w:rPr>
    </w:lvl>
    <w:lvl w:ilvl="6" w:tplc="08090001" w:tentative="1">
      <w:start w:val="1"/>
      <w:numFmt w:val="bullet"/>
      <w:lvlText w:val=""/>
      <w:lvlJc w:val="left"/>
      <w:pPr>
        <w:ind w:left="5324" w:hanging="360"/>
      </w:pPr>
      <w:rPr>
        <w:rFonts w:ascii="Cambria Math" w:hAnsi="Cambria Math" w:hint="default"/>
      </w:rPr>
    </w:lvl>
    <w:lvl w:ilvl="7" w:tplc="08090003" w:tentative="1">
      <w:start w:val="1"/>
      <w:numFmt w:val="bullet"/>
      <w:lvlText w:val="o"/>
      <w:lvlJc w:val="left"/>
      <w:pPr>
        <w:ind w:left="6044" w:hanging="360"/>
      </w:pPr>
      <w:rPr>
        <w:rFonts w:ascii="Yu Mincho Light" w:hAnsi="Yu Mincho Light" w:cs="Yu Mincho Light" w:hint="default"/>
      </w:rPr>
    </w:lvl>
    <w:lvl w:ilvl="8" w:tplc="08090005" w:tentative="1">
      <w:start w:val="1"/>
      <w:numFmt w:val="bullet"/>
      <w:lvlText w:val=""/>
      <w:lvlJc w:val="left"/>
      <w:pPr>
        <w:ind w:left="6764" w:hanging="360"/>
      </w:pPr>
      <w:rPr>
        <w:rFonts w:ascii="Yu Mincho Light" w:hAnsi="Yu Mincho Light" w:hint="default"/>
      </w:rPr>
    </w:lvl>
  </w:abstractNum>
  <w:abstractNum w:abstractNumId="19" w15:restartNumberingAfterBreak="0">
    <w:nsid w:val="4F7C7FF4"/>
    <w:multiLevelType w:val="hybridMultilevel"/>
    <w:tmpl w:val="1E52B5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7007E"/>
    <w:multiLevelType w:val="hybridMultilevel"/>
    <w:tmpl w:val="0914A9FA"/>
    <w:lvl w:ilvl="0" w:tplc="5F7C936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45D04"/>
    <w:multiLevelType w:val="hybridMultilevel"/>
    <w:tmpl w:val="7CD8F1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F0334"/>
    <w:multiLevelType w:val="hybridMultilevel"/>
    <w:tmpl w:val="05F8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4124C"/>
    <w:multiLevelType w:val="hybridMultilevel"/>
    <w:tmpl w:val="429E33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42F5F"/>
    <w:multiLevelType w:val="hybridMultilevel"/>
    <w:tmpl w:val="0FEC33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C663E"/>
    <w:multiLevelType w:val="hybridMultilevel"/>
    <w:tmpl w:val="60703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2213"/>
    <w:multiLevelType w:val="hybridMultilevel"/>
    <w:tmpl w:val="06DA14BA"/>
    <w:lvl w:ilvl="0" w:tplc="4E743FB0">
      <w:start w:val="1"/>
      <w:numFmt w:val="lowerLetter"/>
      <w:pStyle w:val="STPR2Lett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A14F1D"/>
    <w:multiLevelType w:val="hybridMultilevel"/>
    <w:tmpl w:val="8AF8DE62"/>
    <w:lvl w:ilvl="0" w:tplc="51126E5E">
      <w:start w:val="1"/>
      <w:numFmt w:val="bullet"/>
      <w:pStyle w:val="STPR2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Yu Mincho Light" w:hAnsi="Yu Mincho Light" w:cs="Yu Mincho Light" w:hint="default"/>
      </w:rPr>
    </w:lvl>
    <w:lvl w:ilvl="2" w:tplc="08090005" w:tentative="1">
      <w:start w:val="1"/>
      <w:numFmt w:val="bullet"/>
      <w:lvlText w:val=""/>
      <w:lvlJc w:val="left"/>
      <w:pPr>
        <w:ind w:left="2160" w:hanging="360"/>
      </w:pPr>
      <w:rPr>
        <w:rFonts w:ascii="Yu Mincho Light" w:hAnsi="Yu Mincho Light" w:hint="default"/>
      </w:rPr>
    </w:lvl>
    <w:lvl w:ilvl="3" w:tplc="08090001" w:tentative="1">
      <w:start w:val="1"/>
      <w:numFmt w:val="bullet"/>
      <w:lvlText w:val=""/>
      <w:lvlJc w:val="left"/>
      <w:pPr>
        <w:ind w:left="2880" w:hanging="360"/>
      </w:pPr>
      <w:rPr>
        <w:rFonts w:ascii="Cambria Math" w:hAnsi="Cambria Math" w:hint="default"/>
      </w:rPr>
    </w:lvl>
    <w:lvl w:ilvl="4" w:tplc="08090003" w:tentative="1">
      <w:start w:val="1"/>
      <w:numFmt w:val="bullet"/>
      <w:lvlText w:val="o"/>
      <w:lvlJc w:val="left"/>
      <w:pPr>
        <w:ind w:left="3600" w:hanging="360"/>
      </w:pPr>
      <w:rPr>
        <w:rFonts w:ascii="Yu Mincho Light" w:hAnsi="Yu Mincho Light" w:cs="Yu Mincho Light" w:hint="default"/>
      </w:rPr>
    </w:lvl>
    <w:lvl w:ilvl="5" w:tplc="08090005" w:tentative="1">
      <w:start w:val="1"/>
      <w:numFmt w:val="bullet"/>
      <w:lvlText w:val=""/>
      <w:lvlJc w:val="left"/>
      <w:pPr>
        <w:ind w:left="4320" w:hanging="360"/>
      </w:pPr>
      <w:rPr>
        <w:rFonts w:ascii="Yu Mincho Light" w:hAnsi="Yu Mincho Light" w:hint="default"/>
      </w:rPr>
    </w:lvl>
    <w:lvl w:ilvl="6" w:tplc="08090001" w:tentative="1">
      <w:start w:val="1"/>
      <w:numFmt w:val="bullet"/>
      <w:lvlText w:val=""/>
      <w:lvlJc w:val="left"/>
      <w:pPr>
        <w:ind w:left="5040" w:hanging="360"/>
      </w:pPr>
      <w:rPr>
        <w:rFonts w:ascii="Cambria Math" w:hAnsi="Cambria Math" w:hint="default"/>
      </w:rPr>
    </w:lvl>
    <w:lvl w:ilvl="7" w:tplc="08090003" w:tentative="1">
      <w:start w:val="1"/>
      <w:numFmt w:val="bullet"/>
      <w:lvlText w:val="o"/>
      <w:lvlJc w:val="left"/>
      <w:pPr>
        <w:ind w:left="5760" w:hanging="360"/>
      </w:pPr>
      <w:rPr>
        <w:rFonts w:ascii="Yu Mincho Light" w:hAnsi="Yu Mincho Light" w:cs="Yu Mincho Light" w:hint="default"/>
      </w:rPr>
    </w:lvl>
    <w:lvl w:ilvl="8" w:tplc="08090005" w:tentative="1">
      <w:start w:val="1"/>
      <w:numFmt w:val="bullet"/>
      <w:lvlText w:val=""/>
      <w:lvlJc w:val="left"/>
      <w:pPr>
        <w:ind w:left="6480" w:hanging="360"/>
      </w:pPr>
      <w:rPr>
        <w:rFonts w:ascii="Yu Mincho Light" w:hAnsi="Yu Mincho Light" w:hint="default"/>
      </w:rPr>
    </w:lvl>
  </w:abstractNum>
  <w:abstractNum w:abstractNumId="28" w15:restartNumberingAfterBreak="0">
    <w:nsid w:val="781468F0"/>
    <w:multiLevelType w:val="hybridMultilevel"/>
    <w:tmpl w:val="1E225C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966E8"/>
    <w:multiLevelType w:val="hybridMultilevel"/>
    <w:tmpl w:val="B65A19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A413F"/>
    <w:multiLevelType w:val="hybridMultilevel"/>
    <w:tmpl w:val="7BF02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2"/>
  </w:num>
  <w:num w:numId="4">
    <w:abstractNumId w:val="11"/>
  </w:num>
  <w:num w:numId="5">
    <w:abstractNumId w:val="1"/>
  </w:num>
  <w:num w:numId="6">
    <w:abstractNumId w:val="9"/>
  </w:num>
  <w:num w:numId="7">
    <w:abstractNumId w:val="29"/>
  </w:num>
  <w:num w:numId="8">
    <w:abstractNumId w:val="6"/>
  </w:num>
  <w:num w:numId="9">
    <w:abstractNumId w:val="20"/>
  </w:num>
  <w:num w:numId="10">
    <w:abstractNumId w:val="25"/>
  </w:num>
  <w:num w:numId="11">
    <w:abstractNumId w:val="21"/>
  </w:num>
  <w:num w:numId="12">
    <w:abstractNumId w:val="30"/>
  </w:num>
  <w:num w:numId="13">
    <w:abstractNumId w:val="10"/>
  </w:num>
  <w:num w:numId="14">
    <w:abstractNumId w:val="16"/>
  </w:num>
  <w:num w:numId="15">
    <w:abstractNumId w:val="27"/>
  </w:num>
  <w:num w:numId="16">
    <w:abstractNumId w:val="13"/>
  </w:num>
  <w:num w:numId="17">
    <w:abstractNumId w:val="5"/>
  </w:num>
  <w:num w:numId="18">
    <w:abstractNumId w:val="17"/>
  </w:num>
  <w:num w:numId="19">
    <w:abstractNumId w:val="2"/>
  </w:num>
  <w:num w:numId="20">
    <w:abstractNumId w:val="28"/>
  </w:num>
  <w:num w:numId="21">
    <w:abstractNumId w:val="23"/>
  </w:num>
  <w:num w:numId="22">
    <w:abstractNumId w:val="19"/>
  </w:num>
  <w:num w:numId="23">
    <w:abstractNumId w:val="8"/>
  </w:num>
  <w:num w:numId="24">
    <w:abstractNumId w:val="15"/>
  </w:num>
  <w:num w:numId="25">
    <w:abstractNumId w:val="24"/>
  </w:num>
  <w:num w:numId="26">
    <w:abstractNumId w:val="16"/>
  </w:num>
  <w:num w:numId="27">
    <w:abstractNumId w:val="16"/>
  </w:num>
  <w:num w:numId="28">
    <w:abstractNumId w:val="16"/>
  </w:num>
  <w:num w:numId="29">
    <w:abstractNumId w:val="14"/>
  </w:num>
  <w:num w:numId="30">
    <w:abstractNumId w:val="14"/>
  </w:num>
  <w:num w:numId="31">
    <w:abstractNumId w:val="14"/>
  </w:num>
  <w:num w:numId="32">
    <w:abstractNumId w:val="14"/>
  </w:num>
  <w:num w:numId="33">
    <w:abstractNumId w:val="4"/>
  </w:num>
  <w:num w:numId="34">
    <w:abstractNumId w:val="4"/>
  </w:num>
  <w:num w:numId="35">
    <w:abstractNumId w:val="4"/>
  </w:num>
  <w:num w:numId="36">
    <w:abstractNumId w:val="16"/>
  </w:num>
  <w:num w:numId="37">
    <w:abstractNumId w:val="18"/>
  </w:num>
  <w:num w:numId="38">
    <w:abstractNumId w:val="26"/>
  </w:num>
  <w:num w:numId="39">
    <w:abstractNumId w:val="7"/>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8D8FC3"/>
    <w:rsid w:val="000069E2"/>
    <w:rsid w:val="0004197F"/>
    <w:rsid w:val="00043119"/>
    <w:rsid w:val="000556F1"/>
    <w:rsid w:val="00062ED4"/>
    <w:rsid w:val="000630D9"/>
    <w:rsid w:val="000742D8"/>
    <w:rsid w:val="00095781"/>
    <w:rsid w:val="000A5D5A"/>
    <w:rsid w:val="000A633B"/>
    <w:rsid w:val="000C53A3"/>
    <w:rsid w:val="000D1EFC"/>
    <w:rsid w:val="000D42DA"/>
    <w:rsid w:val="000E5B11"/>
    <w:rsid w:val="00116E61"/>
    <w:rsid w:val="00117E9B"/>
    <w:rsid w:val="00127656"/>
    <w:rsid w:val="00162432"/>
    <w:rsid w:val="00164B12"/>
    <w:rsid w:val="00170B4F"/>
    <w:rsid w:val="00171F23"/>
    <w:rsid w:val="00172F8A"/>
    <w:rsid w:val="001A3C89"/>
    <w:rsid w:val="001A7459"/>
    <w:rsid w:val="001B6F75"/>
    <w:rsid w:val="001C355D"/>
    <w:rsid w:val="001E001A"/>
    <w:rsid w:val="001E696F"/>
    <w:rsid w:val="001F1550"/>
    <w:rsid w:val="00224F98"/>
    <w:rsid w:val="0022597C"/>
    <w:rsid w:val="00236C4A"/>
    <w:rsid w:val="00250358"/>
    <w:rsid w:val="002516C2"/>
    <w:rsid w:val="002533EA"/>
    <w:rsid w:val="0025385F"/>
    <w:rsid w:val="00253C48"/>
    <w:rsid w:val="00260844"/>
    <w:rsid w:val="00263378"/>
    <w:rsid w:val="00263D28"/>
    <w:rsid w:val="00267BB2"/>
    <w:rsid w:val="002739F8"/>
    <w:rsid w:val="002C0C5E"/>
    <w:rsid w:val="002C6A08"/>
    <w:rsid w:val="002D0B29"/>
    <w:rsid w:val="002D6165"/>
    <w:rsid w:val="002E2869"/>
    <w:rsid w:val="002E2BA6"/>
    <w:rsid w:val="002E3278"/>
    <w:rsid w:val="002F2F10"/>
    <w:rsid w:val="0030195C"/>
    <w:rsid w:val="003037B2"/>
    <w:rsid w:val="00312F4D"/>
    <w:rsid w:val="003166BE"/>
    <w:rsid w:val="00326561"/>
    <w:rsid w:val="00343E6B"/>
    <w:rsid w:val="00357004"/>
    <w:rsid w:val="00360573"/>
    <w:rsid w:val="00371258"/>
    <w:rsid w:val="00374CDF"/>
    <w:rsid w:val="00377AC7"/>
    <w:rsid w:val="00385066"/>
    <w:rsid w:val="00394A58"/>
    <w:rsid w:val="00395DA3"/>
    <w:rsid w:val="003B46A8"/>
    <w:rsid w:val="003B6ECE"/>
    <w:rsid w:val="003D5272"/>
    <w:rsid w:val="003E2D71"/>
    <w:rsid w:val="003E36C9"/>
    <w:rsid w:val="003F552F"/>
    <w:rsid w:val="0041150C"/>
    <w:rsid w:val="00415982"/>
    <w:rsid w:val="00421CDE"/>
    <w:rsid w:val="00442625"/>
    <w:rsid w:val="00451392"/>
    <w:rsid w:val="0047602F"/>
    <w:rsid w:val="00495896"/>
    <w:rsid w:val="004A1396"/>
    <w:rsid w:val="004A7FE1"/>
    <w:rsid w:val="004C4392"/>
    <w:rsid w:val="004D16CA"/>
    <w:rsid w:val="004D3A9C"/>
    <w:rsid w:val="004D66A8"/>
    <w:rsid w:val="004E37EC"/>
    <w:rsid w:val="004F3A97"/>
    <w:rsid w:val="004F5C7A"/>
    <w:rsid w:val="0051338D"/>
    <w:rsid w:val="00525453"/>
    <w:rsid w:val="005273E2"/>
    <w:rsid w:val="00547B03"/>
    <w:rsid w:val="00555C47"/>
    <w:rsid w:val="0058218A"/>
    <w:rsid w:val="00592E63"/>
    <w:rsid w:val="005A2174"/>
    <w:rsid w:val="005A3E81"/>
    <w:rsid w:val="005B620D"/>
    <w:rsid w:val="005B695F"/>
    <w:rsid w:val="005C58A6"/>
    <w:rsid w:val="005D381F"/>
    <w:rsid w:val="005E3D9A"/>
    <w:rsid w:val="005F4563"/>
    <w:rsid w:val="00601EA3"/>
    <w:rsid w:val="0060419B"/>
    <w:rsid w:val="0062180B"/>
    <w:rsid w:val="00622DBD"/>
    <w:rsid w:val="00630C27"/>
    <w:rsid w:val="006408A6"/>
    <w:rsid w:val="00642B24"/>
    <w:rsid w:val="00647129"/>
    <w:rsid w:val="0066451C"/>
    <w:rsid w:val="00694CB9"/>
    <w:rsid w:val="006B4499"/>
    <w:rsid w:val="006C527C"/>
    <w:rsid w:val="006D1565"/>
    <w:rsid w:val="006D5BF0"/>
    <w:rsid w:val="006D6C59"/>
    <w:rsid w:val="006E2C6E"/>
    <w:rsid w:val="006F1EBD"/>
    <w:rsid w:val="00703FD1"/>
    <w:rsid w:val="00740E80"/>
    <w:rsid w:val="007415F5"/>
    <w:rsid w:val="00751490"/>
    <w:rsid w:val="0075248E"/>
    <w:rsid w:val="00766743"/>
    <w:rsid w:val="007709E5"/>
    <w:rsid w:val="00784269"/>
    <w:rsid w:val="0079560E"/>
    <w:rsid w:val="007A0335"/>
    <w:rsid w:val="007A7A4E"/>
    <w:rsid w:val="007B5836"/>
    <w:rsid w:val="007B5B34"/>
    <w:rsid w:val="007D001D"/>
    <w:rsid w:val="007D2887"/>
    <w:rsid w:val="007D5E12"/>
    <w:rsid w:val="007F252B"/>
    <w:rsid w:val="007F273C"/>
    <w:rsid w:val="00810E6C"/>
    <w:rsid w:val="00812527"/>
    <w:rsid w:val="008134E8"/>
    <w:rsid w:val="00814B56"/>
    <w:rsid w:val="00815372"/>
    <w:rsid w:val="008254D3"/>
    <w:rsid w:val="00842800"/>
    <w:rsid w:val="00852EDD"/>
    <w:rsid w:val="008548FD"/>
    <w:rsid w:val="00860E81"/>
    <w:rsid w:val="008627D7"/>
    <w:rsid w:val="0087468E"/>
    <w:rsid w:val="00895338"/>
    <w:rsid w:val="00897EB0"/>
    <w:rsid w:val="008A23F1"/>
    <w:rsid w:val="008A7E12"/>
    <w:rsid w:val="008B66AC"/>
    <w:rsid w:val="008B772B"/>
    <w:rsid w:val="008D59C5"/>
    <w:rsid w:val="008E3CFB"/>
    <w:rsid w:val="008E6D4E"/>
    <w:rsid w:val="00910AC2"/>
    <w:rsid w:val="00910BF0"/>
    <w:rsid w:val="00912896"/>
    <w:rsid w:val="00920EA0"/>
    <w:rsid w:val="00933E25"/>
    <w:rsid w:val="00934736"/>
    <w:rsid w:val="0094649F"/>
    <w:rsid w:val="00952A75"/>
    <w:rsid w:val="00956C8A"/>
    <w:rsid w:val="00962BE8"/>
    <w:rsid w:val="00963FFE"/>
    <w:rsid w:val="009B7D32"/>
    <w:rsid w:val="009C0FB6"/>
    <w:rsid w:val="009C524D"/>
    <w:rsid w:val="009D3582"/>
    <w:rsid w:val="009D42EF"/>
    <w:rsid w:val="009E0B87"/>
    <w:rsid w:val="009E38F7"/>
    <w:rsid w:val="009E4AB8"/>
    <w:rsid w:val="00A144FB"/>
    <w:rsid w:val="00A17957"/>
    <w:rsid w:val="00A22C18"/>
    <w:rsid w:val="00A3677A"/>
    <w:rsid w:val="00A43209"/>
    <w:rsid w:val="00A56618"/>
    <w:rsid w:val="00A63FE5"/>
    <w:rsid w:val="00A65F2B"/>
    <w:rsid w:val="00A72593"/>
    <w:rsid w:val="00A73548"/>
    <w:rsid w:val="00A9224F"/>
    <w:rsid w:val="00A93A8D"/>
    <w:rsid w:val="00AA2EAF"/>
    <w:rsid w:val="00AA381E"/>
    <w:rsid w:val="00AB0642"/>
    <w:rsid w:val="00AB19E7"/>
    <w:rsid w:val="00AC4A1D"/>
    <w:rsid w:val="00AD4628"/>
    <w:rsid w:val="00AE416B"/>
    <w:rsid w:val="00AE6A2F"/>
    <w:rsid w:val="00AE7AFA"/>
    <w:rsid w:val="00AF5B49"/>
    <w:rsid w:val="00B02632"/>
    <w:rsid w:val="00B110B2"/>
    <w:rsid w:val="00B164EE"/>
    <w:rsid w:val="00B24D61"/>
    <w:rsid w:val="00B25C0B"/>
    <w:rsid w:val="00B27CB3"/>
    <w:rsid w:val="00B54889"/>
    <w:rsid w:val="00B649D1"/>
    <w:rsid w:val="00B833B4"/>
    <w:rsid w:val="00B90458"/>
    <w:rsid w:val="00B9355C"/>
    <w:rsid w:val="00BA2B33"/>
    <w:rsid w:val="00BA4284"/>
    <w:rsid w:val="00BA5685"/>
    <w:rsid w:val="00BB749E"/>
    <w:rsid w:val="00BD1DAE"/>
    <w:rsid w:val="00BD4C3C"/>
    <w:rsid w:val="00BE3F6B"/>
    <w:rsid w:val="00BE652F"/>
    <w:rsid w:val="00C02A24"/>
    <w:rsid w:val="00C04F15"/>
    <w:rsid w:val="00C07176"/>
    <w:rsid w:val="00C11547"/>
    <w:rsid w:val="00C13A04"/>
    <w:rsid w:val="00C50752"/>
    <w:rsid w:val="00C5215A"/>
    <w:rsid w:val="00C53930"/>
    <w:rsid w:val="00C56960"/>
    <w:rsid w:val="00C66548"/>
    <w:rsid w:val="00C72B3D"/>
    <w:rsid w:val="00C869BC"/>
    <w:rsid w:val="00C96AC7"/>
    <w:rsid w:val="00CA76B9"/>
    <w:rsid w:val="00CB1DF0"/>
    <w:rsid w:val="00CB675B"/>
    <w:rsid w:val="00CD0F12"/>
    <w:rsid w:val="00CE2FDD"/>
    <w:rsid w:val="00CE58EC"/>
    <w:rsid w:val="00CE5A71"/>
    <w:rsid w:val="00D175D3"/>
    <w:rsid w:val="00D17C74"/>
    <w:rsid w:val="00D35E06"/>
    <w:rsid w:val="00D447D7"/>
    <w:rsid w:val="00D4737E"/>
    <w:rsid w:val="00D5189F"/>
    <w:rsid w:val="00D54252"/>
    <w:rsid w:val="00D86E97"/>
    <w:rsid w:val="00D87FA9"/>
    <w:rsid w:val="00DA23AB"/>
    <w:rsid w:val="00DA5AFE"/>
    <w:rsid w:val="00DA67DD"/>
    <w:rsid w:val="00DB07C5"/>
    <w:rsid w:val="00DB2DCF"/>
    <w:rsid w:val="00DC00F5"/>
    <w:rsid w:val="00DC4336"/>
    <w:rsid w:val="00DC49A5"/>
    <w:rsid w:val="00DC77F6"/>
    <w:rsid w:val="00DD310F"/>
    <w:rsid w:val="00E250CA"/>
    <w:rsid w:val="00E2625A"/>
    <w:rsid w:val="00E33A1A"/>
    <w:rsid w:val="00E3646A"/>
    <w:rsid w:val="00E40FE2"/>
    <w:rsid w:val="00E46F94"/>
    <w:rsid w:val="00E75905"/>
    <w:rsid w:val="00E77F23"/>
    <w:rsid w:val="00EA4E0A"/>
    <w:rsid w:val="00EB7AC6"/>
    <w:rsid w:val="00ED1DE9"/>
    <w:rsid w:val="00ED2CD3"/>
    <w:rsid w:val="00EE6CA6"/>
    <w:rsid w:val="00EF3749"/>
    <w:rsid w:val="00F03848"/>
    <w:rsid w:val="00F06C36"/>
    <w:rsid w:val="00F21144"/>
    <w:rsid w:val="00F211B6"/>
    <w:rsid w:val="00F244B9"/>
    <w:rsid w:val="00F25FFF"/>
    <w:rsid w:val="00F31509"/>
    <w:rsid w:val="00F316B9"/>
    <w:rsid w:val="00F37779"/>
    <w:rsid w:val="00F517D9"/>
    <w:rsid w:val="00F62140"/>
    <w:rsid w:val="00F65496"/>
    <w:rsid w:val="00F6561E"/>
    <w:rsid w:val="00F65838"/>
    <w:rsid w:val="00F774F2"/>
    <w:rsid w:val="00F8635B"/>
    <w:rsid w:val="00F86985"/>
    <w:rsid w:val="00F951D0"/>
    <w:rsid w:val="00FA10E1"/>
    <w:rsid w:val="0B3B33EB"/>
    <w:rsid w:val="118D8FC3"/>
    <w:rsid w:val="4F7E4631"/>
    <w:rsid w:val="69A8F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8FC3"/>
  <w15:chartTrackingRefBased/>
  <w15:docId w15:val="{2F4E4E87-914A-4C9C-AC99-BD8A39C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B24"/>
  </w:style>
  <w:style w:type="paragraph" w:styleId="Heading1">
    <w:name w:val="heading 1"/>
    <w:basedOn w:val="Normal"/>
    <w:next w:val="Normal"/>
    <w:link w:val="Heading1Char"/>
    <w:uiPriority w:val="9"/>
    <w:rsid w:val="005273E2"/>
    <w:pPr>
      <w:widowControl w:val="0"/>
      <w:numPr>
        <w:numId w:val="35"/>
      </w:numPr>
      <w:suppressAutoHyphens/>
      <w:autoSpaceDE w:val="0"/>
      <w:autoSpaceDN w:val="0"/>
      <w:adjustRightInd w:val="0"/>
      <w:spacing w:after="240" w:line="240" w:lineRule="auto"/>
      <w:textAlignment w:val="center"/>
      <w:outlineLvl w:val="0"/>
    </w:pPr>
    <w:rPr>
      <w:rFonts w:ascii="Arial" w:eastAsiaTheme="minorEastAsia" w:hAnsi="Arial" w:cs="Arial"/>
      <w:b/>
      <w:bCs/>
      <w:color w:val="B06900"/>
      <w:sz w:val="36"/>
      <w:szCs w:val="36"/>
      <w:lang w:val="en-GB" w:eastAsia="en-GB"/>
    </w:rPr>
  </w:style>
  <w:style w:type="paragraph" w:styleId="Heading2">
    <w:name w:val="heading 2"/>
    <w:basedOn w:val="Normal"/>
    <w:next w:val="Normal"/>
    <w:link w:val="Heading2Char"/>
    <w:uiPriority w:val="9"/>
    <w:qFormat/>
    <w:rsid w:val="00116E61"/>
    <w:pPr>
      <w:widowControl w:val="0"/>
      <w:numPr>
        <w:ilvl w:val="1"/>
        <w:numId w:val="41"/>
      </w:numPr>
      <w:suppressAutoHyphens/>
      <w:autoSpaceDE w:val="0"/>
      <w:autoSpaceDN w:val="0"/>
      <w:adjustRightInd w:val="0"/>
      <w:spacing w:before="160" w:line="240" w:lineRule="auto"/>
      <w:textAlignment w:val="center"/>
      <w:outlineLvl w:val="1"/>
    </w:pPr>
    <w:rPr>
      <w:rFonts w:ascii="Arial" w:eastAsiaTheme="minorEastAsia" w:hAnsi="Arial" w:cs="Arial"/>
      <w:b/>
      <w:bCs/>
      <w:color w:val="414144"/>
      <w:sz w:val="28"/>
      <w:szCs w:val="28"/>
      <w:lang w:val="en-GB" w:eastAsia="en-GB"/>
    </w:rPr>
  </w:style>
  <w:style w:type="paragraph" w:styleId="Heading3">
    <w:name w:val="heading 3"/>
    <w:basedOn w:val="Normal"/>
    <w:next w:val="Normal"/>
    <w:link w:val="Heading3Char"/>
    <w:uiPriority w:val="9"/>
    <w:qFormat/>
    <w:rsid w:val="005273E2"/>
    <w:pPr>
      <w:widowControl w:val="0"/>
      <w:numPr>
        <w:ilvl w:val="2"/>
        <w:numId w:val="41"/>
      </w:numPr>
      <w:suppressAutoHyphens/>
      <w:autoSpaceDE w:val="0"/>
      <w:autoSpaceDN w:val="0"/>
      <w:adjustRightInd w:val="0"/>
      <w:spacing w:before="200" w:after="60" w:line="240" w:lineRule="auto"/>
      <w:textAlignment w:val="center"/>
      <w:outlineLvl w:val="2"/>
    </w:pPr>
    <w:rPr>
      <w:rFonts w:ascii="Arial" w:eastAsiaTheme="minorEastAsia" w:hAnsi="Arial" w:cs="Arial"/>
      <w:b/>
      <w:bCs/>
      <w:i/>
      <w:color w:val="626266"/>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AppendicesHeading2">
    <w:name w:val="STPR2_Appendices_Heading 2"/>
    <w:basedOn w:val="STPR2Heading2"/>
    <w:autoRedefine/>
    <w:uiPriority w:val="23"/>
    <w:qFormat/>
    <w:rsid w:val="005273E2"/>
    <w:pPr>
      <w:keepNext/>
      <w:numPr>
        <w:ilvl w:val="0"/>
      </w:numPr>
      <w:ind w:left="562" w:hanging="562"/>
    </w:pPr>
  </w:style>
  <w:style w:type="paragraph" w:styleId="Header">
    <w:name w:val="header"/>
    <w:basedOn w:val="Normal"/>
    <w:link w:val="HeaderChar"/>
    <w:uiPriority w:val="99"/>
    <w:unhideWhenUsed/>
    <w:rsid w:val="009D3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82"/>
  </w:style>
  <w:style w:type="paragraph" w:styleId="Footer">
    <w:name w:val="footer"/>
    <w:basedOn w:val="Normal"/>
    <w:link w:val="FooterChar"/>
    <w:uiPriority w:val="99"/>
    <w:unhideWhenUsed/>
    <w:rsid w:val="00642B2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642B24"/>
    <w:rPr>
      <w:rFonts w:ascii="Arial" w:hAnsi="Arial"/>
      <w:sz w:val="24"/>
    </w:rPr>
  </w:style>
  <w:style w:type="table" w:styleId="TableGrid">
    <w:name w:val="Table Grid"/>
    <w:basedOn w:val="TableNormal"/>
    <w:uiPriority w:val="39"/>
    <w:rsid w:val="009D358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C4A"/>
    <w:pPr>
      <w:ind w:left="720"/>
      <w:contextualSpacing/>
    </w:pPr>
  </w:style>
  <w:style w:type="character" w:styleId="CommentReference">
    <w:name w:val="annotation reference"/>
    <w:basedOn w:val="DefaultParagraphFont"/>
    <w:uiPriority w:val="99"/>
    <w:semiHidden/>
    <w:unhideWhenUsed/>
    <w:rsid w:val="0030195C"/>
    <w:rPr>
      <w:sz w:val="16"/>
      <w:szCs w:val="16"/>
    </w:rPr>
  </w:style>
  <w:style w:type="paragraph" w:styleId="CommentText">
    <w:name w:val="annotation text"/>
    <w:basedOn w:val="Normal"/>
    <w:link w:val="CommentTextChar"/>
    <w:uiPriority w:val="99"/>
    <w:unhideWhenUsed/>
    <w:rsid w:val="0030195C"/>
    <w:pPr>
      <w:spacing w:line="240" w:lineRule="auto"/>
    </w:pPr>
    <w:rPr>
      <w:sz w:val="20"/>
      <w:szCs w:val="20"/>
    </w:rPr>
  </w:style>
  <w:style w:type="character" w:customStyle="1" w:styleId="CommentTextChar">
    <w:name w:val="Comment Text Char"/>
    <w:basedOn w:val="DefaultParagraphFont"/>
    <w:link w:val="CommentText"/>
    <w:uiPriority w:val="99"/>
    <w:rsid w:val="0030195C"/>
    <w:rPr>
      <w:sz w:val="20"/>
      <w:szCs w:val="20"/>
    </w:rPr>
  </w:style>
  <w:style w:type="paragraph" w:styleId="CommentSubject">
    <w:name w:val="annotation subject"/>
    <w:basedOn w:val="CommentText"/>
    <w:next w:val="CommentText"/>
    <w:link w:val="CommentSubjectChar"/>
    <w:uiPriority w:val="99"/>
    <w:semiHidden/>
    <w:unhideWhenUsed/>
    <w:rsid w:val="0030195C"/>
    <w:rPr>
      <w:b/>
      <w:bCs/>
    </w:rPr>
  </w:style>
  <w:style w:type="character" w:customStyle="1" w:styleId="CommentSubjectChar">
    <w:name w:val="Comment Subject Char"/>
    <w:basedOn w:val="CommentTextChar"/>
    <w:link w:val="CommentSubject"/>
    <w:uiPriority w:val="99"/>
    <w:semiHidden/>
    <w:rsid w:val="0030195C"/>
    <w:rPr>
      <w:b/>
      <w:bCs/>
      <w:sz w:val="20"/>
      <w:szCs w:val="20"/>
    </w:rPr>
  </w:style>
  <w:style w:type="paragraph" w:customStyle="1" w:styleId="NoParagraphStyle">
    <w:name w:val="[No Paragraph Style]"/>
    <w:uiPriority w:val="24"/>
    <w:rsid w:val="009C524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en-GB"/>
    </w:rPr>
  </w:style>
  <w:style w:type="paragraph" w:styleId="Revision">
    <w:name w:val="Revision"/>
    <w:hidden/>
    <w:uiPriority w:val="99"/>
    <w:semiHidden/>
    <w:rsid w:val="00B833B4"/>
    <w:pPr>
      <w:spacing w:after="0" w:line="240" w:lineRule="auto"/>
    </w:pPr>
  </w:style>
  <w:style w:type="paragraph" w:styleId="BalloonText">
    <w:name w:val="Balloon Text"/>
    <w:basedOn w:val="Normal"/>
    <w:link w:val="BalloonTextChar"/>
    <w:uiPriority w:val="99"/>
    <w:semiHidden/>
    <w:unhideWhenUsed/>
    <w:rsid w:val="00B83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B4"/>
    <w:rPr>
      <w:rFonts w:ascii="Segoe UI" w:hAnsi="Segoe UI" w:cs="Segoe UI"/>
      <w:sz w:val="18"/>
      <w:szCs w:val="18"/>
    </w:rPr>
  </w:style>
  <w:style w:type="paragraph" w:styleId="Caption">
    <w:name w:val="caption"/>
    <w:basedOn w:val="Normal"/>
    <w:next w:val="Normal"/>
    <w:autoRedefine/>
    <w:uiPriority w:val="35"/>
    <w:unhideWhenUsed/>
    <w:qFormat/>
    <w:rsid w:val="0041150C"/>
    <w:pPr>
      <w:widowControl w:val="0"/>
      <w:suppressAutoHyphens/>
      <w:autoSpaceDE w:val="0"/>
      <w:autoSpaceDN w:val="0"/>
      <w:adjustRightInd w:val="0"/>
      <w:spacing w:before="120" w:line="240" w:lineRule="auto"/>
      <w:textAlignment w:val="center"/>
    </w:pPr>
    <w:rPr>
      <w:rFonts w:ascii="Arial" w:eastAsiaTheme="minorEastAsia" w:hAnsi="Arial" w:cs="Arial"/>
      <w:bCs/>
      <w:sz w:val="24"/>
      <w:szCs w:val="20"/>
      <w:lang w:val="en-GB"/>
    </w:rPr>
  </w:style>
  <w:style w:type="character" w:customStyle="1" w:styleId="Heading2Char">
    <w:name w:val="Heading 2 Char"/>
    <w:basedOn w:val="DefaultParagraphFont"/>
    <w:link w:val="Heading2"/>
    <w:uiPriority w:val="9"/>
    <w:rsid w:val="00116E61"/>
    <w:rPr>
      <w:rFonts w:ascii="Arial" w:eastAsiaTheme="minorEastAsia" w:hAnsi="Arial" w:cs="Arial"/>
      <w:b/>
      <w:bCs/>
      <w:color w:val="414144"/>
      <w:sz w:val="28"/>
      <w:szCs w:val="28"/>
      <w:lang w:val="en-GB" w:eastAsia="en-GB"/>
    </w:rPr>
  </w:style>
  <w:style w:type="character" w:customStyle="1" w:styleId="Heading3Char">
    <w:name w:val="Heading 3 Char"/>
    <w:basedOn w:val="DefaultParagraphFont"/>
    <w:link w:val="Heading3"/>
    <w:uiPriority w:val="9"/>
    <w:rsid w:val="005273E2"/>
    <w:rPr>
      <w:rFonts w:ascii="Arial" w:eastAsiaTheme="minorEastAsia" w:hAnsi="Arial" w:cs="Arial"/>
      <w:b/>
      <w:bCs/>
      <w:i/>
      <w:color w:val="626266"/>
      <w:sz w:val="24"/>
      <w:szCs w:val="20"/>
      <w:lang w:val="en-GB" w:eastAsia="en-GB"/>
    </w:rPr>
  </w:style>
  <w:style w:type="paragraph" w:customStyle="1" w:styleId="STPR2BodyText">
    <w:name w:val="STPR2_Body Text"/>
    <w:basedOn w:val="NoParagraphStyle"/>
    <w:qFormat/>
    <w:rsid w:val="005273E2"/>
    <w:pPr>
      <w:widowControl/>
      <w:suppressAutoHyphens/>
      <w:spacing w:before="200" w:after="160" w:line="240" w:lineRule="auto"/>
    </w:pPr>
    <w:rPr>
      <w:rFonts w:ascii="Arial" w:hAnsi="Arial" w:cs="Arial"/>
      <w:szCs w:val="22"/>
      <w:lang w:val="en-GB"/>
    </w:rPr>
  </w:style>
  <w:style w:type="character" w:customStyle="1" w:styleId="Heading1Char">
    <w:name w:val="Heading 1 Char"/>
    <w:basedOn w:val="DefaultParagraphFont"/>
    <w:link w:val="Heading1"/>
    <w:uiPriority w:val="9"/>
    <w:rsid w:val="005273E2"/>
    <w:rPr>
      <w:rFonts w:ascii="Arial" w:eastAsiaTheme="minorEastAsia" w:hAnsi="Arial" w:cs="Arial"/>
      <w:b/>
      <w:bCs/>
      <w:color w:val="B06900"/>
      <w:sz w:val="36"/>
      <w:szCs w:val="36"/>
      <w:lang w:val="en-GB" w:eastAsia="en-GB"/>
    </w:rPr>
  </w:style>
  <w:style w:type="paragraph" w:styleId="TOCHeading">
    <w:name w:val="TOC Heading"/>
    <w:basedOn w:val="Heading1"/>
    <w:next w:val="Normal"/>
    <w:uiPriority w:val="39"/>
    <w:semiHidden/>
    <w:unhideWhenUsed/>
    <w:qFormat/>
    <w:rsid w:val="00250358"/>
    <w:pPr>
      <w:numPr>
        <w:numId w:val="5"/>
      </w:numPr>
      <w:ind w:left="567" w:hanging="567"/>
      <w:outlineLvl w:val="9"/>
    </w:pPr>
    <w:rPr>
      <w:rFonts w:ascii="Jacobs Chronos" w:hAnsi="Jacobs Chronos"/>
      <w:b w:val="0"/>
      <w:color w:val="7E4B00"/>
    </w:rPr>
  </w:style>
  <w:style w:type="paragraph" w:customStyle="1" w:styleId="STPR2BulletsLevel1">
    <w:name w:val="STPR2_Bullets Level 1"/>
    <w:basedOn w:val="STPR2BodyText"/>
    <w:uiPriority w:val="7"/>
    <w:qFormat/>
    <w:rsid w:val="005273E2"/>
    <w:pPr>
      <w:numPr>
        <w:numId w:val="36"/>
      </w:numPr>
      <w:contextualSpacing/>
    </w:pPr>
  </w:style>
  <w:style w:type="paragraph" w:customStyle="1" w:styleId="STPR2TableBody">
    <w:name w:val="STPR2_Table Body"/>
    <w:basedOn w:val="STPR2BodyText"/>
    <w:uiPriority w:val="11"/>
    <w:rsid w:val="00250358"/>
    <w:pPr>
      <w:spacing w:before="80" w:after="80"/>
    </w:pPr>
    <w:rPr>
      <w:szCs w:val="18"/>
    </w:rPr>
  </w:style>
  <w:style w:type="table" w:styleId="ListTable4-Accent6">
    <w:name w:val="List Table 4 Accent 6"/>
    <w:aliases w:val="STPR2,List Table 4 - Accent 61"/>
    <w:basedOn w:val="TableNormal"/>
    <w:uiPriority w:val="49"/>
    <w:rsid w:val="00250358"/>
    <w:pPr>
      <w:spacing w:before="80" w:after="80" w:line="240" w:lineRule="auto"/>
    </w:pPr>
    <w:rPr>
      <w:rFonts w:ascii="Arial" w:eastAsiaTheme="minorEastAsia" w:hAnsi="Arial"/>
      <w:sz w:val="18"/>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80" w:beforeAutospacing="0" w:afterLines="0" w:after="80" w:afterAutospacing="0" w:line="240" w:lineRule="auto"/>
      </w:pPr>
      <w:rPr>
        <w:rFonts w:ascii="Arial" w:hAnsi="Arial"/>
        <w:b/>
        <w:bCs/>
        <w:i w:val="0"/>
        <w:caps/>
        <w:smallCaps w:val="0"/>
        <w:color w:val="FFFFFF" w:themeColor="background1"/>
        <w:sz w:val="18"/>
      </w:rPr>
      <w:tblPr/>
      <w:tcPr>
        <w:tcBorders>
          <w:bottom w:val="single" w:sz="18" w:space="0" w:color="FFFFFF" w:themeColor="background1"/>
        </w:tcBorders>
        <w:shd w:val="clear" w:color="auto" w:fill="8CC540"/>
      </w:tcPr>
    </w:tblStylePr>
    <w:tblStylePr w:type="lastRow">
      <w:rPr>
        <w:b w:val="0"/>
        <w:bCs/>
      </w:rPr>
      <w:tblPr/>
      <w:tcPr>
        <w:shd w:val="clear" w:color="auto" w:fill="DCEDC6"/>
      </w:tcPr>
    </w:tblStylePr>
    <w:tblStylePr w:type="firstCol">
      <w:rPr>
        <w:b w:val="0"/>
        <w:bCs/>
      </w:rPr>
      <w:tblPr/>
      <w:tcPr>
        <w:shd w:val="clear" w:color="auto" w:fill="DCEDC6"/>
      </w:tcPr>
    </w:tblStylePr>
    <w:tblStylePr w:type="lastCol">
      <w:rPr>
        <w:b w:val="0"/>
        <w:bCs/>
      </w:rPr>
      <w:tblPr/>
      <w:tcPr>
        <w:shd w:val="clear" w:color="auto" w:fill="DCEDC6"/>
      </w:tcPr>
    </w:tblStylePr>
    <w:tblStylePr w:type="band1Vert">
      <w:tblPr/>
      <w:tcPr>
        <w:shd w:val="clear" w:color="auto" w:fill="DCEDC6"/>
      </w:tcPr>
    </w:tblStylePr>
    <w:tblStylePr w:type="band1Horz">
      <w:tblPr/>
      <w:tcPr>
        <w:shd w:val="clear" w:color="auto" w:fill="DCEDC6"/>
      </w:tcPr>
    </w:tblStylePr>
    <w:tblStylePr w:type="band2Horz">
      <w:tblPr/>
      <w:tcPr>
        <w:shd w:val="clear" w:color="auto" w:fill="DCEDC6"/>
      </w:tcPr>
    </w:tblStylePr>
    <w:tblStylePr w:type="nwCell">
      <w:rPr>
        <w:rFonts w:ascii="Arial" w:hAnsi="Arial"/>
        <w:caps/>
        <w:smallCaps w:val="0"/>
        <w:color w:val="FFFFFF" w:themeColor="background1"/>
        <w:sz w:val="18"/>
      </w:rPr>
      <w:tblPr/>
      <w:tcPr>
        <w:tcBorders>
          <w:bottom w:val="single" w:sz="18" w:space="0" w:color="FFFFFF" w:themeColor="background1"/>
        </w:tcBorders>
        <w:shd w:val="clear" w:color="auto" w:fill="8CC540"/>
      </w:tcPr>
    </w:tblStylePr>
  </w:style>
  <w:style w:type="paragraph" w:customStyle="1" w:styleId="TABLEHEADINGWHITE">
    <w:name w:val="TABLE HEADING WHITE"/>
    <w:basedOn w:val="Normal"/>
    <w:uiPriority w:val="23"/>
    <w:qFormat/>
    <w:rsid w:val="00250358"/>
    <w:pPr>
      <w:widowControl w:val="0"/>
      <w:suppressAutoHyphens/>
      <w:autoSpaceDE w:val="0"/>
      <w:autoSpaceDN w:val="0"/>
      <w:adjustRightInd w:val="0"/>
      <w:spacing w:before="80" w:after="80" w:line="240" w:lineRule="auto"/>
      <w:textAlignment w:val="center"/>
    </w:pPr>
    <w:rPr>
      <w:rFonts w:ascii="Jacobs Chronos" w:eastAsiaTheme="minorEastAsia" w:hAnsi="Jacobs Chronos" w:cs="Arial"/>
      <w:b/>
      <w:caps/>
      <w:color w:val="FFFFFF" w:themeColor="background1"/>
      <w:sz w:val="24"/>
      <w:szCs w:val="18"/>
      <w:lang w:val="en-GB"/>
    </w:rPr>
  </w:style>
  <w:style w:type="paragraph" w:customStyle="1" w:styleId="STPR2TableBullets">
    <w:name w:val="STPR2_Table Bullets"/>
    <w:basedOn w:val="STPR2TableBody"/>
    <w:uiPriority w:val="13"/>
    <w:rsid w:val="00116E61"/>
    <w:pPr>
      <w:numPr>
        <w:numId w:val="43"/>
      </w:numPr>
      <w:ind w:left="288" w:hanging="288"/>
      <w:contextualSpacing/>
    </w:pPr>
  </w:style>
  <w:style w:type="paragraph" w:customStyle="1" w:styleId="STPR2CaptionFigures">
    <w:name w:val="STPR2_Caption_Figures"/>
    <w:basedOn w:val="Normal"/>
    <w:autoRedefine/>
    <w:uiPriority w:val="19"/>
    <w:rsid w:val="005273E2"/>
    <w:pPr>
      <w:suppressAutoHyphens/>
      <w:autoSpaceDE w:val="0"/>
      <w:autoSpaceDN w:val="0"/>
      <w:adjustRightInd w:val="0"/>
      <w:spacing w:before="120" w:after="120" w:line="240" w:lineRule="auto"/>
      <w:textAlignment w:val="center"/>
    </w:pPr>
    <w:rPr>
      <w:rFonts w:ascii="Arial" w:eastAsiaTheme="minorEastAsia" w:hAnsi="Arial" w:cs="Yu Mincho Light"/>
      <w:b/>
      <w:bCs/>
      <w:color w:val="44546A" w:themeColor="text2"/>
      <w:sz w:val="24"/>
      <w:szCs w:val="20"/>
      <w:lang w:val="en-GB" w:eastAsia="en-GB"/>
    </w:rPr>
  </w:style>
  <w:style w:type="paragraph" w:customStyle="1" w:styleId="AppendicesHeading">
    <w:name w:val="Appendices Heading"/>
    <w:basedOn w:val="Normal"/>
    <w:autoRedefine/>
    <w:uiPriority w:val="23"/>
    <w:qFormat/>
    <w:rsid w:val="005273E2"/>
    <w:pPr>
      <w:widowControl w:val="0"/>
      <w:suppressAutoHyphens/>
      <w:autoSpaceDE w:val="0"/>
      <w:autoSpaceDN w:val="0"/>
      <w:adjustRightInd w:val="0"/>
      <w:spacing w:after="240" w:line="240" w:lineRule="auto"/>
      <w:textAlignment w:val="center"/>
    </w:pPr>
    <w:rPr>
      <w:rFonts w:ascii="Arial" w:eastAsiaTheme="minorEastAsia" w:hAnsi="Arial" w:cs="Arial"/>
      <w:b/>
      <w:bCs/>
      <w:color w:val="B06900"/>
      <w:sz w:val="36"/>
      <w:szCs w:val="36"/>
      <w:lang w:eastAsia="en-GB"/>
    </w:rPr>
  </w:style>
  <w:style w:type="paragraph" w:customStyle="1" w:styleId="Appendix">
    <w:name w:val="Appendix"/>
    <w:basedOn w:val="Heading1"/>
    <w:next w:val="BodyText"/>
    <w:autoRedefine/>
    <w:uiPriority w:val="7"/>
    <w:qFormat/>
    <w:rsid w:val="005273E2"/>
    <w:pPr>
      <w:pageBreakBefore/>
      <w:numPr>
        <w:numId w:val="32"/>
      </w:numPr>
      <w:spacing w:before="480"/>
    </w:pPr>
    <w:rPr>
      <w:b w:val="0"/>
      <w:bCs w:val="0"/>
      <w:kern w:val="18"/>
      <w:szCs w:val="28"/>
    </w:rPr>
  </w:style>
  <w:style w:type="paragraph" w:styleId="BodyText">
    <w:name w:val="Body Text"/>
    <w:basedOn w:val="Normal"/>
    <w:link w:val="BodyTextChar"/>
    <w:uiPriority w:val="99"/>
    <w:semiHidden/>
    <w:unhideWhenUsed/>
    <w:rsid w:val="005273E2"/>
    <w:pPr>
      <w:spacing w:after="120"/>
    </w:pPr>
  </w:style>
  <w:style w:type="character" w:customStyle="1" w:styleId="BodyTextChar">
    <w:name w:val="Body Text Char"/>
    <w:basedOn w:val="DefaultParagraphFont"/>
    <w:link w:val="BodyText"/>
    <w:uiPriority w:val="99"/>
    <w:semiHidden/>
    <w:rsid w:val="005273E2"/>
  </w:style>
  <w:style w:type="paragraph" w:customStyle="1" w:styleId="AppendixHeading2">
    <w:name w:val="Appendix Heading 2"/>
    <w:basedOn w:val="Heading2"/>
    <w:autoRedefine/>
    <w:uiPriority w:val="23"/>
    <w:qFormat/>
    <w:rsid w:val="005273E2"/>
    <w:pPr>
      <w:numPr>
        <w:numId w:val="32"/>
      </w:numPr>
    </w:pPr>
  </w:style>
  <w:style w:type="paragraph" w:customStyle="1" w:styleId="STPR2Heading1">
    <w:name w:val="STPR2_Heading 1"/>
    <w:basedOn w:val="NoParagraphStyle"/>
    <w:uiPriority w:val="4"/>
    <w:qFormat/>
    <w:rsid w:val="005273E2"/>
    <w:pPr>
      <w:suppressAutoHyphens/>
      <w:spacing w:after="240" w:line="240" w:lineRule="auto"/>
    </w:pPr>
    <w:rPr>
      <w:rFonts w:ascii="Arial" w:hAnsi="Arial" w:cs="Arial"/>
      <w:b/>
      <w:bCs/>
      <w:color w:val="B06900"/>
      <w:sz w:val="36"/>
      <w:szCs w:val="36"/>
    </w:rPr>
  </w:style>
  <w:style w:type="paragraph" w:customStyle="1" w:styleId="STPR2Heading1Nonumbering">
    <w:name w:val="STPR2_Heading 1_No numbering"/>
    <w:basedOn w:val="STPR2Heading1"/>
    <w:uiPriority w:val="23"/>
    <w:qFormat/>
    <w:rsid w:val="005273E2"/>
  </w:style>
  <w:style w:type="paragraph" w:customStyle="1" w:styleId="STPR2AppendicesHeading1">
    <w:name w:val="STPR2_Appendices_Heading 1"/>
    <w:basedOn w:val="STPR2Heading1Nonumbering"/>
    <w:uiPriority w:val="23"/>
    <w:qFormat/>
    <w:rsid w:val="005273E2"/>
    <w:pPr>
      <w:pageBreakBefore/>
      <w:numPr>
        <w:numId w:val="41"/>
      </w:numPr>
    </w:pPr>
  </w:style>
  <w:style w:type="paragraph" w:customStyle="1" w:styleId="STPR2Heading2">
    <w:name w:val="STPR2_Heading 2"/>
    <w:basedOn w:val="STPR2Heading1"/>
    <w:link w:val="STPR2Heading2Char"/>
    <w:uiPriority w:val="5"/>
    <w:qFormat/>
    <w:rsid w:val="005273E2"/>
    <w:pPr>
      <w:numPr>
        <w:ilvl w:val="1"/>
      </w:numPr>
      <w:spacing w:after="160"/>
    </w:pPr>
    <w:rPr>
      <w:color w:val="626266"/>
      <w:sz w:val="28"/>
      <w:szCs w:val="28"/>
    </w:rPr>
  </w:style>
  <w:style w:type="character" w:customStyle="1" w:styleId="STPR2Heading2Char">
    <w:name w:val="STPR2_Heading 2 Char"/>
    <w:basedOn w:val="DefaultParagraphFont"/>
    <w:link w:val="STPR2Heading2"/>
    <w:uiPriority w:val="5"/>
    <w:rsid w:val="005273E2"/>
    <w:rPr>
      <w:rFonts w:ascii="Arial" w:eastAsiaTheme="minorEastAsia" w:hAnsi="Arial" w:cs="Arial"/>
      <w:b/>
      <w:bCs/>
      <w:color w:val="626266"/>
      <w:sz w:val="28"/>
      <w:szCs w:val="28"/>
      <w:lang w:eastAsia="en-GB"/>
    </w:rPr>
  </w:style>
  <w:style w:type="paragraph" w:customStyle="1" w:styleId="STPR2BodyBold">
    <w:name w:val="STPR2_Body Bold"/>
    <w:basedOn w:val="STPR2BodyText"/>
    <w:uiPriority w:val="1"/>
    <w:rsid w:val="005273E2"/>
    <w:rPr>
      <w:b/>
      <w:bCs/>
    </w:rPr>
  </w:style>
  <w:style w:type="paragraph" w:customStyle="1" w:styleId="STPR2BodyCentred">
    <w:name w:val="STPR2_Body Centred"/>
    <w:basedOn w:val="STPR2BodyText"/>
    <w:uiPriority w:val="16"/>
    <w:rsid w:val="005273E2"/>
    <w:pPr>
      <w:jc w:val="center"/>
    </w:pPr>
  </w:style>
  <w:style w:type="paragraph" w:customStyle="1" w:styleId="STPR2BodyCentredBold">
    <w:name w:val="STPR2_Body Centred Bold"/>
    <w:basedOn w:val="STPR2BodyCentred"/>
    <w:uiPriority w:val="17"/>
    <w:rsid w:val="005273E2"/>
    <w:rPr>
      <w:b/>
      <w:bCs/>
    </w:rPr>
  </w:style>
  <w:style w:type="paragraph" w:customStyle="1" w:styleId="STPR2BodyCentredItalic">
    <w:name w:val="STPR2_Body Centred Italic"/>
    <w:basedOn w:val="STPR2BodyText"/>
    <w:uiPriority w:val="18"/>
    <w:rsid w:val="005273E2"/>
    <w:pPr>
      <w:jc w:val="center"/>
    </w:pPr>
    <w:rPr>
      <w:i/>
      <w:iCs/>
    </w:rPr>
  </w:style>
  <w:style w:type="paragraph" w:customStyle="1" w:styleId="STPR2BodyItalics">
    <w:name w:val="STPR2_Body Italics"/>
    <w:basedOn w:val="STPR2BodyText"/>
    <w:uiPriority w:val="2"/>
    <w:rsid w:val="005273E2"/>
    <w:rPr>
      <w:i/>
      <w:iCs/>
    </w:rPr>
  </w:style>
  <w:style w:type="paragraph" w:customStyle="1" w:styleId="STPR2BodyItalicsBold">
    <w:name w:val="STPR2_Body Italics Bold"/>
    <w:basedOn w:val="STPR2BodyItalics"/>
    <w:uiPriority w:val="3"/>
    <w:rsid w:val="005273E2"/>
    <w:rPr>
      <w:b/>
      <w:bCs/>
    </w:rPr>
  </w:style>
  <w:style w:type="paragraph" w:customStyle="1" w:styleId="STPR2BulletsLevel2">
    <w:name w:val="STPR2_Bullets Level 2"/>
    <w:basedOn w:val="STPR2BulletsLevel1"/>
    <w:uiPriority w:val="7"/>
    <w:rsid w:val="005273E2"/>
    <w:pPr>
      <w:numPr>
        <w:numId w:val="37"/>
      </w:numPr>
      <w:ind w:left="720"/>
    </w:pPr>
  </w:style>
  <w:style w:type="paragraph" w:customStyle="1" w:styleId="STPR2Caption">
    <w:name w:val="STPR2_Caption"/>
    <w:basedOn w:val="STPR2BodyText"/>
    <w:autoRedefine/>
    <w:uiPriority w:val="19"/>
    <w:qFormat/>
    <w:rsid w:val="005273E2"/>
    <w:pPr>
      <w:keepNext/>
      <w:keepLines/>
      <w:spacing w:line="235" w:lineRule="auto"/>
    </w:pPr>
    <w:rPr>
      <w:b/>
      <w:szCs w:val="16"/>
    </w:rPr>
  </w:style>
  <w:style w:type="paragraph" w:customStyle="1" w:styleId="STPR2Footnote">
    <w:name w:val="STPR2_Footnote"/>
    <w:basedOn w:val="STPR2BodyText"/>
    <w:autoRedefine/>
    <w:uiPriority w:val="20"/>
    <w:rsid w:val="005273E2"/>
    <w:pPr>
      <w:spacing w:line="200" w:lineRule="atLeast"/>
    </w:pPr>
    <w:rPr>
      <w:szCs w:val="24"/>
    </w:rPr>
  </w:style>
  <w:style w:type="paragraph" w:customStyle="1" w:styleId="STPR2Heading3">
    <w:name w:val="STPR2_Heading 3"/>
    <w:basedOn w:val="STPR2Heading1"/>
    <w:autoRedefine/>
    <w:uiPriority w:val="6"/>
    <w:rsid w:val="005273E2"/>
    <w:pPr>
      <w:spacing w:after="60"/>
    </w:pPr>
    <w:rPr>
      <w:i/>
      <w:color w:val="626266"/>
      <w:sz w:val="24"/>
      <w:szCs w:val="20"/>
    </w:rPr>
  </w:style>
  <w:style w:type="paragraph" w:customStyle="1" w:styleId="STPR2LetterList">
    <w:name w:val="STPR2_Letter List"/>
    <w:basedOn w:val="STPR2BodyText"/>
    <w:uiPriority w:val="10"/>
    <w:rsid w:val="005273E2"/>
    <w:pPr>
      <w:numPr>
        <w:numId w:val="38"/>
      </w:numPr>
      <w:tabs>
        <w:tab w:val="left" w:pos="283"/>
      </w:tabs>
      <w:contextualSpacing/>
    </w:pPr>
  </w:style>
  <w:style w:type="paragraph" w:customStyle="1" w:styleId="STPR2NumberList">
    <w:name w:val="STPR2_Number List"/>
    <w:basedOn w:val="STPR2BodyText"/>
    <w:uiPriority w:val="9"/>
    <w:rsid w:val="005273E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DCD84-18B8-4B6E-B8F3-8A72FE84BEB1}">
  <ds:schemaRefs>
    <ds:schemaRef ds:uri="http://schemas.microsoft.com/sharepoint/v3/contenttype/forms"/>
  </ds:schemaRefs>
</ds:datastoreItem>
</file>

<file path=customXml/itemProps2.xml><?xml version="1.0" encoding="utf-8"?>
<ds:datastoreItem xmlns:ds="http://schemas.openxmlformats.org/officeDocument/2006/customXml" ds:itemID="{D2D20AB6-3E47-4C00-A968-9D92605C8F2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60EE68D1-9D65-461E-9419-20B4E169F8E9}">
  <ds:schemaRefs>
    <ds:schemaRef ds:uri="http://schemas.openxmlformats.org/officeDocument/2006/bibliography"/>
  </ds:schemaRefs>
</ds:datastoreItem>
</file>

<file path=customXml/itemProps4.xml><?xml version="1.0" encoding="utf-8"?>
<ds:datastoreItem xmlns:ds="http://schemas.openxmlformats.org/officeDocument/2006/customXml" ds:itemID="{19013679-662E-4DA5-9804-C3677481B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2598</Words>
  <Characters>15072</Characters>
  <Application>Microsoft Office Word</Application>
  <DocSecurity>0</DocSecurity>
  <Lines>396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Bagnall, Eleanor</dc:creator>
  <cp:keywords/>
  <dc:description/>
  <cp:lastModifiedBy>Casey, Joanne</cp:lastModifiedBy>
  <cp:revision>7</cp:revision>
  <cp:lastPrinted>2022-12-06T10:11:00Z</cp:lastPrinted>
  <dcterms:created xsi:type="dcterms:W3CDTF">2022-12-05T12:57:00Z</dcterms:created>
  <dcterms:modified xsi:type="dcterms:W3CDTF">2022-12-06T10:11:00Z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