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A1EA" w14:textId="77777777" w:rsidR="00D27AD1" w:rsidRDefault="00D27AD1" w:rsidP="009475F2">
      <w:pPr>
        <w:pStyle w:val="STPR2Title2"/>
        <w:spacing w:after="240"/>
        <w:rPr>
          <w:lang w:val="en-GB"/>
        </w:rPr>
      </w:pPr>
      <w:r w:rsidRPr="5F1D3F42">
        <w:rPr>
          <w:lang w:val="en-GB"/>
        </w:rPr>
        <w:t xml:space="preserve"> </w:t>
      </w:r>
    </w:p>
    <w:p w14:paraId="5CF46EAA" w14:textId="77777777" w:rsidR="00D27AD1" w:rsidRDefault="00D27AD1" w:rsidP="009475F2">
      <w:pPr>
        <w:pStyle w:val="STPR2Title2"/>
        <w:spacing w:after="240"/>
        <w:rPr>
          <w:lang w:val="en-GB"/>
        </w:rPr>
      </w:pPr>
    </w:p>
    <w:p w14:paraId="284655E3" w14:textId="77777777" w:rsidR="00D27AD1" w:rsidRDefault="00D27AD1" w:rsidP="009475F2">
      <w:pPr>
        <w:pStyle w:val="STPR2Title2"/>
        <w:spacing w:after="240"/>
        <w:rPr>
          <w:lang w:val="en-GB"/>
        </w:rPr>
      </w:pPr>
    </w:p>
    <w:p w14:paraId="2D59AF0C" w14:textId="77777777" w:rsidR="00D27AD1" w:rsidRDefault="00D27AD1" w:rsidP="009475F2">
      <w:pPr>
        <w:pStyle w:val="STPR2Title2"/>
        <w:spacing w:after="240"/>
        <w:rPr>
          <w:lang w:val="en-GB"/>
        </w:rPr>
      </w:pPr>
    </w:p>
    <w:p w14:paraId="649D2112" w14:textId="77777777" w:rsidR="00D27AD1" w:rsidRDefault="00D27AD1" w:rsidP="009475F2">
      <w:pPr>
        <w:pStyle w:val="STPR2Title2"/>
        <w:spacing w:after="240"/>
        <w:rPr>
          <w:lang w:val="en-GB"/>
        </w:rPr>
      </w:pPr>
    </w:p>
    <w:p w14:paraId="7B0A94D7" w14:textId="77777777" w:rsidR="00D27AD1" w:rsidRDefault="00D27AD1" w:rsidP="009475F2">
      <w:pPr>
        <w:pStyle w:val="STPR2Title2"/>
        <w:spacing w:after="240"/>
        <w:rPr>
          <w:lang w:val="en-GB"/>
        </w:rPr>
      </w:pPr>
    </w:p>
    <w:p w14:paraId="5FFCEC1F" w14:textId="77777777" w:rsidR="00D27AD1" w:rsidRDefault="00D27AD1" w:rsidP="009475F2">
      <w:pPr>
        <w:pStyle w:val="STPR2Title2"/>
        <w:spacing w:after="240"/>
        <w:rPr>
          <w:lang w:val="en-GB"/>
        </w:rPr>
      </w:pPr>
    </w:p>
    <w:p w14:paraId="04FB5062" w14:textId="77777777" w:rsidR="00D27AD1" w:rsidRDefault="00D27AD1" w:rsidP="009475F2">
      <w:pPr>
        <w:pStyle w:val="STPR2Title2"/>
        <w:spacing w:after="240"/>
        <w:rPr>
          <w:lang w:val="en-GB"/>
        </w:rPr>
      </w:pPr>
    </w:p>
    <w:p w14:paraId="38478164" w14:textId="77777777" w:rsidR="00D27AD1" w:rsidRDefault="00D27AD1" w:rsidP="009475F2">
      <w:pPr>
        <w:pStyle w:val="STPR2Title2"/>
        <w:spacing w:after="240"/>
        <w:rPr>
          <w:lang w:val="en-GB"/>
        </w:rPr>
      </w:pPr>
    </w:p>
    <w:p w14:paraId="2A3B9F3D" w14:textId="77777777" w:rsidR="00D27AD1" w:rsidRDefault="00D27AD1" w:rsidP="009475F2">
      <w:pPr>
        <w:pStyle w:val="STPR2Title2"/>
        <w:spacing w:after="240"/>
        <w:rPr>
          <w:lang w:val="en-GB"/>
        </w:rPr>
      </w:pPr>
    </w:p>
    <w:p w14:paraId="4C58ACB1" w14:textId="77777777" w:rsidR="00D27AD1" w:rsidRDefault="00D27AD1" w:rsidP="009475F2">
      <w:pPr>
        <w:pStyle w:val="STPR2Title2"/>
        <w:spacing w:after="240"/>
        <w:rPr>
          <w:lang w:val="en-GB"/>
        </w:rPr>
      </w:pPr>
    </w:p>
    <w:p w14:paraId="00E5F1B9" w14:textId="77777777" w:rsidR="00D27AD1" w:rsidRDefault="00D27AD1" w:rsidP="009475F2">
      <w:pPr>
        <w:pStyle w:val="STPR2Title2"/>
        <w:spacing w:after="240"/>
        <w:rPr>
          <w:lang w:val="en-GB"/>
        </w:rPr>
      </w:pPr>
    </w:p>
    <w:p w14:paraId="1076FD82" w14:textId="77777777" w:rsidR="00D27AD1" w:rsidRDefault="00D27AD1" w:rsidP="009475F2">
      <w:pPr>
        <w:pStyle w:val="STPR2Title2"/>
        <w:spacing w:after="240"/>
        <w:rPr>
          <w:lang w:val="en-GB"/>
        </w:rPr>
      </w:pPr>
    </w:p>
    <w:p w14:paraId="3FE819A7" w14:textId="77777777" w:rsidR="00D27AD1" w:rsidRDefault="00D27AD1" w:rsidP="009475F2">
      <w:pPr>
        <w:pStyle w:val="STPR2Title2"/>
        <w:spacing w:after="240"/>
        <w:rPr>
          <w:lang w:val="en-GB"/>
        </w:rPr>
      </w:pPr>
    </w:p>
    <w:p w14:paraId="462CEE34" w14:textId="77777777" w:rsidR="00D27AD1" w:rsidRDefault="00D27AD1" w:rsidP="009475F2">
      <w:pPr>
        <w:pStyle w:val="STPR2Title2"/>
        <w:spacing w:after="240"/>
        <w:rPr>
          <w:lang w:val="en-GB"/>
        </w:rPr>
      </w:pPr>
    </w:p>
    <w:p w14:paraId="44BB0A78" w14:textId="77777777" w:rsidR="00D27AD1" w:rsidRDefault="00D27AD1" w:rsidP="009475F2">
      <w:pPr>
        <w:pStyle w:val="STPR2Title2"/>
        <w:spacing w:after="240"/>
        <w:rPr>
          <w:lang w:val="en-GB"/>
        </w:rPr>
      </w:pPr>
    </w:p>
    <w:p w14:paraId="0E4DD66D" w14:textId="77777777" w:rsidR="00D27AD1" w:rsidRDefault="00D27AD1" w:rsidP="009475F2">
      <w:pPr>
        <w:pStyle w:val="STPR2Title3"/>
        <w:rPr>
          <w:sz w:val="36"/>
          <w:szCs w:val="36"/>
          <w:lang w:val="en-GB"/>
        </w:rPr>
      </w:pPr>
    </w:p>
    <w:p w14:paraId="29A4C4D4" w14:textId="77777777" w:rsidR="00A773B4" w:rsidRPr="00614954" w:rsidRDefault="00A773B4" w:rsidP="00A773B4">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235FCF4C" w14:textId="77777777" w:rsidR="00D27AD1" w:rsidRPr="00614954" w:rsidRDefault="00D27AD1" w:rsidP="009475F2">
      <w:pPr>
        <w:pStyle w:val="STPR2Title3"/>
        <w:rPr>
          <w:lang w:val="en-GB"/>
        </w:rPr>
      </w:pPr>
    </w:p>
    <w:p w14:paraId="6ABF7F6E" w14:textId="3D9DBDF9" w:rsidR="00D27AD1" w:rsidRPr="00E645D5" w:rsidRDefault="004555EE" w:rsidP="009475F2">
      <w:pPr>
        <w:pStyle w:val="STPR2Title3"/>
        <w:rPr>
          <w:lang w:val="en-GB"/>
        </w:rPr>
        <w:sectPr w:rsidR="00D27AD1" w:rsidRPr="00E645D5" w:rsidSect="00735DFF">
          <w:headerReference w:type="default" r:id="rId12"/>
          <w:pgSz w:w="11906" w:h="16838" w:code="9"/>
          <w:pgMar w:top="1701" w:right="1138" w:bottom="1138" w:left="1138" w:header="454" w:footer="567" w:gutter="0"/>
          <w:cols w:space="720"/>
          <w:noEndnote/>
          <w:docGrid w:linePitch="299"/>
        </w:sectPr>
      </w:pPr>
      <w:r>
        <w:rPr>
          <w:lang w:val="en-GB"/>
        </w:rPr>
        <w:t>December 2022</w:t>
      </w:r>
    </w:p>
    <w:p w14:paraId="773DCB7E" w14:textId="77777777" w:rsidR="00D27AD1" w:rsidRDefault="00D27AD1" w:rsidP="003A2A9F">
      <w:pPr>
        <w:pStyle w:val="STPR2Heading1"/>
      </w:pPr>
      <w:r w:rsidRPr="00F843CA">
        <w:lastRenderedPageBreak/>
        <w:t>Detailed Appraisal Summary</w:t>
      </w:r>
    </w:p>
    <w:p w14:paraId="6C7D5579" w14:textId="177E30AC" w:rsidR="005012FE" w:rsidRPr="005012FE" w:rsidRDefault="005012FE" w:rsidP="005012FE">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18B48DDF" w14:textId="7CD93745" w:rsidR="00D27AD1" w:rsidRPr="00404433" w:rsidRDefault="00D27AD1" w:rsidP="00BC69FE">
      <w:pPr>
        <w:pStyle w:val="STPR2Heading2"/>
      </w:pPr>
      <w:r w:rsidRPr="00404433">
        <w:t xml:space="preserve">Recommendation </w:t>
      </w:r>
      <w:r w:rsidR="00BD445E" w:rsidRPr="00BD445E">
        <w:t xml:space="preserve">22 – Framework for </w:t>
      </w:r>
      <w:r w:rsidR="00880E22">
        <w:t xml:space="preserve">the </w:t>
      </w:r>
      <w:r w:rsidR="00BD445E" w:rsidRPr="00BD445E">
        <w:t>delivery of mobility hubs</w:t>
      </w:r>
    </w:p>
    <w:p w14:paraId="61B36978" w14:textId="77777777" w:rsidR="00D27AD1" w:rsidRPr="00EA0E6F" w:rsidRDefault="00D27AD1" w:rsidP="00FA3F9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7C01E7">
        <w:rPr>
          <w:b/>
          <w:bCs/>
        </w:rPr>
        <w:t xml:space="preserve">Recommendation </w:t>
      </w:r>
      <w:r w:rsidR="00BD445E">
        <w:rPr>
          <w:b/>
          <w:bCs/>
        </w:rPr>
        <w:t>Description</w:t>
      </w:r>
    </w:p>
    <w:p w14:paraId="28DBEF4F"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pPr>
      <w:r>
        <w:t xml:space="preserve">Improving links between public transport services, active travel (walking, </w:t>
      </w:r>
      <w:proofErr w:type="gramStart"/>
      <w:r>
        <w:t>wheeling</w:t>
      </w:r>
      <w:proofErr w:type="gramEnd"/>
      <w:r>
        <w:t xml:space="preserve"> and cycling) and shared transport makes it easier for people, particularly those without a car, to get to and from their destination. This addresses one of the main barriers to uptake of public transport services. </w:t>
      </w:r>
    </w:p>
    <w:p w14:paraId="18787947" w14:textId="36254332" w:rsidR="00D27AD1" w:rsidRDefault="00D27AD1" w:rsidP="00FA3F99">
      <w:pPr>
        <w:pStyle w:val="STPR2BodyText"/>
        <w:pBdr>
          <w:top w:val="single" w:sz="4" w:space="1" w:color="auto"/>
          <w:left w:val="single" w:sz="4" w:space="4" w:color="auto"/>
          <w:bottom w:val="single" w:sz="4" w:space="1" w:color="auto"/>
          <w:right w:val="single" w:sz="4" w:space="4" w:color="auto"/>
        </w:pBdr>
      </w:pPr>
      <w:r>
        <w:t>Mobility hubs are facilities where various types of transport, and potentially other services</w:t>
      </w:r>
      <w:r w:rsidR="002E4B37">
        <w:t>,</w:t>
      </w:r>
      <w:r>
        <w:t xml:space="preserve"> inter-connect. </w:t>
      </w:r>
      <w:hyperlink r:id="rId13" w:history="1">
        <w:proofErr w:type="spellStart"/>
        <w:r w:rsidR="00BE5B22" w:rsidRPr="00BE5B22">
          <w:rPr>
            <w:rStyle w:val="Hyperlink"/>
          </w:rPr>
          <w:t>CoMoUK</w:t>
        </w:r>
        <w:proofErr w:type="spellEnd"/>
        <w:r w:rsidRPr="00BE5B22">
          <w:rPr>
            <w:rStyle w:val="Hyperlink"/>
          </w:rPr>
          <w:t xml:space="preserve"> define a mobility hub</w:t>
        </w:r>
      </w:hyperlink>
      <w:r>
        <w:t xml:space="preserve"> as “A recognisable place with an offer of different and connected transport modes supplemented with enhanced facilities and information features to both attract and benefit the traveller”</w:t>
      </w:r>
      <w:r w:rsidR="004C5459">
        <w:rPr>
          <w:rStyle w:val="EndnoteReference"/>
        </w:rPr>
        <w:t xml:space="preserve"> </w:t>
      </w:r>
      <w:r>
        <w:t>. They support changing travel patterns which result</w:t>
      </w:r>
      <w:r w:rsidR="002E4B37">
        <w:t>s</w:t>
      </w:r>
      <w:r>
        <w:t xml:space="preserve"> in a greater reliance on local facilities, such as increased home-working and promotion of liveable places – including 20</w:t>
      </w:r>
      <w:r w:rsidR="002E4B37">
        <w:t>-</w:t>
      </w:r>
      <w:r>
        <w:t>minute neighbourhoods. Mobility hubs can be developed in various contexts, including rural and island communities, and services can be tailored to support specific locational characteristics and needs.</w:t>
      </w:r>
    </w:p>
    <w:p w14:paraId="1632B185" w14:textId="64538015" w:rsidR="00D27AD1" w:rsidRDefault="00B81832" w:rsidP="00FA3F99">
      <w:pPr>
        <w:pStyle w:val="STPR2BodyText"/>
        <w:pBdr>
          <w:top w:val="single" w:sz="4" w:space="1" w:color="auto"/>
          <w:left w:val="single" w:sz="4" w:space="4" w:color="auto"/>
          <w:bottom w:val="single" w:sz="4" w:space="1" w:color="auto"/>
          <w:right w:val="single" w:sz="4" w:space="4" w:color="auto"/>
        </w:pBdr>
      </w:pPr>
      <w:r>
        <w:t xml:space="preserve">Building on </w:t>
      </w:r>
      <w:hyperlink r:id="rId14" w:history="1">
        <w:r w:rsidRPr="00475CA4">
          <w:rPr>
            <w:rStyle w:val="Hyperlink"/>
          </w:rPr>
          <w:t xml:space="preserve">existing guidance produced by </w:t>
        </w:r>
        <w:proofErr w:type="spellStart"/>
        <w:r w:rsidR="00475CA4" w:rsidRPr="00475CA4">
          <w:rPr>
            <w:rStyle w:val="Hyperlink"/>
          </w:rPr>
          <w:t>CoMoUK</w:t>
        </w:r>
        <w:proofErr w:type="spellEnd"/>
      </w:hyperlink>
      <w:r w:rsidR="004C5459">
        <w:rPr>
          <w:rStyle w:val="EndnoteReference"/>
        </w:rPr>
        <w:t xml:space="preserve"> </w:t>
      </w:r>
      <w:r w:rsidR="006C0603">
        <w:t xml:space="preserve"> </w:t>
      </w:r>
      <w:r w:rsidR="004C5459">
        <w:rPr>
          <w:rStyle w:val="EndnoteReference"/>
        </w:rPr>
        <w:t xml:space="preserve"> </w:t>
      </w:r>
      <w:r>
        <w:t>, t</w:t>
      </w:r>
      <w:r w:rsidR="00D27AD1">
        <w:t>his recommendation covers the preparation of a delivery framework for mobility hubs</w:t>
      </w:r>
      <w:r w:rsidR="002E4B37">
        <w:t>,</w:t>
      </w:r>
      <w:r w:rsidR="00D27AD1">
        <w:t xml:space="preserve"> in collaboration with stakeholders</w:t>
      </w:r>
      <w:r w:rsidR="002E4B37">
        <w:t>,</w:t>
      </w:r>
      <w:r w:rsidR="00D27AD1">
        <w:t xml:space="preserve"> to facilitate the creation of high</w:t>
      </w:r>
      <w:r w:rsidR="002E4B37">
        <w:t>-</w:t>
      </w:r>
      <w:r w:rsidR="00D27AD1">
        <w:t>quality mobility hubs across Scotland. To ensure the</w:t>
      </w:r>
      <w:r w:rsidR="00111230">
        <w:t>ir</w:t>
      </w:r>
      <w:r w:rsidR="00D27AD1">
        <w:t xml:space="preserve"> effectiveness, the framework </w:t>
      </w:r>
      <w:r w:rsidR="001A2712">
        <w:t>would</w:t>
      </w:r>
      <w:r w:rsidR="002E4B37">
        <w:t xml:space="preserve"> </w:t>
      </w:r>
      <w:r w:rsidR="00D27AD1">
        <w:t xml:space="preserve">include guidance, building on best practice and work undertaken elsewhere, to allow robust assessment and coordination of future funding decisions on mobility hubs, </w:t>
      </w:r>
      <w:r w:rsidR="00F51FEE">
        <w:t xml:space="preserve">including </w:t>
      </w:r>
      <w:r w:rsidR="00D27AD1">
        <w:t>determination of the most appropriate locations</w:t>
      </w:r>
      <w:r w:rsidR="004E6D97">
        <w:t xml:space="preserve"> </w:t>
      </w:r>
      <w:r w:rsidR="00B243CE">
        <w:t xml:space="preserve">and facilities for </w:t>
      </w:r>
      <w:r w:rsidR="00CF731B">
        <w:t>different</w:t>
      </w:r>
      <w:r w:rsidR="00236F1D">
        <w:t xml:space="preserve"> mobility hub typolog</w:t>
      </w:r>
      <w:r w:rsidR="004F5FD8">
        <w:t>ies</w:t>
      </w:r>
      <w:r w:rsidR="00B243CE">
        <w:t xml:space="preserve"> </w:t>
      </w:r>
      <w:r w:rsidR="00420C99">
        <w:t>(covering</w:t>
      </w:r>
      <w:r w:rsidR="00B243CE">
        <w:t xml:space="preserve"> both urban and rural contexts</w:t>
      </w:r>
      <w:r w:rsidR="00420C99">
        <w:t>)</w:t>
      </w:r>
      <w:r w:rsidR="007A2E83">
        <w:t xml:space="preserve">, </w:t>
      </w:r>
      <w:r w:rsidR="00E7174A">
        <w:t>design principles</w:t>
      </w:r>
      <w:r w:rsidR="00436D68">
        <w:t>,</w:t>
      </w:r>
      <w:r w:rsidR="00D27AD1">
        <w:t xml:space="preserve"> methods of community engagement</w:t>
      </w:r>
      <w:r w:rsidR="00436D68" w:rsidRPr="00436D68">
        <w:t xml:space="preserve"> </w:t>
      </w:r>
      <w:r w:rsidR="00436D68">
        <w:t>and delivery models</w:t>
      </w:r>
      <w:r w:rsidR="00D27AD1">
        <w:t>.</w:t>
      </w:r>
      <w:r w:rsidR="00DB6E70">
        <w:t xml:space="preserve"> </w:t>
      </w:r>
      <w:r w:rsidR="00436D68">
        <w:t xml:space="preserve"> </w:t>
      </w:r>
    </w:p>
    <w:p w14:paraId="6814F3FC" w14:textId="2855B761" w:rsidR="00D27AD1" w:rsidRPr="00DD39A8" w:rsidRDefault="00D27AD1" w:rsidP="00FA3F99">
      <w:pPr>
        <w:pStyle w:val="STPR2BodyText"/>
        <w:pBdr>
          <w:top w:val="single" w:sz="4" w:space="1" w:color="auto"/>
          <w:left w:val="single" w:sz="4" w:space="4" w:color="auto"/>
          <w:bottom w:val="single" w:sz="4" w:space="1" w:color="auto"/>
          <w:right w:val="single" w:sz="4" w:space="4" w:color="auto"/>
        </w:pBdr>
      </w:pPr>
      <w:r>
        <w:t>The creation of a recognisable network of high-quality multi</w:t>
      </w:r>
      <w:r w:rsidR="00C334C8">
        <w:t>-</w:t>
      </w:r>
      <w:r>
        <w:t xml:space="preserve">modal mobility hubs across Scotland </w:t>
      </w:r>
      <w:r w:rsidR="001A2712">
        <w:t>would</w:t>
      </w:r>
      <w:r>
        <w:t xml:space="preserve"> support the priorities of the NTS2 by increasing the attractiveness and visibility of public and shared transport, through bettering connectivity, improving links between public, active and shared transport options, and providing seamless travel opportunities, particularly for those without access to a private car. A </w:t>
      </w:r>
      <w:proofErr w:type="gramStart"/>
      <w:r>
        <w:t>nationally-led</w:t>
      </w:r>
      <w:proofErr w:type="gramEnd"/>
      <w:r>
        <w:t xml:space="preserve"> framework for the delivery of </w:t>
      </w:r>
      <w:r w:rsidR="00F406A9">
        <w:t>m</w:t>
      </w:r>
      <w:r>
        <w:t xml:space="preserve">obility </w:t>
      </w:r>
      <w:r w:rsidR="00F406A9">
        <w:t>h</w:t>
      </w:r>
      <w:r>
        <w:t xml:space="preserve">ubs </w:t>
      </w:r>
      <w:r w:rsidR="001A2712">
        <w:t>would</w:t>
      </w:r>
      <w:r>
        <w:t xml:space="preserve"> provide all stakeholders and delivery partners with a clear template and pathway for action, and </w:t>
      </w:r>
      <w:r w:rsidR="002E4B37">
        <w:t xml:space="preserve">give </w:t>
      </w:r>
      <w:r>
        <w:t>national government a guiding hand in planning and providing a network of hubs which is coherent, integrated, and delivers against its many social, economic, and environmental targets and policy objectives.</w:t>
      </w:r>
    </w:p>
    <w:p w14:paraId="72DEB9FD" w14:textId="77777777" w:rsidR="0057497D" w:rsidRDefault="0057497D" w:rsidP="00A85E3D">
      <w:pPr>
        <w:pStyle w:val="NoSpacing"/>
      </w:pPr>
    </w:p>
    <w:p w14:paraId="31F9EAB2" w14:textId="77777777" w:rsidR="0057497D" w:rsidRDefault="0057497D" w:rsidP="00A85E3D">
      <w:pPr>
        <w:pStyle w:val="NoSpacing"/>
      </w:pPr>
    </w:p>
    <w:p w14:paraId="2B7A2D1D" w14:textId="77777777" w:rsidR="0057497D" w:rsidRDefault="0057497D" w:rsidP="00A85E3D">
      <w:pPr>
        <w:pStyle w:val="NoSpacing"/>
      </w:pPr>
    </w:p>
    <w:p w14:paraId="65D02059" w14:textId="77777777" w:rsidR="0057497D" w:rsidRDefault="0057497D" w:rsidP="00A85E3D">
      <w:pPr>
        <w:pStyle w:val="NoSpacing"/>
      </w:pPr>
    </w:p>
    <w:p w14:paraId="26638CEC" w14:textId="77777777" w:rsidR="00A85E3D" w:rsidRDefault="00A85E3D" w:rsidP="00A85E3D">
      <w:pPr>
        <w:pStyle w:val="NoSpacing"/>
      </w:pPr>
    </w:p>
    <w:p w14:paraId="3A1C42A9" w14:textId="77777777" w:rsidR="00A85E3D" w:rsidRDefault="00A85E3D" w:rsidP="00A85E3D">
      <w:pPr>
        <w:pStyle w:val="NoSpacing"/>
      </w:pPr>
    </w:p>
    <w:p w14:paraId="351E0009" w14:textId="092183F6" w:rsidR="00D27AD1" w:rsidRPr="00BC69FE" w:rsidRDefault="00D27AD1" w:rsidP="00BC69FE">
      <w:pPr>
        <w:pStyle w:val="STPR2Heading2"/>
      </w:pPr>
      <w:r w:rsidRPr="00BC69FE">
        <w:t>Relevance</w:t>
      </w:r>
    </w:p>
    <w:p w14:paraId="5AF41DD4" w14:textId="77777777" w:rsidR="00D27AD1" w:rsidRPr="00A21040" w:rsidRDefault="00D27AD1" w:rsidP="00FA3F99">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sidRPr="009D4B58">
        <w:rPr>
          <w:b/>
          <w:bCs/>
        </w:rPr>
        <w:t>Relevant to active travel and public transport users across Scotland</w:t>
      </w:r>
    </w:p>
    <w:p w14:paraId="62292F92" w14:textId="77777777" w:rsidR="00F80B90" w:rsidRDefault="00F80B90" w:rsidP="00FA3F99">
      <w:pPr>
        <w:pBdr>
          <w:top w:val="single" w:sz="4" w:space="1" w:color="auto"/>
          <w:left w:val="single" w:sz="4" w:space="1" w:color="auto"/>
          <w:bottom w:val="single" w:sz="4" w:space="1" w:color="auto"/>
          <w:right w:val="single" w:sz="4" w:space="1" w:color="auto"/>
        </w:pBdr>
        <w:rPr>
          <w:rFonts w:ascii="Arial" w:hAnsi="Arial" w:cs="Arial"/>
          <w:sz w:val="24"/>
          <w:szCs w:val="24"/>
        </w:rPr>
      </w:pPr>
      <w:r w:rsidRPr="000A1FE6">
        <w:rPr>
          <w:rFonts w:ascii="Arial" w:hAnsi="Arial" w:cs="Arial"/>
          <w:sz w:val="24"/>
          <w:szCs w:val="24"/>
        </w:rPr>
        <w:t xml:space="preserve">Mobility hubs align with wider policy goals </w:t>
      </w:r>
      <w:r>
        <w:rPr>
          <w:rFonts w:ascii="Arial" w:hAnsi="Arial" w:cs="Arial"/>
          <w:sz w:val="24"/>
          <w:szCs w:val="24"/>
        </w:rPr>
        <w:t>to support a reduction in private vehicle use and kilometres travelled by car by increasing the attractiveness and convenience of a</w:t>
      </w:r>
      <w:r w:rsidRPr="000A1FE6">
        <w:rPr>
          <w:rFonts w:ascii="Arial" w:hAnsi="Arial" w:cs="Arial"/>
          <w:sz w:val="24"/>
          <w:szCs w:val="24"/>
        </w:rPr>
        <w:t>ctive travel and public transport</w:t>
      </w:r>
      <w:r>
        <w:rPr>
          <w:rFonts w:ascii="Arial" w:hAnsi="Arial" w:cs="Arial"/>
          <w:sz w:val="24"/>
          <w:szCs w:val="24"/>
        </w:rPr>
        <w:t xml:space="preserve"> options</w:t>
      </w:r>
      <w:r w:rsidRPr="000A1FE6">
        <w:rPr>
          <w:rFonts w:ascii="Arial" w:hAnsi="Arial" w:cs="Arial"/>
          <w:sz w:val="24"/>
          <w:szCs w:val="24"/>
        </w:rPr>
        <w:t>.</w:t>
      </w:r>
      <w:r>
        <w:rPr>
          <w:rFonts w:ascii="Arial" w:hAnsi="Arial" w:cs="Arial"/>
          <w:sz w:val="24"/>
          <w:szCs w:val="24"/>
        </w:rPr>
        <w:t xml:space="preserve"> </w:t>
      </w:r>
    </w:p>
    <w:p w14:paraId="6112E0E8" w14:textId="51804498" w:rsidR="00F80B90" w:rsidRDefault="00B40B0B" w:rsidP="00FA3F99">
      <w:pPr>
        <w:pBdr>
          <w:top w:val="single" w:sz="4" w:space="1" w:color="auto"/>
          <w:left w:val="single" w:sz="4" w:space="1" w:color="auto"/>
          <w:bottom w:val="single" w:sz="4" w:space="1" w:color="auto"/>
          <w:right w:val="single" w:sz="4" w:space="1" w:color="auto"/>
        </w:pBdr>
        <w:rPr>
          <w:rFonts w:ascii="Arial" w:hAnsi="Arial" w:cs="Arial"/>
          <w:sz w:val="24"/>
          <w:szCs w:val="24"/>
        </w:rPr>
      </w:pPr>
      <w:hyperlink r:id="rId15" w:history="1">
        <w:r w:rsidR="00E62208" w:rsidRPr="00E62208">
          <w:rPr>
            <w:rStyle w:val="Hyperlink"/>
            <w:rFonts w:ascii="Arial" w:hAnsi="Arial" w:cs="Arial"/>
            <w:sz w:val="24"/>
            <w:szCs w:val="24"/>
          </w:rPr>
          <w:t xml:space="preserve">Survey </w:t>
        </w:r>
        <w:proofErr w:type="gramStart"/>
        <w:r w:rsidR="00E62208" w:rsidRPr="00E62208">
          <w:rPr>
            <w:rStyle w:val="Hyperlink"/>
            <w:rFonts w:ascii="Arial" w:hAnsi="Arial" w:cs="Arial"/>
            <w:sz w:val="24"/>
            <w:szCs w:val="24"/>
          </w:rPr>
          <w:t>data</w:t>
        </w:r>
        <w:r w:rsidR="004C5459">
          <w:rPr>
            <w:rStyle w:val="Hyperlink"/>
            <w:rFonts w:ascii="Arial" w:hAnsi="Arial" w:cs="Arial"/>
            <w:sz w:val="24"/>
            <w:szCs w:val="24"/>
            <w:vertAlign w:val="superscript"/>
          </w:rPr>
          <w:t xml:space="preserve"> </w:t>
        </w:r>
        <w:r w:rsidR="00D27AD1" w:rsidRPr="00E62208">
          <w:rPr>
            <w:rStyle w:val="Hyperlink"/>
            <w:rFonts w:ascii="Arial" w:hAnsi="Arial" w:cs="Arial"/>
            <w:sz w:val="24"/>
            <w:szCs w:val="24"/>
          </w:rPr>
          <w:t xml:space="preserve"> indicates</w:t>
        </w:r>
        <w:proofErr w:type="gramEnd"/>
        <w:r w:rsidR="00D27AD1" w:rsidRPr="00E62208">
          <w:rPr>
            <w:rStyle w:val="Hyperlink"/>
            <w:rFonts w:ascii="Arial" w:hAnsi="Arial" w:cs="Arial"/>
            <w:sz w:val="24"/>
            <w:szCs w:val="24"/>
          </w:rPr>
          <w:t xml:space="preserve"> that 23% of car/van users who could use public transport for travel to work, but do not, said this was because there was no direct route, with 20% saying it was because of inconvenience</w:t>
        </w:r>
      </w:hyperlink>
      <w:r w:rsidR="00D27AD1">
        <w:rPr>
          <w:rFonts w:ascii="Arial" w:hAnsi="Arial" w:cs="Arial"/>
          <w:sz w:val="24"/>
          <w:szCs w:val="24"/>
        </w:rPr>
        <w:t>.</w:t>
      </w:r>
      <w:r w:rsidR="00D27AD1">
        <w:rPr>
          <w:rFonts w:ascii="Arial" w:eastAsiaTheme="minorHAnsi" w:hAnsi="Arial" w:cs="Arial"/>
          <w:sz w:val="24"/>
          <w:szCs w:val="24"/>
        </w:rPr>
        <w:t xml:space="preserve"> </w:t>
      </w:r>
      <w:r w:rsidR="00D27AD1">
        <w:rPr>
          <w:rFonts w:ascii="Arial" w:hAnsi="Arial" w:cs="Arial"/>
          <w:sz w:val="24"/>
          <w:szCs w:val="24"/>
        </w:rPr>
        <w:t>This recommendation could improve the directness of route</w:t>
      </w:r>
      <w:r w:rsidR="00E60A08">
        <w:rPr>
          <w:rFonts w:ascii="Arial" w:hAnsi="Arial" w:cs="Arial"/>
          <w:sz w:val="24"/>
          <w:szCs w:val="24"/>
        </w:rPr>
        <w:t>s</w:t>
      </w:r>
      <w:r w:rsidR="00D27AD1">
        <w:rPr>
          <w:rFonts w:ascii="Arial" w:hAnsi="Arial" w:cs="Arial"/>
          <w:sz w:val="24"/>
          <w:szCs w:val="24"/>
        </w:rPr>
        <w:t xml:space="preserve"> and convenience, improving ‘first and last mile’ connections and supporting transfer between services.</w:t>
      </w:r>
    </w:p>
    <w:p w14:paraId="59535FC3" w14:textId="77777777" w:rsidR="00D27AD1" w:rsidRPr="009D4B58" w:rsidRDefault="00F80B90" w:rsidP="00FA3F99">
      <w:pPr>
        <w:pBdr>
          <w:top w:val="single" w:sz="4" w:space="1" w:color="auto"/>
          <w:left w:val="single" w:sz="4" w:space="1" w:color="auto"/>
          <w:bottom w:val="single" w:sz="4" w:space="1" w:color="auto"/>
          <w:right w:val="single" w:sz="4" w:space="1" w:color="auto"/>
        </w:pBdr>
        <w:rPr>
          <w:rFonts w:ascii="Arial" w:eastAsiaTheme="minorHAnsi" w:hAnsi="Arial" w:cs="Arial"/>
          <w:sz w:val="24"/>
          <w:szCs w:val="24"/>
        </w:rPr>
      </w:pPr>
      <w:r w:rsidRPr="00E44512">
        <w:rPr>
          <w:rFonts w:ascii="Arial" w:hAnsi="Arial" w:cs="Arial"/>
          <w:sz w:val="24"/>
          <w:szCs w:val="24"/>
        </w:rPr>
        <w:t xml:space="preserve">Aside from </w:t>
      </w:r>
      <w:r>
        <w:rPr>
          <w:rFonts w:ascii="Arial" w:hAnsi="Arial" w:cs="Arial"/>
          <w:sz w:val="24"/>
          <w:szCs w:val="24"/>
        </w:rPr>
        <w:t xml:space="preserve">the </w:t>
      </w:r>
      <w:r w:rsidRPr="00E44512">
        <w:rPr>
          <w:rFonts w:ascii="Arial" w:hAnsi="Arial" w:cs="Arial"/>
          <w:sz w:val="24"/>
          <w:szCs w:val="24"/>
        </w:rPr>
        <w:t xml:space="preserve">benefits related to </w:t>
      </w:r>
      <w:r>
        <w:rPr>
          <w:rFonts w:ascii="Arial" w:hAnsi="Arial" w:cs="Arial"/>
          <w:sz w:val="24"/>
          <w:szCs w:val="24"/>
        </w:rPr>
        <w:t>bringing transport facilities and services together</w:t>
      </w:r>
      <w:r w:rsidRPr="00E44512">
        <w:rPr>
          <w:rFonts w:ascii="Arial" w:hAnsi="Arial" w:cs="Arial"/>
          <w:sz w:val="24"/>
          <w:szCs w:val="24"/>
        </w:rPr>
        <w:t>, the creation of mobility hubs gives the opportunity to reshape the local environment</w:t>
      </w:r>
      <w:r>
        <w:rPr>
          <w:rFonts w:ascii="Arial" w:hAnsi="Arial" w:cs="Arial"/>
          <w:sz w:val="24"/>
          <w:szCs w:val="24"/>
        </w:rPr>
        <w:t xml:space="preserve"> through enhanced placemaking and urban realm improvements</w:t>
      </w:r>
      <w:r w:rsidR="009A442C">
        <w:rPr>
          <w:rFonts w:ascii="Arial" w:hAnsi="Arial" w:cs="Arial"/>
          <w:sz w:val="24"/>
          <w:szCs w:val="24"/>
        </w:rPr>
        <w:t xml:space="preserve">, providing wider social, </w:t>
      </w:r>
      <w:proofErr w:type="gramStart"/>
      <w:r w:rsidR="009A442C">
        <w:rPr>
          <w:rFonts w:ascii="Arial" w:hAnsi="Arial" w:cs="Arial"/>
          <w:sz w:val="24"/>
          <w:szCs w:val="24"/>
        </w:rPr>
        <w:t>economic</w:t>
      </w:r>
      <w:proofErr w:type="gramEnd"/>
      <w:r w:rsidR="009A442C">
        <w:rPr>
          <w:rFonts w:ascii="Arial" w:hAnsi="Arial" w:cs="Arial"/>
          <w:sz w:val="24"/>
          <w:szCs w:val="24"/>
        </w:rPr>
        <w:t xml:space="preserve"> and environmental benefits</w:t>
      </w:r>
      <w:r>
        <w:rPr>
          <w:rFonts w:ascii="Arial" w:hAnsi="Arial" w:cs="Arial"/>
          <w:sz w:val="24"/>
          <w:szCs w:val="24"/>
        </w:rPr>
        <w:t xml:space="preserve">. </w:t>
      </w:r>
    </w:p>
    <w:p w14:paraId="6E8D9C7F" w14:textId="77777777" w:rsidR="00D27AD1" w:rsidRPr="00CF0C36" w:rsidRDefault="00D27AD1" w:rsidP="00BC69FE">
      <w:pPr>
        <w:pStyle w:val="STPR2Heading2"/>
      </w:pPr>
      <w:r w:rsidRPr="00CF0C36">
        <w:t>Estimated Cost</w:t>
      </w:r>
    </w:p>
    <w:p w14:paraId="33AB2BD0" w14:textId="042E4467" w:rsidR="00D27AD1" w:rsidRPr="009D4B58" w:rsidRDefault="00987A74" w:rsidP="00FA3F9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highlight w:val="yellow"/>
        </w:rPr>
      </w:pPr>
      <w:r>
        <w:rPr>
          <w:b/>
          <w:bCs/>
        </w:rPr>
        <w:t xml:space="preserve">Less than </w:t>
      </w:r>
      <w:r w:rsidR="00944F25" w:rsidRPr="00972417">
        <w:rPr>
          <w:b/>
          <w:bCs/>
        </w:rPr>
        <w:t>£25</w:t>
      </w:r>
      <w:r>
        <w:rPr>
          <w:b/>
          <w:bCs/>
        </w:rPr>
        <w:t xml:space="preserve"> million</w:t>
      </w:r>
    </w:p>
    <w:p w14:paraId="48BCA154" w14:textId="74BD7AE3" w:rsidR="008D1915" w:rsidRPr="005F45E6" w:rsidRDefault="008D1915" w:rsidP="00FA3F99">
      <w:pPr>
        <w:pStyle w:val="STPR2BodyText"/>
        <w:pBdr>
          <w:top w:val="single" w:sz="4" w:space="1" w:color="auto"/>
          <w:left w:val="single" w:sz="4" w:space="4" w:color="auto"/>
          <w:bottom w:val="single" w:sz="4" w:space="1" w:color="auto"/>
          <w:right w:val="single" w:sz="4" w:space="4" w:color="auto"/>
        </w:pBdr>
        <w:rPr>
          <w:color w:val="auto"/>
        </w:rPr>
      </w:pPr>
      <w:r w:rsidRPr="005F45E6">
        <w:rPr>
          <w:color w:val="auto"/>
        </w:rPr>
        <w:t xml:space="preserve">It is anticipated that </w:t>
      </w:r>
      <w:r>
        <w:rPr>
          <w:color w:val="auto"/>
        </w:rPr>
        <w:t xml:space="preserve">only a modest budget would be required to support the initial development of a </w:t>
      </w:r>
      <w:proofErr w:type="gramStart"/>
      <w:r>
        <w:rPr>
          <w:color w:val="auto"/>
        </w:rPr>
        <w:t>nationally-led</w:t>
      </w:r>
      <w:proofErr w:type="gramEnd"/>
      <w:r>
        <w:rPr>
          <w:color w:val="auto"/>
        </w:rPr>
        <w:t xml:space="preserve"> mobility hubs framework. Through best practice review and engagement with transport operators, service providers and local authorities across the country, this framework </w:t>
      </w:r>
      <w:r w:rsidR="001A2712">
        <w:rPr>
          <w:color w:val="auto"/>
        </w:rPr>
        <w:t>would</w:t>
      </w:r>
      <w:r>
        <w:rPr>
          <w:color w:val="auto"/>
        </w:rPr>
        <w:t xml:space="preserve"> provide guidance around delivery models for mobility hubs and the toolkit necessary to support the identification of appropriate locations, including the range of travel options suitable for different site type</w:t>
      </w:r>
      <w:r w:rsidR="009A442C">
        <w:rPr>
          <w:color w:val="auto"/>
        </w:rPr>
        <w:t>s</w:t>
      </w:r>
      <w:r>
        <w:rPr>
          <w:color w:val="auto"/>
        </w:rPr>
        <w:t xml:space="preserve">. </w:t>
      </w:r>
    </w:p>
    <w:p w14:paraId="39E3B73A" w14:textId="7663779E" w:rsidR="00D27AD1" w:rsidRPr="009D7020" w:rsidRDefault="00D27AD1" w:rsidP="00FA3F99">
      <w:pPr>
        <w:pStyle w:val="STPR2BodyText"/>
        <w:pBdr>
          <w:top w:val="single" w:sz="4" w:space="1" w:color="auto"/>
          <w:left w:val="single" w:sz="4" w:space="4" w:color="auto"/>
          <w:bottom w:val="single" w:sz="4" w:space="1" w:color="auto"/>
          <w:right w:val="single" w:sz="4" w:space="4" w:color="auto"/>
        </w:pBdr>
      </w:pPr>
      <w:r w:rsidRPr="009D4B58">
        <w:t xml:space="preserve">The capital costs for </w:t>
      </w:r>
      <w:r w:rsidR="00750265">
        <w:t xml:space="preserve">implementing </w:t>
      </w:r>
      <w:r>
        <w:t>m</w:t>
      </w:r>
      <w:r w:rsidRPr="009D4B58">
        <w:t xml:space="preserve">obility </w:t>
      </w:r>
      <w:r>
        <w:t>h</w:t>
      </w:r>
      <w:r w:rsidRPr="009D4B58">
        <w:t xml:space="preserve">ubs </w:t>
      </w:r>
      <w:r w:rsidR="001A2712">
        <w:t>would</w:t>
      </w:r>
      <w:r w:rsidRPr="009D4B58">
        <w:t xml:space="preserve"> vary depend</w:t>
      </w:r>
      <w:r w:rsidR="00F848E6">
        <w:t>ing</w:t>
      </w:r>
      <w:r w:rsidRPr="009D4B58">
        <w:t xml:space="preserve"> on scope</w:t>
      </w:r>
      <w:r>
        <w:t>.</w:t>
      </w:r>
      <w:r w:rsidRPr="009D4B58">
        <w:t xml:space="preserve"> </w:t>
      </w:r>
      <w:r>
        <w:t>D</w:t>
      </w:r>
      <w:r w:rsidRPr="009D4B58">
        <w:t xml:space="preserve">ue to the limited number of schemes in existence, </w:t>
      </w:r>
      <w:hyperlink r:id="rId16" w:history="1">
        <w:proofErr w:type="spellStart"/>
        <w:r w:rsidR="00F43A63" w:rsidRPr="00F43A63">
          <w:rPr>
            <w:rStyle w:val="Hyperlink"/>
          </w:rPr>
          <w:t>CoMoUK</w:t>
        </w:r>
        <w:proofErr w:type="spellEnd"/>
        <w:r w:rsidRPr="00F43A63">
          <w:rPr>
            <w:rStyle w:val="Hyperlink"/>
          </w:rPr>
          <w:t xml:space="preserve"> are actively looking at ways to benchmark exemplar costs</w:t>
        </w:r>
      </w:hyperlink>
      <w:r w:rsidR="004C5459">
        <w:rPr>
          <w:rStyle w:val="EndnoteReference"/>
        </w:rPr>
        <w:t xml:space="preserve"> </w:t>
      </w:r>
      <w:r w:rsidRPr="009D4B58">
        <w:t xml:space="preserve">. In addition to capital costs, </w:t>
      </w:r>
      <w:r>
        <w:t xml:space="preserve">there </w:t>
      </w:r>
      <w:r w:rsidR="001A2712">
        <w:t>would</w:t>
      </w:r>
      <w:r>
        <w:t xml:space="preserve"> be revenue costs to support their operation and </w:t>
      </w:r>
      <w:r w:rsidRPr="009D4B58">
        <w:t>maintenance</w:t>
      </w:r>
      <w:r>
        <w:t xml:space="preserve">, </w:t>
      </w:r>
      <w:r w:rsidR="002E4B37">
        <w:t xml:space="preserve">however mobility </w:t>
      </w:r>
      <w:r>
        <w:t xml:space="preserve">hubs also </w:t>
      </w:r>
      <w:r w:rsidR="002E4B37">
        <w:t xml:space="preserve">have potential to </w:t>
      </w:r>
      <w:r>
        <w:t xml:space="preserve">generate income streams to support their sustainability.  </w:t>
      </w:r>
    </w:p>
    <w:p w14:paraId="411979A9" w14:textId="77777777" w:rsidR="00D27AD1" w:rsidRPr="00BE3A18" w:rsidRDefault="00D27AD1" w:rsidP="00BC69FE">
      <w:pPr>
        <w:pStyle w:val="STPR2Heading2"/>
      </w:pPr>
      <w:r w:rsidRPr="00BE3A18">
        <w:t>Position in Sustainable Investment Hierarchy</w:t>
      </w:r>
    </w:p>
    <w:p w14:paraId="095D1559" w14:textId="3FFE734D" w:rsidR="00D27AD1" w:rsidRPr="00BE3A18" w:rsidRDefault="00493D7C" w:rsidP="00FA3F99">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r>
        <w:rPr>
          <w:b/>
          <w:bCs/>
        </w:rPr>
        <w:t>Reduces the need to travel unsustainably</w:t>
      </w:r>
    </w:p>
    <w:p w14:paraId="4F92B237" w14:textId="77777777" w:rsidR="00D27AD1" w:rsidRPr="00BE3A18" w:rsidRDefault="00D27AD1" w:rsidP="00FA3F99">
      <w:pPr>
        <w:pStyle w:val="STPR2BodyText"/>
        <w:pBdr>
          <w:top w:val="single" w:sz="4" w:space="1" w:color="auto"/>
          <w:left w:val="single" w:sz="4" w:space="1" w:color="auto"/>
          <w:bottom w:val="single" w:sz="4" w:space="1" w:color="auto"/>
          <w:right w:val="single" w:sz="4" w:space="1" w:color="auto"/>
        </w:pBdr>
        <w:spacing w:after="0"/>
      </w:pPr>
      <w:r w:rsidRPr="00BE3A18">
        <w:t xml:space="preserve">This recommendation would </w:t>
      </w:r>
      <w:r w:rsidR="00BD445E">
        <w:t xml:space="preserve">also </w:t>
      </w:r>
      <w:r w:rsidRPr="00BE3A18">
        <w:t>contribute</w:t>
      </w:r>
      <w:r w:rsidR="00F753B3" w:rsidRPr="00F753B3">
        <w:t xml:space="preserve"> </w:t>
      </w:r>
      <w:r w:rsidR="00F765A7" w:rsidRPr="008E2EB5">
        <w:t>to</w:t>
      </w:r>
      <w:r w:rsidR="00F765A7">
        <w:t xml:space="preserve"> </w:t>
      </w:r>
      <w:r w:rsidR="00F753B3">
        <w:t>six of the 12</w:t>
      </w:r>
      <w:r w:rsidR="00F753B3" w:rsidRPr="00BE3A18">
        <w:t xml:space="preserve"> </w:t>
      </w:r>
      <w:r w:rsidRPr="00BE3A18">
        <w:t>NTS2 outcomes</w:t>
      </w:r>
      <w:r w:rsidR="00F753B3">
        <w:t>, as follows</w:t>
      </w:r>
      <w:r w:rsidRPr="00BE3A18">
        <w:t>:</w:t>
      </w:r>
    </w:p>
    <w:p w14:paraId="49CBC2A5" w14:textId="77777777" w:rsidR="00D27AD1" w:rsidRDefault="00D27AD1" w:rsidP="00FA3F99">
      <w:pPr>
        <w:pStyle w:val="STPR2BulletsLevel1"/>
        <w:pBdr>
          <w:top w:val="single" w:sz="4" w:space="1" w:color="auto"/>
          <w:left w:val="single" w:sz="4" w:space="1" w:color="auto"/>
          <w:bottom w:val="single" w:sz="4" w:space="1" w:color="auto"/>
          <w:right w:val="single" w:sz="4" w:space="1" w:color="auto"/>
        </w:pBdr>
      </w:pPr>
      <w:r>
        <w:lastRenderedPageBreak/>
        <w:t xml:space="preserve">Provide fair access to services we </w:t>
      </w:r>
      <w:proofErr w:type="gramStart"/>
      <w:r>
        <w:t>need;</w:t>
      </w:r>
      <w:proofErr w:type="gramEnd"/>
    </w:p>
    <w:p w14:paraId="28F7058A" w14:textId="77777777" w:rsidR="00D27AD1" w:rsidRDefault="00D27AD1" w:rsidP="00FA3F99">
      <w:pPr>
        <w:pStyle w:val="STPR2BulletsLevel1"/>
        <w:pBdr>
          <w:top w:val="single" w:sz="4" w:space="1" w:color="auto"/>
          <w:left w:val="single" w:sz="4" w:space="1" w:color="auto"/>
          <w:bottom w:val="single" w:sz="4" w:space="1" w:color="auto"/>
          <w:right w:val="single" w:sz="4" w:space="1" w:color="auto"/>
        </w:pBdr>
      </w:pPr>
      <w:r>
        <w:t xml:space="preserve">Be easy to use for </w:t>
      </w:r>
      <w:proofErr w:type="gramStart"/>
      <w:r>
        <w:t>all;</w:t>
      </w:r>
      <w:proofErr w:type="gramEnd"/>
    </w:p>
    <w:p w14:paraId="279C518E" w14:textId="77777777" w:rsidR="00D27AD1" w:rsidRDefault="00D27AD1" w:rsidP="00FA3F99">
      <w:pPr>
        <w:pStyle w:val="STPR2BulletsLevel1"/>
        <w:pBdr>
          <w:top w:val="single" w:sz="4" w:space="1" w:color="auto"/>
          <w:left w:val="single" w:sz="4" w:space="1" w:color="auto"/>
          <w:bottom w:val="single" w:sz="4" w:space="1" w:color="auto"/>
          <w:right w:val="single" w:sz="4" w:space="1" w:color="auto"/>
        </w:pBdr>
      </w:pPr>
      <w:r>
        <w:t xml:space="preserve">Help deliver our net-zero </w:t>
      </w:r>
      <w:proofErr w:type="gramStart"/>
      <w:r>
        <w:t>target;</w:t>
      </w:r>
      <w:proofErr w:type="gramEnd"/>
    </w:p>
    <w:p w14:paraId="32F186EF" w14:textId="77777777" w:rsidR="00D27AD1" w:rsidRDefault="00D27AD1" w:rsidP="00FA3F99">
      <w:pPr>
        <w:pStyle w:val="STPR2BulletsLevel1"/>
        <w:pBdr>
          <w:top w:val="single" w:sz="4" w:space="1" w:color="auto"/>
          <w:left w:val="single" w:sz="4" w:space="1" w:color="auto"/>
          <w:bottom w:val="single" w:sz="4" w:space="1" w:color="auto"/>
          <w:right w:val="single" w:sz="4" w:space="1" w:color="auto"/>
        </w:pBdr>
      </w:pPr>
      <w:r>
        <w:t xml:space="preserve">Get people and goods to where they need to get </w:t>
      </w:r>
      <w:proofErr w:type="gramStart"/>
      <w:r>
        <w:t>to;</w:t>
      </w:r>
      <w:proofErr w:type="gramEnd"/>
    </w:p>
    <w:p w14:paraId="76D24A33" w14:textId="77777777" w:rsidR="00D27AD1" w:rsidRDefault="00D27AD1" w:rsidP="00FA3F99">
      <w:pPr>
        <w:pStyle w:val="STPR2BulletsLevel1"/>
        <w:pBdr>
          <w:top w:val="single" w:sz="4" w:space="1" w:color="auto"/>
          <w:left w:val="single" w:sz="4" w:space="1" w:color="auto"/>
          <w:bottom w:val="single" w:sz="4" w:space="1" w:color="auto"/>
          <w:right w:val="single" w:sz="4" w:space="1" w:color="auto"/>
        </w:pBdr>
      </w:pPr>
      <w:r>
        <w:t>Use beneficial innovation; and</w:t>
      </w:r>
    </w:p>
    <w:p w14:paraId="7C757C63" w14:textId="77777777" w:rsidR="00D27AD1" w:rsidRPr="00BE3A18" w:rsidRDefault="00D27AD1" w:rsidP="00FA3F99">
      <w:pPr>
        <w:pStyle w:val="STPR2BulletsLevel1"/>
        <w:pBdr>
          <w:top w:val="single" w:sz="4" w:space="1" w:color="auto"/>
          <w:left w:val="single" w:sz="4" w:space="1" w:color="auto"/>
          <w:bottom w:val="single" w:sz="4" w:space="1" w:color="auto"/>
          <w:right w:val="single" w:sz="4" w:space="1" w:color="auto"/>
        </w:pBdr>
      </w:pPr>
      <w:r>
        <w:t>Be safe and secure for all.</w:t>
      </w:r>
    </w:p>
    <w:p w14:paraId="5254F067" w14:textId="77777777" w:rsidR="0057497D" w:rsidRDefault="0057497D" w:rsidP="00A85E3D">
      <w:pPr>
        <w:pStyle w:val="NoSpacing"/>
      </w:pPr>
    </w:p>
    <w:p w14:paraId="4231D787" w14:textId="7C75E812" w:rsidR="00D27AD1" w:rsidRPr="001E755B" w:rsidRDefault="00D27AD1" w:rsidP="00BC69FE">
      <w:pPr>
        <w:pStyle w:val="STPR2Heading2"/>
      </w:pPr>
      <w:r w:rsidRPr="001E755B">
        <w:t>Summary Rationale</w:t>
      </w:r>
    </w:p>
    <w:p w14:paraId="0D020309" w14:textId="77777777" w:rsidR="00D27AD1" w:rsidRPr="00F513A0" w:rsidRDefault="00D27AD1" w:rsidP="00FA3F9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sidRPr="001E755B">
        <w:rPr>
          <w:b/>
          <w:color w:val="auto"/>
        </w:rPr>
        <w:t>Summary of Appraisal</w:t>
      </w:r>
    </w:p>
    <w:p w14:paraId="76021A9B" w14:textId="53377345" w:rsidR="00D27AD1" w:rsidRPr="0094557E" w:rsidRDefault="00C91A87" w:rsidP="00FA3F99">
      <w:pPr>
        <w:pStyle w:val="STPR2BodyText"/>
        <w:pBdr>
          <w:top w:val="single" w:sz="4" w:space="1" w:color="auto"/>
          <w:left w:val="single" w:sz="4" w:space="4" w:color="auto"/>
          <w:bottom w:val="single" w:sz="4" w:space="1" w:color="auto"/>
          <w:right w:val="single" w:sz="4" w:space="4" w:color="auto"/>
        </w:pBdr>
        <w:spacing w:after="0"/>
        <w:rPr>
          <w:b/>
          <w:color w:val="auto"/>
        </w:rPr>
      </w:pPr>
      <w:r w:rsidRPr="00C91A87">
        <w:rPr>
          <w:b/>
          <w:noProof/>
          <w:color w:val="auto"/>
        </w:rPr>
        <w:drawing>
          <wp:inline distT="0" distB="0" distL="0" distR="0" wp14:anchorId="3BFC3F3E" wp14:editId="7B7CCDB4">
            <wp:extent cx="5712031" cy="791799"/>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8666" cy="792719"/>
                    </a:xfrm>
                    <a:prstGeom prst="rect">
                      <a:avLst/>
                    </a:prstGeom>
                    <a:noFill/>
                    <a:ln>
                      <a:noFill/>
                    </a:ln>
                  </pic:spPr>
                </pic:pic>
              </a:graphicData>
            </a:graphic>
          </wp:inline>
        </w:drawing>
      </w:r>
    </w:p>
    <w:p w14:paraId="71AFBB7E" w14:textId="761E9D0A" w:rsidR="00D27AD1" w:rsidRPr="0094557E" w:rsidRDefault="00D27AD1" w:rsidP="00FA3F99">
      <w:pPr>
        <w:pStyle w:val="STPR2BodyText"/>
        <w:pBdr>
          <w:top w:val="single" w:sz="4" w:space="1" w:color="auto"/>
          <w:left w:val="single" w:sz="4" w:space="4" w:color="auto"/>
          <w:bottom w:val="single" w:sz="4" w:space="1" w:color="auto"/>
          <w:right w:val="single" w:sz="4" w:space="4" w:color="auto"/>
        </w:pBdr>
        <w:spacing w:after="120"/>
        <w:rPr>
          <w:color w:val="auto"/>
        </w:rPr>
      </w:pPr>
      <w:r w:rsidRPr="0094557E">
        <w:rPr>
          <w:color w:val="auto"/>
        </w:rPr>
        <w:t xml:space="preserve">This recommendation makes an overall positive contribution to </w:t>
      </w:r>
      <w:r w:rsidR="0085653D">
        <w:rPr>
          <w:color w:val="auto"/>
        </w:rPr>
        <w:t>all of the</w:t>
      </w:r>
      <w:r w:rsidRPr="0094557E">
        <w:rPr>
          <w:color w:val="auto"/>
        </w:rPr>
        <w:t xml:space="preserve"> STPR2 Transport Planning Objectives (TPOs), STAG criteria, and </w:t>
      </w:r>
      <w:r>
        <w:rPr>
          <w:color w:val="auto"/>
        </w:rPr>
        <w:t>Statutory Impact Assessment (</w:t>
      </w:r>
      <w:r w:rsidRPr="0094557E">
        <w:rPr>
          <w:color w:val="auto"/>
        </w:rPr>
        <w:t>SIA</w:t>
      </w:r>
      <w:r>
        <w:rPr>
          <w:color w:val="auto"/>
        </w:rPr>
        <w:t>)</w:t>
      </w:r>
      <w:r w:rsidRPr="0094557E">
        <w:rPr>
          <w:color w:val="auto"/>
        </w:rPr>
        <w:t xml:space="preserve"> criteria. While</w:t>
      </w:r>
      <w:r>
        <w:rPr>
          <w:color w:val="auto"/>
        </w:rPr>
        <w:t xml:space="preserve"> schemes </w:t>
      </w:r>
      <w:r w:rsidR="001A2712">
        <w:rPr>
          <w:color w:val="auto"/>
        </w:rPr>
        <w:t>would</w:t>
      </w:r>
      <w:r>
        <w:rPr>
          <w:color w:val="auto"/>
        </w:rPr>
        <w:t xml:space="preserve"> positively contribute to environmental objectives by supporting modal shift to sustainable modes, specific environmental impacts </w:t>
      </w:r>
      <w:r w:rsidR="001A2712">
        <w:rPr>
          <w:color w:val="auto"/>
        </w:rPr>
        <w:t>would</w:t>
      </w:r>
      <w:r>
        <w:rPr>
          <w:color w:val="auto"/>
        </w:rPr>
        <w:t xml:space="preserve"> be dependent on the specific locations of identified mobility hubs. </w:t>
      </w:r>
    </w:p>
    <w:p w14:paraId="7DB8B4E0" w14:textId="6F837FBB" w:rsidR="00AB3A9A" w:rsidRDefault="00D27AD1" w:rsidP="00FA3F99">
      <w:pPr>
        <w:pStyle w:val="STPR2BodyText"/>
        <w:pBdr>
          <w:top w:val="single" w:sz="4" w:space="1" w:color="auto"/>
          <w:left w:val="single" w:sz="4" w:space="4" w:color="auto"/>
          <w:bottom w:val="single" w:sz="4" w:space="1" w:color="auto"/>
          <w:right w:val="single" w:sz="4" w:space="4" w:color="auto"/>
        </w:pBdr>
      </w:pPr>
      <w:r w:rsidRPr="0094557E">
        <w:t>Construction of these sites is likely to be feasible</w:t>
      </w:r>
      <w:r w:rsidR="00E3057A">
        <w:t xml:space="preserve">, </w:t>
      </w:r>
      <w:proofErr w:type="gramStart"/>
      <w:r w:rsidR="00E3057A">
        <w:t>afforda</w:t>
      </w:r>
      <w:r w:rsidR="00653BD8">
        <w:t>ble</w:t>
      </w:r>
      <w:proofErr w:type="gramEnd"/>
      <w:r w:rsidRPr="0094557E">
        <w:t xml:space="preserve"> and publicly acceptable, depending on local characteristics and the scale of intervention. </w:t>
      </w:r>
    </w:p>
    <w:p w14:paraId="31FFE8FE" w14:textId="77777777" w:rsidR="00AB3A9A" w:rsidRDefault="00AB3A9A" w:rsidP="00FA3F99">
      <w:pPr>
        <w:pStyle w:val="STPR2BodyText"/>
        <w:pBdr>
          <w:top w:val="single" w:sz="4" w:space="1" w:color="auto"/>
          <w:left w:val="single" w:sz="4" w:space="4" w:color="auto"/>
          <w:bottom w:val="single" w:sz="4" w:space="1" w:color="auto"/>
          <w:right w:val="single" w:sz="4" w:space="4" w:color="auto"/>
        </w:pBdr>
      </w:pPr>
      <w:r w:rsidRPr="00FB46C7">
        <w:t>Details behind this summary are discussed in Section 3, below</w:t>
      </w:r>
      <w:r>
        <w:t>.</w:t>
      </w:r>
    </w:p>
    <w:p w14:paraId="419A163D" w14:textId="77777777" w:rsidR="00D27AD1" w:rsidRPr="003C6186" w:rsidRDefault="00D27AD1" w:rsidP="00FA3F99">
      <w:pPr>
        <w:pStyle w:val="STPR2BodyText"/>
        <w:pBdr>
          <w:top w:val="single" w:sz="4" w:space="1" w:color="auto"/>
          <w:left w:val="single" w:sz="4" w:space="4" w:color="auto"/>
          <w:bottom w:val="single" w:sz="4" w:space="1" w:color="auto"/>
          <w:right w:val="single" w:sz="4" w:space="4" w:color="auto"/>
        </w:pBdr>
        <w:rPr>
          <w:sz w:val="2"/>
          <w:szCs w:val="2"/>
          <w:highlight w:val="yellow"/>
        </w:rPr>
      </w:pPr>
      <w:r w:rsidRPr="003C6186">
        <w:rPr>
          <w:sz w:val="2"/>
          <w:szCs w:val="2"/>
          <w:highlight w:val="yellow"/>
        </w:rPr>
        <w:br w:type="page"/>
      </w:r>
    </w:p>
    <w:p w14:paraId="4F540451" w14:textId="77777777" w:rsidR="00D27AD1" w:rsidRPr="00013243" w:rsidRDefault="00D27AD1" w:rsidP="00F843CA">
      <w:pPr>
        <w:pStyle w:val="STPR2Heading1"/>
      </w:pPr>
      <w:r w:rsidRPr="00013243">
        <w:lastRenderedPageBreak/>
        <w:tab/>
        <w:t xml:space="preserve">Context </w:t>
      </w:r>
    </w:p>
    <w:p w14:paraId="65366F51" w14:textId="77777777" w:rsidR="00D27AD1" w:rsidRPr="00013243" w:rsidRDefault="00D27AD1" w:rsidP="00BC69FE">
      <w:pPr>
        <w:pStyle w:val="STPR2Heading2"/>
      </w:pPr>
      <w:r w:rsidRPr="00013243">
        <w:t>Problems and Opportunities</w:t>
      </w:r>
    </w:p>
    <w:p w14:paraId="745952BC" w14:textId="77777777" w:rsidR="00D27AD1" w:rsidRPr="00013243" w:rsidRDefault="008D1915" w:rsidP="009475F2">
      <w:pPr>
        <w:pStyle w:val="STPR2BodyText"/>
        <w:rPr>
          <w:b/>
        </w:rPr>
      </w:pPr>
      <w:r w:rsidRPr="00013243">
        <w:t xml:space="preserve">This recommendation could help to </w:t>
      </w:r>
      <w:r>
        <w:t>tackle</w:t>
      </w:r>
      <w:r w:rsidRPr="00013243">
        <w:t xml:space="preserve"> the following problem</w:t>
      </w:r>
      <w:r>
        <w:t>s</w:t>
      </w:r>
      <w:r w:rsidRPr="00013243">
        <w:t xml:space="preserve"> and opportunit</w:t>
      </w:r>
      <w:r>
        <w:t>ies:</w:t>
      </w:r>
    </w:p>
    <w:p w14:paraId="21C7EE1C" w14:textId="77777777" w:rsidR="00D27AD1" w:rsidRPr="00645DCF" w:rsidRDefault="00D27AD1" w:rsidP="00FA3F99">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645DCF">
        <w:rPr>
          <w:b/>
          <w:bCs/>
        </w:rPr>
        <w:t xml:space="preserve">Relevant Problem &amp; Opportunity Themes Identified in </w:t>
      </w:r>
      <w:r w:rsidRPr="00645DCF">
        <w:rPr>
          <w:b/>
          <w:bCs/>
          <w:color w:val="auto"/>
        </w:rPr>
        <w:t>National</w:t>
      </w:r>
      <w:r w:rsidRPr="00645DCF">
        <w:rPr>
          <w:b/>
          <w:bCs/>
        </w:rPr>
        <w:t xml:space="preserve"> Case for Change</w:t>
      </w:r>
    </w:p>
    <w:p w14:paraId="2786237E" w14:textId="0FBEFCC4" w:rsidR="00D27AD1" w:rsidRPr="00A96C98" w:rsidRDefault="00D27AD1" w:rsidP="00FA3F99">
      <w:pPr>
        <w:pStyle w:val="STPR2BulletsLevel1"/>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contextualSpacing w:val="0"/>
        <w:rPr>
          <w:color w:val="auto"/>
        </w:rPr>
      </w:pPr>
      <w:r w:rsidRPr="00A96C98">
        <w:rPr>
          <w:b/>
          <w:bCs/>
          <w:color w:val="auto"/>
        </w:rPr>
        <w:t>Changing Travel Behaviour:</w:t>
      </w:r>
      <w:r w:rsidRPr="00A96C98">
        <w:rPr>
          <w:color w:val="auto"/>
        </w:rPr>
        <w:t xml:space="preserve"> </w:t>
      </w:r>
      <w:r w:rsidRPr="00A96C98">
        <w:t xml:space="preserve">changing people’s travel behaviour to use more sustainable modes </w:t>
      </w:r>
      <w:r w:rsidR="001A2712">
        <w:t>would</w:t>
      </w:r>
      <w:r w:rsidRPr="00A96C98">
        <w:t xml:space="preserve"> have a positive impact on the environment, as well as health and </w:t>
      </w:r>
      <w:r w:rsidRPr="00A96C98">
        <w:rPr>
          <w:color w:val="auto"/>
        </w:rPr>
        <w:t>wellbeing.</w:t>
      </w:r>
    </w:p>
    <w:p w14:paraId="600C5F48" w14:textId="77777777" w:rsidR="00D27AD1" w:rsidRDefault="00D27AD1" w:rsidP="00FA3F99">
      <w:pPr>
        <w:pStyle w:val="STPR2BodyText"/>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pPr>
      <w:r w:rsidRPr="00A96C98">
        <w:rPr>
          <w:b/>
          <w:bCs/>
        </w:rPr>
        <w:t>Information and Integration:</w:t>
      </w:r>
      <w:r w:rsidRPr="00A96C98">
        <w:t xml:space="preserve"> high-quality journey planning information, both digital and physical, is important to enable a resilient transport system that allows people and goods to get to where they need to get to. Some journeys are not possible due to a lack of connections or accessible modes of transport, and long wait times, the need for multiple tickets and complex connections deter people from some public transport services resulting in many running below capacity.  </w:t>
      </w:r>
    </w:p>
    <w:p w14:paraId="55B02412" w14:textId="77777777" w:rsidR="00D27AD1" w:rsidRPr="00726877" w:rsidRDefault="00D27AD1" w:rsidP="00FA3F99">
      <w:pPr>
        <w:pStyle w:val="STPR2BulletsLevel1"/>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contextualSpacing w:val="0"/>
        <w:rPr>
          <w:b/>
          <w:bCs/>
          <w:color w:val="auto"/>
        </w:rPr>
      </w:pPr>
      <w:r w:rsidRPr="00A96C98">
        <w:rPr>
          <w:b/>
          <w:bCs/>
          <w:color w:val="auto"/>
        </w:rPr>
        <w:t xml:space="preserve">Spatial Planning: </w:t>
      </w:r>
      <w:r w:rsidRPr="00A96C98">
        <w:rPr>
          <w:color w:val="auto"/>
        </w:rPr>
        <w:t>t</w:t>
      </w:r>
      <w:r w:rsidRPr="00A96C98">
        <w:rPr>
          <w:color w:val="auto"/>
          <w:lang w:val="en-US"/>
        </w:rPr>
        <w:t xml:space="preserve">he places where people </w:t>
      </w:r>
      <w:proofErr w:type="gramStart"/>
      <w:r w:rsidRPr="00A96C98">
        <w:rPr>
          <w:color w:val="auto"/>
          <w:lang w:val="en-US"/>
        </w:rPr>
        <w:t>live</w:t>
      </w:r>
      <w:proofErr w:type="gramEnd"/>
      <w:r w:rsidRPr="00A96C98">
        <w:rPr>
          <w:color w:val="auto"/>
          <w:lang w:val="en-US"/>
        </w:rPr>
        <w:t xml:space="preserve"> and work can have important impacts on health and wellbeing. The current and future transport needs of people should be at the heart of planning decisions to ensure sustainable places.</w:t>
      </w:r>
    </w:p>
    <w:p w14:paraId="6164BB5A" w14:textId="6EC9A286" w:rsidR="00D27AD1" w:rsidRPr="00A96C98" w:rsidRDefault="00D27AD1" w:rsidP="00FA3F99">
      <w:pPr>
        <w:pStyle w:val="STPR2BulletsLevel1"/>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contextualSpacing w:val="0"/>
        <w:rPr>
          <w:color w:val="auto"/>
        </w:rPr>
      </w:pPr>
      <w:r w:rsidRPr="00A96C98">
        <w:rPr>
          <w:b/>
          <w:bCs/>
          <w:color w:val="auto"/>
        </w:rPr>
        <w:t xml:space="preserve">Physical Activity: </w:t>
      </w:r>
      <w:r w:rsidRPr="00A96C98">
        <w:rPr>
          <w:color w:val="auto"/>
          <w:lang w:val="en-US"/>
        </w:rPr>
        <w:t xml:space="preserve">the importance of active travel is becoming more evident as the consequences of physical inactivity are </w:t>
      </w:r>
      <w:r w:rsidRPr="00FA3F99">
        <w:rPr>
          <w:color w:val="auto"/>
        </w:rPr>
        <w:t>studied</w:t>
      </w:r>
      <w:r w:rsidRPr="00A96C98">
        <w:rPr>
          <w:color w:val="auto"/>
          <w:lang w:val="en-US"/>
        </w:rPr>
        <w:t xml:space="preserve">. </w:t>
      </w:r>
      <w:hyperlink r:id="rId18" w:history="1">
        <w:r w:rsidRPr="002D1E2B">
          <w:rPr>
            <w:rStyle w:val="Hyperlink"/>
            <w:lang w:val="en-US"/>
          </w:rPr>
          <w:t xml:space="preserve">It is </w:t>
        </w:r>
        <w:proofErr w:type="spellStart"/>
        <w:r w:rsidRPr="002D1E2B">
          <w:rPr>
            <w:rStyle w:val="Hyperlink"/>
            <w:lang w:val="en-US"/>
          </w:rPr>
          <w:t>recognised</w:t>
        </w:r>
        <w:proofErr w:type="spellEnd"/>
        <w:r w:rsidRPr="002D1E2B">
          <w:rPr>
            <w:rStyle w:val="Hyperlink"/>
            <w:lang w:val="en-US"/>
          </w:rPr>
          <w:t xml:space="preserve"> that one of the most effective ways to secure the required 30 minutes of moderate activity per day is to reduce reliance on </w:t>
        </w:r>
        <w:proofErr w:type="spellStart"/>
        <w:r w:rsidRPr="002D1E2B">
          <w:rPr>
            <w:rStyle w:val="Hyperlink"/>
            <w:lang w:val="en-US"/>
          </w:rPr>
          <w:t>motorised</w:t>
        </w:r>
        <w:proofErr w:type="spellEnd"/>
        <w:r w:rsidRPr="002D1E2B">
          <w:rPr>
            <w:rStyle w:val="Hyperlink"/>
            <w:lang w:val="en-US"/>
          </w:rPr>
          <w:t xml:space="preserve"> transport, changing the means of everyday travel to walking and cycling</w:t>
        </w:r>
      </w:hyperlink>
      <w:r w:rsidR="004C5459">
        <w:rPr>
          <w:rStyle w:val="EndnoteReference"/>
          <w:color w:val="auto"/>
          <w:lang w:val="en-US"/>
        </w:rPr>
        <w:t xml:space="preserve"> </w:t>
      </w:r>
      <w:r w:rsidRPr="00A96C98">
        <w:rPr>
          <w:color w:val="auto"/>
          <w:lang w:val="en-US"/>
        </w:rPr>
        <w:t>.</w:t>
      </w:r>
    </w:p>
    <w:p w14:paraId="38A1FEAC" w14:textId="62B91D34" w:rsidR="00D27AD1" w:rsidRPr="00A96C98" w:rsidRDefault="00D27AD1" w:rsidP="00FA3F99">
      <w:pPr>
        <w:pStyle w:val="STPR2BodyText"/>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pPr>
      <w:r w:rsidRPr="00A96C98">
        <w:rPr>
          <w:b/>
          <w:bCs/>
        </w:rPr>
        <w:t>Decline in Bus Use:</w:t>
      </w:r>
      <w:r w:rsidRPr="00A96C98">
        <w:t xml:space="preserve"> bus is particularly important to areas which are not served by the rail network, including much of rural Scotland. It can be an important element in multi-modal journeys and is a sustainable and space-efficient mode of travel. </w:t>
      </w:r>
      <w:hyperlink r:id="rId19" w:history="1">
        <w:r w:rsidRPr="00C47CA9">
          <w:rPr>
            <w:rStyle w:val="Hyperlink"/>
          </w:rPr>
          <w:t xml:space="preserve">Reducing passenger </w:t>
        </w:r>
        <w:proofErr w:type="gramStart"/>
        <w:r w:rsidRPr="00C47CA9">
          <w:rPr>
            <w:rStyle w:val="Hyperlink"/>
          </w:rPr>
          <w:t>numbers</w:t>
        </w:r>
        <w:proofErr w:type="gramEnd"/>
        <w:r w:rsidRPr="00C47CA9">
          <w:rPr>
            <w:rStyle w:val="Hyperlink"/>
          </w:rPr>
          <w:t xml:space="preserve"> risks driving down revenues and making some services unviable, resulting in cancellations and, in some cases, communities being isolated</w:t>
        </w:r>
      </w:hyperlink>
      <w:r w:rsidR="004C5459">
        <w:rPr>
          <w:rStyle w:val="EndnoteReference"/>
          <w:color w:val="auto"/>
        </w:rPr>
        <w:t xml:space="preserve"> </w:t>
      </w:r>
      <w:r w:rsidRPr="00BF6BFC">
        <w:rPr>
          <w:color w:val="auto"/>
        </w:rPr>
        <w:t>.</w:t>
      </w:r>
    </w:p>
    <w:p w14:paraId="46D40199" w14:textId="53EDEB46" w:rsidR="00D27AD1" w:rsidRPr="00A96C98" w:rsidRDefault="00D27AD1" w:rsidP="00FA3F99">
      <w:pPr>
        <w:pStyle w:val="STPR2BodyText"/>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pPr>
      <w:r w:rsidRPr="00A96C98">
        <w:rPr>
          <w:b/>
          <w:bCs/>
        </w:rPr>
        <w:t>Global Climate Emergency:</w:t>
      </w:r>
      <w:r>
        <w:rPr>
          <w:b/>
          <w:bCs/>
        </w:rPr>
        <w:t xml:space="preserve"> </w:t>
      </w:r>
      <w:proofErr w:type="gramStart"/>
      <w:r>
        <w:rPr>
          <w:color w:val="auto"/>
          <w:lang w:val="en-US"/>
        </w:rPr>
        <w:t>t</w:t>
      </w:r>
      <w:r w:rsidRPr="00F27422">
        <w:rPr>
          <w:color w:val="auto"/>
          <w:lang w:val="en-US"/>
        </w:rPr>
        <w:t>he</w:t>
      </w:r>
      <w:proofErr w:type="gramEnd"/>
      <w:r w:rsidRPr="00F27422">
        <w:rPr>
          <w:color w:val="auto"/>
          <w:lang w:val="en-US"/>
        </w:rPr>
        <w:t xml:space="preserve"> Scottish Parliament committed to an ambitious target of net zero emissions by 2045 and transport needs to play its part. Transport is currently Scotland’s largest sectoral emitter, responsible for 37% of Scotland’s total greenhouse gas emissions</w:t>
      </w:r>
      <w:r w:rsidR="008B023B">
        <w:rPr>
          <w:color w:val="auto"/>
          <w:lang w:val="en-US"/>
        </w:rPr>
        <w:t xml:space="preserve"> (</w:t>
      </w:r>
      <w:r w:rsidR="008B023B">
        <w:t>g</w:t>
      </w:r>
      <w:r w:rsidR="008B023B" w:rsidRPr="00981EF3">
        <w:t>reenhouse gas emissions encompass CO</w:t>
      </w:r>
      <w:r w:rsidR="008B023B" w:rsidRPr="00981EF3">
        <w:rPr>
          <w:vertAlign w:val="subscript"/>
        </w:rPr>
        <w:t xml:space="preserve">2 </w:t>
      </w:r>
      <w:r w:rsidR="008B023B" w:rsidRPr="00981EF3">
        <w:t>emissions</w:t>
      </w:r>
      <w:r w:rsidR="008B023B">
        <w:t>)</w:t>
      </w:r>
      <w:r w:rsidR="008B023B">
        <w:rPr>
          <w:rStyle w:val="EndnoteReference"/>
          <w:color w:val="auto"/>
          <w:lang w:val="en-US"/>
        </w:rPr>
        <w:t xml:space="preserve"> </w:t>
      </w:r>
      <w:r w:rsidR="004C5459">
        <w:rPr>
          <w:rStyle w:val="EndnoteReference"/>
          <w:color w:val="auto"/>
          <w:lang w:val="en-US"/>
        </w:rPr>
        <w:t xml:space="preserve"> </w:t>
      </w:r>
      <w:r w:rsidRPr="00F27422">
        <w:rPr>
          <w:color w:val="auto"/>
          <w:lang w:val="en-US"/>
        </w:rPr>
        <w:t xml:space="preserve"> in 2018</w:t>
      </w:r>
      <w:r w:rsidR="008B023B">
        <w:rPr>
          <w:color w:val="auto"/>
          <w:lang w:val="en-US"/>
        </w:rPr>
        <w:t xml:space="preserve"> (</w:t>
      </w:r>
      <w:hyperlink r:id="rId20" w:history="1">
        <w:r w:rsidR="008B023B" w:rsidRPr="002431AC">
          <w:rPr>
            <w:rStyle w:val="Hyperlink"/>
          </w:rPr>
          <w:t>National Atmospheric Emissions Inventory 1990-2017</w:t>
        </w:r>
      </w:hyperlink>
      <w:r w:rsidR="008B023B">
        <w:t>)</w:t>
      </w:r>
      <w:r w:rsidR="004C5459">
        <w:rPr>
          <w:rStyle w:val="EndnoteReference"/>
          <w:color w:val="auto"/>
          <w:lang w:val="en-US"/>
        </w:rPr>
        <w:t xml:space="preserve"> </w:t>
      </w:r>
      <w:r>
        <w:rPr>
          <w:color w:val="auto"/>
          <w:lang w:val="en-US"/>
        </w:rPr>
        <w:t xml:space="preserve">. Our transport system needs to </w:t>
      </w:r>
      <w:proofErr w:type="spellStart"/>
      <w:r>
        <w:rPr>
          <w:color w:val="auto"/>
          <w:lang w:val="en-US"/>
        </w:rPr>
        <w:t>minimise</w:t>
      </w:r>
      <w:proofErr w:type="spellEnd"/>
      <w:r>
        <w:rPr>
          <w:color w:val="auto"/>
          <w:lang w:val="en-US"/>
        </w:rPr>
        <w:t xml:space="preserve"> the future impacts of transport on our climate.</w:t>
      </w:r>
    </w:p>
    <w:p w14:paraId="22E4E9D7" w14:textId="1B7880FC" w:rsidR="004C5459" w:rsidRPr="008350DA" w:rsidRDefault="00D27AD1" w:rsidP="004C5459">
      <w:pPr>
        <w:pStyle w:val="STPR2BodyText"/>
        <w:numPr>
          <w:ilvl w:val="0"/>
          <w:numId w:val="40"/>
        </w:numPr>
        <w:pBdr>
          <w:top w:val="single" w:sz="4" w:space="1" w:color="auto"/>
          <w:left w:val="single" w:sz="4" w:space="4" w:color="auto"/>
          <w:bottom w:val="single" w:sz="4" w:space="1" w:color="auto"/>
          <w:right w:val="single" w:sz="4" w:space="4" w:color="auto"/>
        </w:pBdr>
        <w:spacing w:after="120" w:line="276" w:lineRule="auto"/>
        <w:ind w:left="357" w:hanging="357"/>
      </w:pPr>
      <w:r w:rsidRPr="008350DA">
        <w:rPr>
          <w:b/>
          <w:bCs/>
        </w:rPr>
        <w:t>Safety and Security:</w:t>
      </w:r>
      <w:r w:rsidRPr="00A96C98">
        <w:t xml:space="preserve"> Scotland’s transport system needs to be safe. Whilst the </w:t>
      </w:r>
      <w:hyperlink r:id="rId21" w:history="1">
        <w:r w:rsidRPr="002477C8">
          <w:rPr>
            <w:rStyle w:val="Hyperlink"/>
          </w:rPr>
          <w:t xml:space="preserve">number of </w:t>
        </w:r>
        <w:r w:rsidR="002477C8" w:rsidRPr="002477C8">
          <w:rPr>
            <w:rStyle w:val="Hyperlink"/>
          </w:rPr>
          <w:t xml:space="preserve">road accident casualties reduced by 11% between 2017 and </w:t>
        </w:r>
        <w:r w:rsidR="002477C8" w:rsidRPr="002477C8">
          <w:rPr>
            <w:rStyle w:val="Hyperlink"/>
            <w:lang w:val="en-US"/>
          </w:rPr>
          <w:t>2018</w:t>
        </w:r>
      </w:hyperlink>
      <w:r w:rsidR="004C5459">
        <w:rPr>
          <w:rStyle w:val="EndnoteReference"/>
          <w:color w:val="auto"/>
          <w:lang w:val="en-US"/>
        </w:rPr>
        <w:t xml:space="preserve"> </w:t>
      </w:r>
      <w:r w:rsidRPr="008350DA">
        <w:rPr>
          <w:color w:val="auto"/>
          <w:lang w:val="en-US"/>
        </w:rPr>
        <w:t xml:space="preserve">, </w:t>
      </w:r>
      <w:r w:rsidRPr="00A96C98">
        <w:t xml:space="preserve"> </w:t>
      </w:r>
      <w:r w:rsidRPr="00A96C98">
        <w:lastRenderedPageBreak/>
        <w:t xml:space="preserve">the number of fatalities has increased. Many women and disabled people feel vulnerable when using public transport – particularly at bus stops, train stations or other transport interchanges. </w:t>
      </w:r>
    </w:p>
    <w:p w14:paraId="0442FAAC" w14:textId="77777777" w:rsidR="004C5459" w:rsidRDefault="004C5459" w:rsidP="0010790B">
      <w:pPr>
        <w:pStyle w:val="NoSpacing"/>
      </w:pPr>
    </w:p>
    <w:p w14:paraId="29918758" w14:textId="78F90508" w:rsidR="00D27AD1" w:rsidRPr="00013243" w:rsidRDefault="00D27AD1" w:rsidP="0001147F">
      <w:pPr>
        <w:pStyle w:val="STPR2Heading2"/>
      </w:pPr>
      <w:r>
        <w:t>Interdependencies</w:t>
      </w:r>
    </w:p>
    <w:p w14:paraId="4F01FCC1" w14:textId="77777777" w:rsidR="00D27AD1" w:rsidRPr="00FB3868" w:rsidRDefault="00D27AD1" w:rsidP="00535681">
      <w:pPr>
        <w:pStyle w:val="STPR2BodyText"/>
      </w:pPr>
      <w:r w:rsidRPr="00FB3868">
        <w:t>This recommendation has potential overlap with other STPR2 recommendations and would also complement other areas of Scottish Government activity.</w:t>
      </w:r>
    </w:p>
    <w:p w14:paraId="1A4A6463" w14:textId="77777777" w:rsidR="00D27AD1" w:rsidRPr="00E809A1" w:rsidRDefault="00D27AD1" w:rsidP="00FA3F99">
      <w:pPr>
        <w:pStyle w:val="STPR2Heading3"/>
        <w:shd w:val="clear" w:color="auto" w:fill="C9C9C9" w:themeFill="accent3" w:themeFillTint="99"/>
      </w:pPr>
      <w:r w:rsidRPr="00E809A1">
        <w:t>Other STPR2 Recommendations</w:t>
      </w:r>
    </w:p>
    <w:p w14:paraId="32F9EF80" w14:textId="01C0CE3E" w:rsidR="00D27AD1"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Pr>
          <w:rFonts w:ascii="Arial" w:hAnsi="Arial" w:cs="Arial"/>
          <w:color w:val="000000" w:themeColor="text1"/>
          <w:sz w:val="24"/>
          <w:szCs w:val="24"/>
        </w:rPr>
        <w:t>Behaviour</w:t>
      </w:r>
      <w:r w:rsidR="009D319B">
        <w:rPr>
          <w:rFonts w:ascii="Arial" w:hAnsi="Arial" w:cs="Arial"/>
          <w:color w:val="000000" w:themeColor="text1"/>
          <w:sz w:val="24"/>
          <w:szCs w:val="24"/>
        </w:rPr>
        <w:t>al</w:t>
      </w:r>
      <w:r>
        <w:rPr>
          <w:rFonts w:ascii="Arial" w:hAnsi="Arial" w:cs="Arial"/>
          <w:color w:val="000000" w:themeColor="text1"/>
          <w:sz w:val="24"/>
          <w:szCs w:val="24"/>
        </w:rPr>
        <w:t xml:space="preserve"> change initiatives (6</w:t>
      </w:r>
      <w:proofErr w:type="gramStart"/>
      <w:r>
        <w:rPr>
          <w:rFonts w:ascii="Arial" w:hAnsi="Arial" w:cs="Arial"/>
          <w:color w:val="000000" w:themeColor="text1"/>
          <w:sz w:val="24"/>
          <w:szCs w:val="24"/>
        </w:rPr>
        <w:t>);</w:t>
      </w:r>
      <w:proofErr w:type="gramEnd"/>
    </w:p>
    <w:p w14:paraId="3965CA8E" w14:textId="77777777" w:rsidR="00D27AD1"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Pr>
          <w:rFonts w:ascii="Arial" w:hAnsi="Arial" w:cs="Arial"/>
          <w:color w:val="000000" w:themeColor="text1"/>
          <w:sz w:val="24"/>
          <w:szCs w:val="24"/>
        </w:rPr>
        <w:t>Improving access to bikes (9</w:t>
      </w:r>
      <w:proofErr w:type="gramStart"/>
      <w:r>
        <w:rPr>
          <w:rFonts w:ascii="Arial" w:hAnsi="Arial" w:cs="Arial"/>
          <w:color w:val="000000" w:themeColor="text1"/>
          <w:sz w:val="24"/>
          <w:szCs w:val="24"/>
        </w:rPr>
        <w:t>);</w:t>
      </w:r>
      <w:proofErr w:type="gramEnd"/>
    </w:p>
    <w:p w14:paraId="11188740" w14:textId="77777777" w:rsidR="007407DB" w:rsidRDefault="007407DB"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Pr>
          <w:rFonts w:ascii="Arial" w:hAnsi="Arial" w:cs="Arial"/>
          <w:color w:val="000000" w:themeColor="text1"/>
          <w:sz w:val="24"/>
          <w:szCs w:val="24"/>
        </w:rPr>
        <w:t>Clyde Metro (11</w:t>
      </w:r>
      <w:proofErr w:type="gramStart"/>
      <w:r>
        <w:rPr>
          <w:rFonts w:ascii="Arial" w:hAnsi="Arial" w:cs="Arial"/>
          <w:color w:val="000000" w:themeColor="text1"/>
          <w:sz w:val="24"/>
          <w:szCs w:val="24"/>
        </w:rPr>
        <w:t>);</w:t>
      </w:r>
      <w:proofErr w:type="gramEnd"/>
    </w:p>
    <w:p w14:paraId="750957AC" w14:textId="77777777" w:rsidR="007407DB" w:rsidRDefault="007407DB"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Pr>
          <w:rFonts w:ascii="Arial" w:hAnsi="Arial" w:cs="Arial"/>
          <w:color w:val="000000" w:themeColor="text1"/>
          <w:sz w:val="24"/>
          <w:szCs w:val="24"/>
        </w:rPr>
        <w:t xml:space="preserve">Edinburgh and </w:t>
      </w:r>
      <w:proofErr w:type="gramStart"/>
      <w:r>
        <w:rPr>
          <w:rFonts w:ascii="Arial" w:hAnsi="Arial" w:cs="Arial"/>
          <w:color w:val="000000" w:themeColor="text1"/>
          <w:sz w:val="24"/>
          <w:szCs w:val="24"/>
        </w:rPr>
        <w:t>South East</w:t>
      </w:r>
      <w:proofErr w:type="gramEnd"/>
      <w:r>
        <w:rPr>
          <w:rFonts w:ascii="Arial" w:hAnsi="Arial" w:cs="Arial"/>
          <w:color w:val="000000" w:themeColor="text1"/>
          <w:sz w:val="24"/>
          <w:szCs w:val="24"/>
        </w:rPr>
        <w:t xml:space="preserve"> Scotland Mass Transit (12);</w:t>
      </w:r>
    </w:p>
    <w:p w14:paraId="02754EE2" w14:textId="77777777" w:rsidR="007407DB" w:rsidRDefault="007407DB"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Pr>
          <w:rFonts w:ascii="Arial" w:hAnsi="Arial" w:cs="Arial"/>
          <w:color w:val="000000" w:themeColor="text1"/>
          <w:sz w:val="24"/>
          <w:szCs w:val="24"/>
        </w:rPr>
        <w:t>Aberdeen Raid Transit (13</w:t>
      </w:r>
      <w:proofErr w:type="gramStart"/>
      <w:r>
        <w:rPr>
          <w:rFonts w:ascii="Arial" w:hAnsi="Arial" w:cs="Arial"/>
          <w:color w:val="000000" w:themeColor="text1"/>
          <w:sz w:val="24"/>
          <w:szCs w:val="24"/>
        </w:rPr>
        <w:t>);</w:t>
      </w:r>
      <w:proofErr w:type="gramEnd"/>
    </w:p>
    <w:p w14:paraId="695FEF11" w14:textId="0B4AB59F" w:rsidR="00D27AD1"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sidRPr="00F229F6">
        <w:rPr>
          <w:rFonts w:ascii="Arial" w:hAnsi="Arial" w:cs="Arial"/>
          <w:color w:val="000000" w:themeColor="text1"/>
          <w:sz w:val="24"/>
          <w:szCs w:val="24"/>
        </w:rPr>
        <w:t xml:space="preserve">Supporting integrated </w:t>
      </w:r>
      <w:r w:rsidR="00715816">
        <w:rPr>
          <w:rFonts w:ascii="Arial" w:hAnsi="Arial" w:cs="Arial"/>
          <w:color w:val="000000" w:themeColor="text1"/>
          <w:sz w:val="24"/>
          <w:szCs w:val="24"/>
        </w:rPr>
        <w:t>j</w:t>
      </w:r>
      <w:r w:rsidRPr="00F229F6">
        <w:rPr>
          <w:rFonts w:ascii="Arial" w:hAnsi="Arial" w:cs="Arial"/>
          <w:color w:val="000000" w:themeColor="text1"/>
          <w:sz w:val="24"/>
          <w:szCs w:val="24"/>
        </w:rPr>
        <w:t>ourneys at ferry terminals</w:t>
      </w:r>
      <w:r>
        <w:rPr>
          <w:rFonts w:ascii="Arial" w:hAnsi="Arial" w:cs="Arial"/>
          <w:color w:val="000000" w:themeColor="text1"/>
          <w:sz w:val="24"/>
          <w:szCs w:val="24"/>
        </w:rPr>
        <w:t xml:space="preserve"> (18</w:t>
      </w:r>
      <w:proofErr w:type="gramStart"/>
      <w:r>
        <w:rPr>
          <w:rFonts w:ascii="Arial" w:hAnsi="Arial" w:cs="Arial"/>
          <w:color w:val="000000" w:themeColor="text1"/>
          <w:sz w:val="24"/>
          <w:szCs w:val="24"/>
        </w:rPr>
        <w:t>);</w:t>
      </w:r>
      <w:proofErr w:type="gramEnd"/>
    </w:p>
    <w:p w14:paraId="20635D82" w14:textId="77777777" w:rsidR="00D27AD1"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sidRPr="00F229F6">
        <w:rPr>
          <w:rFonts w:ascii="Arial" w:hAnsi="Arial" w:cs="Arial"/>
          <w:color w:val="000000" w:themeColor="text1"/>
          <w:sz w:val="24"/>
          <w:szCs w:val="24"/>
        </w:rPr>
        <w:t xml:space="preserve">Infrastructure to provide access for all at railway stations </w:t>
      </w:r>
      <w:r>
        <w:rPr>
          <w:rFonts w:ascii="Arial" w:hAnsi="Arial" w:cs="Arial"/>
          <w:color w:val="000000" w:themeColor="text1"/>
          <w:sz w:val="24"/>
          <w:szCs w:val="24"/>
        </w:rPr>
        <w:t>(19</w:t>
      </w:r>
      <w:proofErr w:type="gramStart"/>
      <w:r>
        <w:rPr>
          <w:rFonts w:ascii="Arial" w:hAnsi="Arial" w:cs="Arial"/>
          <w:color w:val="000000" w:themeColor="text1"/>
          <w:sz w:val="24"/>
          <w:szCs w:val="24"/>
        </w:rPr>
        <w:t>);</w:t>
      </w:r>
      <w:proofErr w:type="gramEnd"/>
    </w:p>
    <w:p w14:paraId="1F071826" w14:textId="77777777" w:rsidR="00D27AD1" w:rsidRPr="009C15BF"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sidRPr="0099096E">
        <w:rPr>
          <w:rFonts w:ascii="Arial" w:hAnsi="Arial" w:cs="Arial"/>
          <w:color w:val="000000" w:themeColor="text1"/>
          <w:sz w:val="24"/>
          <w:szCs w:val="24"/>
        </w:rPr>
        <w:t>Investment in Demand Responsive Transport and Mobility as a Service (20</w:t>
      </w:r>
      <w:proofErr w:type="gramStart"/>
      <w:r w:rsidRPr="0099096E">
        <w:rPr>
          <w:rFonts w:ascii="Arial" w:hAnsi="Arial" w:cs="Arial"/>
          <w:color w:val="000000" w:themeColor="text1"/>
          <w:sz w:val="24"/>
          <w:szCs w:val="24"/>
        </w:rPr>
        <w:t>)</w:t>
      </w:r>
      <w:r>
        <w:rPr>
          <w:rFonts w:ascii="Arial" w:hAnsi="Arial" w:cs="Arial"/>
          <w:color w:val="000000" w:themeColor="text1"/>
          <w:sz w:val="24"/>
          <w:szCs w:val="24"/>
        </w:rPr>
        <w:t>;</w:t>
      </w:r>
      <w:proofErr w:type="gramEnd"/>
    </w:p>
    <w:p w14:paraId="6E362E10" w14:textId="22C808EB" w:rsidR="00D27AD1" w:rsidRPr="00E809A1"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sidRPr="00E809A1">
        <w:rPr>
          <w:rFonts w:ascii="Arial" w:hAnsi="Arial" w:cs="Arial"/>
          <w:color w:val="000000" w:themeColor="text1"/>
          <w:sz w:val="24"/>
          <w:szCs w:val="24"/>
        </w:rPr>
        <w:t>Improved public transport passenger interchange facilities (21</w:t>
      </w:r>
      <w:proofErr w:type="gramStart"/>
      <w:r w:rsidRPr="00E809A1">
        <w:rPr>
          <w:rFonts w:ascii="Arial" w:hAnsi="Arial" w:cs="Arial"/>
          <w:color w:val="000000" w:themeColor="text1"/>
          <w:sz w:val="24"/>
          <w:szCs w:val="24"/>
        </w:rPr>
        <w:t>)</w:t>
      </w:r>
      <w:r>
        <w:rPr>
          <w:rFonts w:ascii="Arial" w:hAnsi="Arial" w:cs="Arial"/>
          <w:color w:val="000000" w:themeColor="text1"/>
          <w:sz w:val="24"/>
          <w:szCs w:val="24"/>
        </w:rPr>
        <w:t>;</w:t>
      </w:r>
      <w:proofErr w:type="gramEnd"/>
      <w:r>
        <w:rPr>
          <w:rFonts w:ascii="Arial" w:hAnsi="Arial" w:cs="Arial"/>
          <w:color w:val="000000" w:themeColor="text1"/>
          <w:sz w:val="24"/>
          <w:szCs w:val="24"/>
        </w:rPr>
        <w:t xml:space="preserve"> </w:t>
      </w:r>
    </w:p>
    <w:p w14:paraId="2F9207DC" w14:textId="77777777" w:rsidR="007407DB" w:rsidRDefault="00D27AD1"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sidRPr="00F15AD7">
        <w:rPr>
          <w:rFonts w:ascii="Arial" w:hAnsi="Arial" w:cs="Arial"/>
          <w:color w:val="000000" w:themeColor="text1"/>
          <w:sz w:val="24"/>
          <w:szCs w:val="24"/>
        </w:rPr>
        <w:t>Smart, integrated public transport ticketing</w:t>
      </w:r>
      <w:r>
        <w:rPr>
          <w:rFonts w:ascii="Arial" w:hAnsi="Arial" w:cs="Arial"/>
          <w:color w:val="000000" w:themeColor="text1"/>
          <w:sz w:val="24"/>
          <w:szCs w:val="24"/>
        </w:rPr>
        <w:t xml:space="preserve"> (23)</w:t>
      </w:r>
      <w:r w:rsidR="007407DB">
        <w:rPr>
          <w:rFonts w:ascii="Arial" w:hAnsi="Arial" w:cs="Arial"/>
          <w:color w:val="000000" w:themeColor="text1"/>
          <w:sz w:val="24"/>
          <w:szCs w:val="24"/>
        </w:rPr>
        <w:t>; and</w:t>
      </w:r>
    </w:p>
    <w:p w14:paraId="10445A11" w14:textId="03F5AAAF" w:rsidR="00D27AD1" w:rsidRPr="00AF1EC1" w:rsidRDefault="007407DB" w:rsidP="00FA3F99">
      <w:pPr>
        <w:pStyle w:val="ListParagraph"/>
        <w:numPr>
          <w:ilvl w:val="0"/>
          <w:numId w:val="43"/>
        </w:numPr>
        <w:pBdr>
          <w:top w:val="single" w:sz="4" w:space="1" w:color="auto"/>
          <w:left w:val="single" w:sz="4" w:space="1" w:color="auto"/>
          <w:bottom w:val="single" w:sz="4" w:space="1" w:color="auto"/>
          <w:right w:val="single" w:sz="4" w:space="1" w:color="auto"/>
        </w:pBdr>
        <w:spacing w:after="120"/>
        <w:rPr>
          <w:rFonts w:ascii="Arial" w:hAnsi="Arial" w:cs="Arial"/>
          <w:color w:val="000000" w:themeColor="text1"/>
          <w:sz w:val="24"/>
          <w:szCs w:val="24"/>
        </w:rPr>
      </w:pPr>
      <w:r w:rsidRPr="007407DB">
        <w:rPr>
          <w:rFonts w:ascii="Arial" w:hAnsi="Arial" w:cs="Arial"/>
          <w:color w:val="000000" w:themeColor="text1"/>
          <w:sz w:val="24"/>
          <w:szCs w:val="24"/>
        </w:rPr>
        <w:t>Zero emission vehicles and infrastructure transition (28)</w:t>
      </w:r>
      <w:r w:rsidR="00C0140E">
        <w:rPr>
          <w:rFonts w:ascii="Arial" w:hAnsi="Arial" w:cs="Arial"/>
          <w:color w:val="000000" w:themeColor="text1"/>
          <w:sz w:val="24"/>
          <w:szCs w:val="24"/>
        </w:rPr>
        <w:t>.</w:t>
      </w:r>
    </w:p>
    <w:p w14:paraId="293FFB2B" w14:textId="77777777" w:rsidR="00D27AD1" w:rsidRPr="00E809A1" w:rsidRDefault="00D27AD1" w:rsidP="00FA3F99">
      <w:pPr>
        <w:pStyle w:val="STPR2Heading3"/>
        <w:shd w:val="clear" w:color="auto" w:fill="C9C9C9" w:themeFill="accent3" w:themeFillTint="99"/>
      </w:pPr>
      <w:r w:rsidRPr="00E809A1">
        <w:t>Other areas of Scottish Government activity</w:t>
      </w:r>
    </w:p>
    <w:p w14:paraId="169374EB" w14:textId="1968DE1E" w:rsidR="00D27AD1" w:rsidRPr="00546AC0"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2" w:history="1">
        <w:r w:rsidR="00D27AD1" w:rsidRPr="005D2582">
          <w:rPr>
            <w:rStyle w:val="Hyperlink"/>
          </w:rPr>
          <w:t>Climate Change Plan 2018</w:t>
        </w:r>
        <w:r w:rsidR="00B0361A">
          <w:rPr>
            <w:rStyle w:val="Hyperlink"/>
          </w:rPr>
          <w:t xml:space="preserve"> </w:t>
        </w:r>
        <w:r w:rsidR="00D27AD1" w:rsidRPr="005D2582">
          <w:rPr>
            <w:rStyle w:val="Hyperlink"/>
          </w:rPr>
          <w:t>-</w:t>
        </w:r>
        <w:r w:rsidR="00B0361A">
          <w:rPr>
            <w:rStyle w:val="Hyperlink"/>
          </w:rPr>
          <w:t xml:space="preserve"> 20</w:t>
        </w:r>
        <w:r w:rsidR="00D27AD1" w:rsidRPr="005D2582">
          <w:rPr>
            <w:rStyle w:val="Hyperlink"/>
          </w:rPr>
          <w:t>32 Update</w:t>
        </w:r>
      </w:hyperlink>
      <w:r w:rsidR="004C5459">
        <w:rPr>
          <w:rStyle w:val="EndnoteReference"/>
        </w:rPr>
        <w:t xml:space="preserve"> </w:t>
      </w:r>
      <w:r w:rsidR="00D27AD1" w:rsidRPr="00546AC0">
        <w:t xml:space="preserve"> - commitments to reduce private vehicle k</w:t>
      </w:r>
      <w:r w:rsidR="00B0361A">
        <w:t>ilo</w:t>
      </w:r>
      <w:r w:rsidR="00D27AD1" w:rsidRPr="00546AC0">
        <w:t>m</w:t>
      </w:r>
      <w:r w:rsidR="00B0361A">
        <w:t>etres</w:t>
      </w:r>
      <w:r w:rsidR="00D27AD1" w:rsidRPr="00546AC0">
        <w:t xml:space="preserve"> by 20% by </w:t>
      </w:r>
      <w:proofErr w:type="gramStart"/>
      <w:r w:rsidR="00D27AD1" w:rsidRPr="00546AC0">
        <w:t>2030;</w:t>
      </w:r>
      <w:proofErr w:type="gramEnd"/>
    </w:p>
    <w:p w14:paraId="3CB8359D" w14:textId="68A02B01" w:rsidR="00D27AD1" w:rsidRPr="00546AC0"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3" w:history="1">
        <w:r w:rsidR="00D27AD1" w:rsidRPr="004D63DE">
          <w:rPr>
            <w:rStyle w:val="Hyperlink"/>
          </w:rPr>
          <w:t>National Transport Strategy</w:t>
        </w:r>
      </w:hyperlink>
      <w:r w:rsidR="00D27AD1" w:rsidRPr="00546AC0">
        <w:t xml:space="preserve"> (NTS2)</w:t>
      </w:r>
      <w:r w:rsidR="004C5459">
        <w:rPr>
          <w:rStyle w:val="EndnoteReference"/>
        </w:rPr>
        <w:t xml:space="preserve"> </w:t>
      </w:r>
      <w:r w:rsidR="00D27AD1" w:rsidRPr="00546AC0">
        <w:t xml:space="preserve"> - the Sustainable Travel </w:t>
      </w:r>
      <w:proofErr w:type="gramStart"/>
      <w:r w:rsidR="00D27AD1" w:rsidRPr="00546AC0">
        <w:t>Hierarchy;</w:t>
      </w:r>
      <w:proofErr w:type="gramEnd"/>
      <w:r w:rsidR="00D27AD1" w:rsidRPr="00546AC0">
        <w:t xml:space="preserve"> </w:t>
      </w:r>
    </w:p>
    <w:p w14:paraId="144281BB" w14:textId="71D70F3A" w:rsidR="00D27AD1" w:rsidRPr="00546AC0"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4" w:history="1">
        <w:r w:rsidR="00D27AD1" w:rsidRPr="0044296A">
          <w:rPr>
            <w:rStyle w:val="Hyperlink"/>
          </w:rPr>
          <w:t>Bus Partnership Fund</w:t>
        </w:r>
      </w:hyperlink>
      <w:r w:rsidR="004C5459">
        <w:rPr>
          <w:rStyle w:val="EndnoteReference"/>
        </w:rPr>
        <w:t xml:space="preserve"> </w:t>
      </w:r>
      <w:r w:rsidR="001A27A2">
        <w:t>;</w:t>
      </w:r>
    </w:p>
    <w:p w14:paraId="47086958" w14:textId="17EB482A" w:rsidR="00D27AD1"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5" w:history="1">
        <w:r w:rsidR="00D27AD1" w:rsidRPr="000C558A">
          <w:rPr>
            <w:rStyle w:val="Hyperlink"/>
          </w:rPr>
          <w:t>City Region Deals</w:t>
        </w:r>
      </w:hyperlink>
      <w:r w:rsidR="004C5459">
        <w:rPr>
          <w:vertAlign w:val="superscript"/>
        </w:rPr>
        <w:t xml:space="preserve"> </w:t>
      </w:r>
      <w:r w:rsidR="00D27AD1" w:rsidRPr="000C71F4">
        <w:t>;</w:t>
      </w:r>
    </w:p>
    <w:p w14:paraId="20BAE808" w14:textId="3A1F8A5C" w:rsidR="00D27AD1"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6" w:history="1">
        <w:r w:rsidR="00D27AD1" w:rsidRPr="00B201B1">
          <w:rPr>
            <w:rStyle w:val="Hyperlink"/>
          </w:rPr>
          <w:t>Regional Growth Deals</w:t>
        </w:r>
      </w:hyperlink>
      <w:r w:rsidR="004C5459">
        <w:rPr>
          <w:vertAlign w:val="superscript"/>
        </w:rPr>
        <w:t xml:space="preserve"> </w:t>
      </w:r>
      <w:r w:rsidR="00D27AD1" w:rsidRPr="000C71F4">
        <w:t>;</w:t>
      </w:r>
    </w:p>
    <w:p w14:paraId="4A791310" w14:textId="388C2D19" w:rsidR="00D27AD1"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7" w:history="1">
        <w:proofErr w:type="spellStart"/>
        <w:r w:rsidR="00D27AD1" w:rsidRPr="00094D9E">
          <w:rPr>
            <w:rStyle w:val="Hyperlink"/>
          </w:rPr>
          <w:t>MaaS</w:t>
        </w:r>
        <w:proofErr w:type="spellEnd"/>
        <w:r w:rsidR="00D27AD1" w:rsidRPr="00094D9E">
          <w:rPr>
            <w:rStyle w:val="Hyperlink"/>
          </w:rPr>
          <w:t xml:space="preserve"> Investment Fund</w:t>
        </w:r>
      </w:hyperlink>
      <w:r w:rsidR="004C5459">
        <w:rPr>
          <w:vertAlign w:val="superscript"/>
        </w:rPr>
        <w:t xml:space="preserve"> </w:t>
      </w:r>
      <w:r w:rsidR="00D27AD1" w:rsidRPr="00546AC0">
        <w:t>;</w:t>
      </w:r>
      <w:r w:rsidR="00D27AD1">
        <w:t xml:space="preserve"> and</w:t>
      </w:r>
    </w:p>
    <w:p w14:paraId="3B9C6C4A" w14:textId="200E14F4" w:rsidR="00D27AD1" w:rsidRPr="000C71F4" w:rsidRDefault="00B40B0B" w:rsidP="00FA3F99">
      <w:pPr>
        <w:pStyle w:val="STPR2BodyText"/>
        <w:numPr>
          <w:ilvl w:val="0"/>
          <w:numId w:val="42"/>
        </w:numPr>
        <w:pBdr>
          <w:top w:val="single" w:sz="4" w:space="1" w:color="auto"/>
          <w:left w:val="single" w:sz="4" w:space="1" w:color="auto"/>
          <w:bottom w:val="single" w:sz="4" w:space="1" w:color="auto"/>
          <w:right w:val="single" w:sz="4" w:space="1" w:color="auto"/>
        </w:pBdr>
        <w:spacing w:after="0"/>
        <w:ind w:left="357" w:hanging="357"/>
      </w:pPr>
      <w:hyperlink r:id="rId28" w:history="1">
        <w:r w:rsidR="00D27AD1" w:rsidRPr="00984C9F">
          <w:rPr>
            <w:rStyle w:val="Hyperlink"/>
          </w:rPr>
          <w:t>Low Carbon Travel and Transport Challenge Fund</w:t>
        </w:r>
      </w:hyperlink>
      <w:r w:rsidR="004C5459">
        <w:rPr>
          <w:vertAlign w:val="superscript"/>
        </w:rPr>
        <w:t xml:space="preserve"> </w:t>
      </w:r>
      <w:r w:rsidR="00D27AD1" w:rsidRPr="00546AC0">
        <w:t>.</w:t>
      </w:r>
    </w:p>
    <w:p w14:paraId="5DA00B88" w14:textId="77777777" w:rsidR="00D27AD1" w:rsidRPr="00441236" w:rsidRDefault="00D27AD1" w:rsidP="00441236">
      <w:pPr>
        <w:rPr>
          <w:rFonts w:ascii="Arial" w:hAnsi="Arial" w:cs="Arial"/>
          <w:color w:val="000000" w:themeColor="text1"/>
          <w:sz w:val="24"/>
          <w:szCs w:val="24"/>
        </w:rPr>
      </w:pPr>
      <w:r>
        <w:br w:type="page"/>
      </w:r>
    </w:p>
    <w:p w14:paraId="5FE75B36" w14:textId="77777777" w:rsidR="00D27AD1" w:rsidRPr="00FF6529" w:rsidRDefault="00D27AD1" w:rsidP="00F843CA">
      <w:pPr>
        <w:pStyle w:val="STPR2Heading1"/>
      </w:pPr>
      <w:r w:rsidRPr="00FF6529">
        <w:lastRenderedPageBreak/>
        <w:t>Appraisal</w:t>
      </w:r>
    </w:p>
    <w:p w14:paraId="49A31BA8" w14:textId="77777777" w:rsidR="00D27AD1" w:rsidRPr="00FF6529" w:rsidRDefault="00D27AD1" w:rsidP="009475F2">
      <w:pPr>
        <w:pStyle w:val="STPR2BodyText"/>
      </w:pPr>
      <w:r w:rsidRPr="00FF6529">
        <w:t xml:space="preserve">This section provides an assessment of the recommendation against: </w:t>
      </w:r>
    </w:p>
    <w:p w14:paraId="1168CB3C" w14:textId="77777777" w:rsidR="00D27AD1" w:rsidRPr="00FF6529" w:rsidRDefault="00D27AD1" w:rsidP="00E6320C">
      <w:pPr>
        <w:pStyle w:val="ListBullet"/>
        <w:rPr>
          <w:rFonts w:ascii="Arial" w:hAnsi="Arial" w:cs="Arial"/>
          <w:sz w:val="24"/>
          <w:szCs w:val="24"/>
        </w:rPr>
      </w:pPr>
      <w:r w:rsidRPr="00FF6529">
        <w:rPr>
          <w:rFonts w:ascii="Arial" w:hAnsi="Arial" w:cs="Arial"/>
          <w:sz w:val="24"/>
          <w:szCs w:val="24"/>
        </w:rPr>
        <w:t>STPR2 Transport Planning Objectives (TPOs</w:t>
      </w:r>
      <w:proofErr w:type="gramStart"/>
      <w:r w:rsidRPr="00FF6529">
        <w:rPr>
          <w:rFonts w:ascii="Arial" w:hAnsi="Arial" w:cs="Arial"/>
          <w:sz w:val="24"/>
          <w:szCs w:val="24"/>
        </w:rPr>
        <w:t>)</w:t>
      </w:r>
      <w:r w:rsidR="000A7A47">
        <w:rPr>
          <w:rFonts w:ascii="Arial" w:hAnsi="Arial" w:cs="Arial"/>
          <w:sz w:val="24"/>
          <w:szCs w:val="24"/>
        </w:rPr>
        <w:t>;</w:t>
      </w:r>
      <w:proofErr w:type="gramEnd"/>
    </w:p>
    <w:p w14:paraId="7C49700B" w14:textId="77777777" w:rsidR="00D27AD1" w:rsidRPr="00FF6529" w:rsidRDefault="00D27AD1" w:rsidP="00E6320C">
      <w:pPr>
        <w:pStyle w:val="ListBullet"/>
        <w:rPr>
          <w:rFonts w:ascii="Arial" w:hAnsi="Arial" w:cs="Arial"/>
          <w:sz w:val="24"/>
          <w:szCs w:val="24"/>
        </w:rPr>
      </w:pPr>
      <w:r w:rsidRPr="00FF6529">
        <w:rPr>
          <w:rFonts w:ascii="Arial" w:hAnsi="Arial" w:cs="Arial"/>
          <w:sz w:val="24"/>
          <w:szCs w:val="24"/>
        </w:rPr>
        <w:t xml:space="preserve">STAG </w:t>
      </w:r>
      <w:proofErr w:type="gramStart"/>
      <w:r w:rsidRPr="00FF6529">
        <w:rPr>
          <w:rFonts w:ascii="Arial" w:hAnsi="Arial" w:cs="Arial"/>
          <w:sz w:val="24"/>
          <w:szCs w:val="24"/>
        </w:rPr>
        <w:t>criteria</w:t>
      </w:r>
      <w:r w:rsidR="000A7A47">
        <w:rPr>
          <w:rFonts w:ascii="Arial" w:hAnsi="Arial" w:cs="Arial"/>
          <w:sz w:val="24"/>
          <w:szCs w:val="24"/>
        </w:rPr>
        <w:t>;</w:t>
      </w:r>
      <w:proofErr w:type="gramEnd"/>
    </w:p>
    <w:p w14:paraId="285C5F7E" w14:textId="77777777" w:rsidR="00D27AD1" w:rsidRPr="00FF6529" w:rsidRDefault="00D27AD1" w:rsidP="00E6320C">
      <w:pPr>
        <w:pStyle w:val="ListBullet"/>
        <w:rPr>
          <w:rFonts w:ascii="Arial" w:hAnsi="Arial" w:cs="Arial"/>
          <w:sz w:val="24"/>
          <w:szCs w:val="24"/>
        </w:rPr>
      </w:pPr>
      <w:r w:rsidRPr="00FF6529">
        <w:rPr>
          <w:rFonts w:ascii="Arial" w:hAnsi="Arial" w:cs="Arial"/>
          <w:sz w:val="24"/>
          <w:szCs w:val="24"/>
        </w:rPr>
        <w:t>Deliverability criteria</w:t>
      </w:r>
      <w:r w:rsidR="000A7A47">
        <w:rPr>
          <w:rFonts w:ascii="Arial" w:hAnsi="Arial" w:cs="Arial"/>
          <w:sz w:val="24"/>
          <w:szCs w:val="24"/>
        </w:rPr>
        <w:t>; and</w:t>
      </w:r>
    </w:p>
    <w:p w14:paraId="7AC8243C" w14:textId="77777777" w:rsidR="00D27AD1" w:rsidRPr="00FF6529" w:rsidRDefault="00D27AD1" w:rsidP="00E6320C">
      <w:pPr>
        <w:pStyle w:val="ListBullet"/>
        <w:rPr>
          <w:rFonts w:ascii="Arial" w:hAnsi="Arial" w:cs="Arial"/>
          <w:sz w:val="24"/>
          <w:szCs w:val="24"/>
        </w:rPr>
      </w:pPr>
      <w:r w:rsidRPr="00BE7606">
        <w:rPr>
          <w:rFonts w:ascii="Arial" w:hAnsi="Arial" w:cs="Arial"/>
          <w:sz w:val="24"/>
          <w:szCs w:val="24"/>
        </w:rPr>
        <w:t xml:space="preserve">Statutory </w:t>
      </w:r>
      <w:r w:rsidRPr="00FF6529">
        <w:rPr>
          <w:rFonts w:ascii="Arial" w:hAnsi="Arial" w:cs="Arial"/>
          <w:sz w:val="24"/>
          <w:szCs w:val="24"/>
        </w:rPr>
        <w:t xml:space="preserve">Impact Assessment criteria. </w:t>
      </w:r>
    </w:p>
    <w:p w14:paraId="6B230C3A" w14:textId="211267E9" w:rsidR="00D27AD1" w:rsidRPr="00ED1471" w:rsidRDefault="00ED1471" w:rsidP="00ED1471">
      <w:pPr>
        <w:pStyle w:val="ListBullet"/>
        <w:numPr>
          <w:ilvl w:val="0"/>
          <w:numId w:val="0"/>
        </w:numPr>
        <w:tabs>
          <w:tab w:val="left" w:pos="720"/>
        </w:tabs>
        <w:rPr>
          <w:rFonts w:ascii="Arial" w:eastAsiaTheme="minorHAnsi"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3A9905C8" w14:textId="77777777" w:rsidR="00D27AD1" w:rsidRPr="003C6186" w:rsidRDefault="00D27AD1" w:rsidP="00BC69FE">
      <w:pPr>
        <w:pStyle w:val="STPR2Heading2"/>
      </w:pPr>
      <w:r>
        <w:t>Transport Planning Objectives</w:t>
      </w:r>
    </w:p>
    <w:p w14:paraId="1B7F951D" w14:textId="77777777" w:rsidR="00D27AD1" w:rsidRPr="005917CD" w:rsidRDefault="00D27AD1" w:rsidP="00FA3F99">
      <w:pPr>
        <w:pStyle w:val="STPR2Heading3"/>
        <w:numPr>
          <w:ilvl w:val="0"/>
          <w:numId w:val="2"/>
        </w:numPr>
        <w:pBdr>
          <w:left w:val="single" w:sz="4" w:space="4" w:color="auto"/>
          <w:right w:val="single" w:sz="4" w:space="4" w:color="auto"/>
        </w:pBdr>
        <w:shd w:val="clear" w:color="auto" w:fill="C9C9C9" w:themeFill="accent3" w:themeFillTint="99"/>
      </w:pPr>
      <w:r>
        <w:t>A sustainable strategic transport system that contributes significantly to the Scottish Government’s net-zero emissions target</w:t>
      </w:r>
    </w:p>
    <w:p w14:paraId="088829A5"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eastAsia="Yu Mincho" w:hAnsi="Arial" w:cs="Arial"/>
          <w:sz w:val="24"/>
          <w:szCs w:val="24"/>
        </w:rPr>
      </w:pPr>
      <w:r w:rsidRPr="008977C5">
        <w:rPr>
          <w:noProof/>
        </w:rPr>
        <w:drawing>
          <wp:inline distT="0" distB="0" distL="0" distR="0" wp14:anchorId="5082246C" wp14:editId="6BDA236A">
            <wp:extent cx="5782945" cy="676275"/>
            <wp:effectExtent l="0" t="0" r="8255" b="952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87068" cy="676757"/>
                    </a:xfrm>
                    <a:prstGeom prst="rect">
                      <a:avLst/>
                    </a:prstGeom>
                    <a:noFill/>
                    <a:ln>
                      <a:noFill/>
                    </a:ln>
                  </pic:spPr>
                </pic:pic>
              </a:graphicData>
            </a:graphic>
          </wp:inline>
        </w:drawing>
      </w:r>
    </w:p>
    <w:p w14:paraId="6AB24394" w14:textId="7F6A5F93"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contribution of mobility hubs to the net zero target would depend on the nature and location of the facilities provided. However, in general, </w:t>
      </w:r>
      <w:hyperlink r:id="rId30" w:history="1">
        <w:r w:rsidRPr="00721F10">
          <w:rPr>
            <w:rStyle w:val="Hyperlink"/>
            <w:rFonts w:ascii="Arial" w:hAnsi="Arial" w:cs="Arial"/>
            <w:sz w:val="24"/>
            <w:szCs w:val="24"/>
          </w:rPr>
          <w:t xml:space="preserve">a successful </w:t>
        </w:r>
        <w:r w:rsidR="00721F10" w:rsidRPr="00721F10">
          <w:rPr>
            <w:rStyle w:val="Hyperlink"/>
            <w:rFonts w:ascii="Arial" w:hAnsi="Arial" w:cs="Arial"/>
            <w:sz w:val="24"/>
            <w:szCs w:val="24"/>
          </w:rPr>
          <w:t>multi-modal hub would be expected to generate increased demand</w:t>
        </w:r>
        <w:r w:rsidR="004C5459">
          <w:rPr>
            <w:rStyle w:val="Hyperlink"/>
            <w:rFonts w:ascii="Arial" w:hAnsi="Arial" w:cs="Arial"/>
            <w:sz w:val="24"/>
            <w:szCs w:val="24"/>
            <w:vertAlign w:val="superscript"/>
          </w:rPr>
          <w:t xml:space="preserve"> </w:t>
        </w:r>
        <w:r w:rsidRPr="00721F10">
          <w:rPr>
            <w:rStyle w:val="Hyperlink"/>
            <w:rFonts w:ascii="Arial" w:hAnsi="Arial" w:cs="Arial"/>
            <w:sz w:val="24"/>
            <w:szCs w:val="24"/>
          </w:rPr>
          <w:t xml:space="preserve"> for public transport and active travel</w:t>
        </w:r>
      </w:hyperlink>
      <w:r w:rsidR="002E4B37">
        <w:rPr>
          <w:rFonts w:ascii="Arial" w:hAnsi="Arial" w:cs="Arial"/>
          <w:sz w:val="24"/>
          <w:szCs w:val="24"/>
        </w:rPr>
        <w:t>,</w:t>
      </w:r>
      <w:r w:rsidRPr="00596790">
        <w:rPr>
          <w:rFonts w:ascii="Arial" w:hAnsi="Arial" w:cs="Arial"/>
          <w:sz w:val="24"/>
          <w:szCs w:val="24"/>
        </w:rPr>
        <w:t xml:space="preserve"> </w:t>
      </w:r>
      <w:r>
        <w:rPr>
          <w:rFonts w:ascii="Arial" w:hAnsi="Arial" w:cs="Arial"/>
          <w:sz w:val="24"/>
          <w:szCs w:val="24"/>
        </w:rPr>
        <w:t xml:space="preserve">in turn promoting mode shift from car, minimising carbon emissions and supporting delivery of this objective. </w:t>
      </w:r>
    </w:p>
    <w:p w14:paraId="0D0F5B8A" w14:textId="77777777" w:rsidR="00D27AD1" w:rsidRPr="008350C8"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Mobility hubs should also increase the attractiveness and competitiveness of public transport, ensuring that the network remains viable for those who need it (particularly in the context of the COVID-19 pandemic which risks a </w:t>
      </w:r>
      <w:proofErr w:type="gramStart"/>
      <w:r>
        <w:rPr>
          <w:rFonts w:ascii="Arial" w:hAnsi="Arial" w:cs="Arial"/>
          <w:sz w:val="24"/>
          <w:szCs w:val="24"/>
        </w:rPr>
        <w:t>longer term</w:t>
      </w:r>
      <w:proofErr w:type="gramEnd"/>
      <w:r>
        <w:rPr>
          <w:rFonts w:ascii="Arial" w:hAnsi="Arial" w:cs="Arial"/>
          <w:sz w:val="24"/>
          <w:szCs w:val="24"/>
        </w:rPr>
        <w:t xml:space="preserve"> shift to private car use).</w:t>
      </w:r>
    </w:p>
    <w:p w14:paraId="2137678B" w14:textId="77777777" w:rsidR="00D27AD1" w:rsidRPr="001F38BD"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1F38BD">
        <w:rPr>
          <w:rFonts w:ascii="Arial" w:hAnsi="Arial" w:cs="Arial"/>
          <w:sz w:val="24"/>
          <w:szCs w:val="24"/>
        </w:rPr>
        <w:t xml:space="preserve">This recommendation is expected to have a </w:t>
      </w:r>
      <w:r>
        <w:rPr>
          <w:rFonts w:ascii="Arial" w:hAnsi="Arial" w:cs="Arial"/>
          <w:sz w:val="24"/>
          <w:szCs w:val="24"/>
        </w:rPr>
        <w:t xml:space="preserve">minor </w:t>
      </w:r>
      <w:r w:rsidRPr="001F38BD">
        <w:rPr>
          <w:rFonts w:ascii="Arial" w:hAnsi="Arial" w:cs="Arial"/>
          <w:sz w:val="24"/>
          <w:szCs w:val="24"/>
        </w:rPr>
        <w:t xml:space="preserve">positive impact </w:t>
      </w:r>
      <w:r w:rsidR="000A7A47">
        <w:rPr>
          <w:rFonts w:ascii="Arial" w:hAnsi="Arial" w:cs="Arial"/>
          <w:sz w:val="24"/>
          <w:szCs w:val="24"/>
        </w:rPr>
        <w:t>on</w:t>
      </w:r>
      <w:r w:rsidR="000A7A47" w:rsidRPr="001F38BD">
        <w:rPr>
          <w:rFonts w:ascii="Arial" w:hAnsi="Arial" w:cs="Arial"/>
          <w:sz w:val="24"/>
          <w:szCs w:val="24"/>
        </w:rPr>
        <w:t xml:space="preserve"> </w:t>
      </w:r>
      <w:r w:rsidRPr="001F38BD">
        <w:rPr>
          <w:rFonts w:ascii="Arial" w:hAnsi="Arial" w:cs="Arial"/>
          <w:sz w:val="24"/>
          <w:szCs w:val="24"/>
        </w:rPr>
        <w:t xml:space="preserve">this </w:t>
      </w:r>
      <w:r w:rsidR="000A7A47">
        <w:rPr>
          <w:rFonts w:ascii="Arial" w:hAnsi="Arial" w:cs="Arial"/>
          <w:sz w:val="24"/>
          <w:szCs w:val="24"/>
        </w:rPr>
        <w:t>objective</w:t>
      </w:r>
      <w:r w:rsidR="000A7A47" w:rsidRPr="001F38BD">
        <w:rPr>
          <w:rFonts w:ascii="Arial" w:hAnsi="Arial" w:cs="Arial"/>
          <w:sz w:val="24"/>
          <w:szCs w:val="24"/>
        </w:rPr>
        <w:t xml:space="preserve"> </w:t>
      </w:r>
      <w:r w:rsidRPr="001F38BD">
        <w:rPr>
          <w:rFonts w:ascii="Arial" w:hAnsi="Arial" w:cs="Arial"/>
          <w:sz w:val="24"/>
          <w:szCs w:val="24"/>
        </w:rPr>
        <w:t>in both Low and High scenarios.</w:t>
      </w:r>
    </w:p>
    <w:p w14:paraId="658C11FD" w14:textId="77777777" w:rsidR="00D27AD1" w:rsidRDefault="00D27AD1" w:rsidP="00DD0E20">
      <w:pPr>
        <w:pStyle w:val="STPR2BodyText"/>
        <w:rPr>
          <w:highlight w:val="yellow"/>
        </w:rPr>
      </w:pPr>
    </w:p>
    <w:p w14:paraId="3256AD06" w14:textId="77777777" w:rsidR="0010790B" w:rsidRDefault="0010790B" w:rsidP="00DD0E20">
      <w:pPr>
        <w:pStyle w:val="STPR2BodyText"/>
        <w:rPr>
          <w:highlight w:val="yellow"/>
        </w:rPr>
      </w:pPr>
    </w:p>
    <w:p w14:paraId="104D66C0" w14:textId="77777777" w:rsidR="0010790B" w:rsidRDefault="0010790B" w:rsidP="00DD0E20">
      <w:pPr>
        <w:pStyle w:val="STPR2BodyText"/>
        <w:rPr>
          <w:highlight w:val="yellow"/>
        </w:rPr>
      </w:pPr>
    </w:p>
    <w:p w14:paraId="2D5A804B" w14:textId="77777777" w:rsidR="0010790B" w:rsidRDefault="0010790B" w:rsidP="00DD0E20">
      <w:pPr>
        <w:pStyle w:val="STPR2BodyText"/>
        <w:rPr>
          <w:highlight w:val="yellow"/>
        </w:rPr>
      </w:pPr>
    </w:p>
    <w:p w14:paraId="71BAC4D1" w14:textId="77777777" w:rsidR="0010790B" w:rsidRDefault="0010790B" w:rsidP="00DD0E20">
      <w:pPr>
        <w:pStyle w:val="STPR2BodyText"/>
        <w:rPr>
          <w:highlight w:val="yellow"/>
        </w:rPr>
      </w:pPr>
    </w:p>
    <w:p w14:paraId="792DEC0B" w14:textId="77777777" w:rsidR="0010790B" w:rsidRDefault="0010790B" w:rsidP="00DD0E20">
      <w:pPr>
        <w:pStyle w:val="STPR2BodyText"/>
        <w:rPr>
          <w:highlight w:val="yellow"/>
        </w:rPr>
      </w:pPr>
    </w:p>
    <w:p w14:paraId="3921D535" w14:textId="77777777" w:rsidR="0010790B" w:rsidRDefault="0010790B" w:rsidP="00DD0E20">
      <w:pPr>
        <w:pStyle w:val="STPR2BodyText"/>
        <w:rPr>
          <w:highlight w:val="yellow"/>
        </w:rPr>
      </w:pPr>
    </w:p>
    <w:p w14:paraId="499B1696" w14:textId="77777777" w:rsidR="00D27AD1" w:rsidRPr="005917CD" w:rsidRDefault="00D27AD1" w:rsidP="00FA3F99">
      <w:pPr>
        <w:pStyle w:val="STPR2Heading3"/>
        <w:numPr>
          <w:ilvl w:val="0"/>
          <w:numId w:val="2"/>
        </w:numPr>
        <w:pBdr>
          <w:left w:val="single" w:sz="4" w:space="4" w:color="auto"/>
          <w:right w:val="single" w:sz="4" w:space="4" w:color="auto"/>
        </w:pBdr>
        <w:shd w:val="clear" w:color="auto" w:fill="C9C9C9" w:themeFill="accent3" w:themeFillTint="99"/>
      </w:pPr>
      <w:r>
        <w:lastRenderedPageBreak/>
        <w:t>An inclusive strategic transport system that improves the affordability and accessibility of public transport.</w:t>
      </w:r>
    </w:p>
    <w:p w14:paraId="7ED6B260" w14:textId="77777777" w:rsidR="00D27AD1" w:rsidRDefault="009E2D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9E2DD1">
        <w:rPr>
          <w:noProof/>
        </w:rPr>
        <w:drawing>
          <wp:inline distT="0" distB="0" distL="0" distR="0" wp14:anchorId="5B71531C" wp14:editId="247B5040">
            <wp:extent cx="5783283" cy="681355"/>
            <wp:effectExtent l="0" t="0" r="8255" b="444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89806" cy="682124"/>
                    </a:xfrm>
                    <a:prstGeom prst="rect">
                      <a:avLst/>
                    </a:prstGeom>
                    <a:noFill/>
                    <a:ln>
                      <a:noFill/>
                    </a:ln>
                  </pic:spPr>
                </pic:pic>
              </a:graphicData>
            </a:graphic>
          </wp:inline>
        </w:drawing>
      </w:r>
    </w:p>
    <w:p w14:paraId="69299B99"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Mobility hubs would improve accessibility by decreasing the distance between </w:t>
      </w:r>
      <w:r w:rsidR="000A7A47">
        <w:rPr>
          <w:rFonts w:ascii="Arial" w:hAnsi="Arial" w:cs="Arial"/>
          <w:sz w:val="24"/>
          <w:szCs w:val="24"/>
        </w:rPr>
        <w:t>transport services (and other services)</w:t>
      </w:r>
      <w:r>
        <w:rPr>
          <w:rFonts w:ascii="Arial" w:hAnsi="Arial" w:cs="Arial"/>
          <w:sz w:val="24"/>
          <w:szCs w:val="24"/>
        </w:rPr>
        <w:t xml:space="preserve">, reducing the disbenefit associated with interchange, especially for those with reduced mobility. </w:t>
      </w:r>
    </w:p>
    <w:p w14:paraId="7C433450" w14:textId="4A88776F" w:rsidR="00D27AD1" w:rsidRDefault="00B40B0B"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2" w:history="1">
        <w:r w:rsidR="00D27AD1" w:rsidRPr="00832FA7">
          <w:rPr>
            <w:rStyle w:val="Hyperlink"/>
            <w:rFonts w:ascii="Arial" w:hAnsi="Arial" w:cs="Arial"/>
            <w:sz w:val="24"/>
            <w:szCs w:val="24"/>
          </w:rPr>
          <w:t>A European Environment Agency report</w:t>
        </w:r>
      </w:hyperlink>
      <w:r w:rsidR="004C5459">
        <w:rPr>
          <w:rStyle w:val="EndnoteReference"/>
          <w:rFonts w:ascii="Arial" w:hAnsi="Arial" w:cs="Arial"/>
          <w:sz w:val="24"/>
          <w:szCs w:val="24"/>
        </w:rPr>
        <w:t xml:space="preserve"> </w:t>
      </w:r>
      <w:r w:rsidR="00D27AD1" w:rsidRPr="00F962E9">
        <w:rPr>
          <w:rFonts w:ascii="Arial" w:hAnsi="Arial" w:cs="Arial"/>
          <w:sz w:val="24"/>
          <w:szCs w:val="24"/>
        </w:rPr>
        <w:t xml:space="preserve"> into the first and last mile of travel found that, for passenger transport, good first/last/only mile (F/L/O mile) options have the potential to modify the characteristics of public transport and to reduce the overall costs of trips made by public transport (</w:t>
      </w:r>
      <w:r w:rsidR="000A7A47">
        <w:rPr>
          <w:rFonts w:ascii="Arial" w:hAnsi="Arial" w:cs="Arial"/>
          <w:sz w:val="24"/>
          <w:szCs w:val="24"/>
        </w:rPr>
        <w:t>specifically</w:t>
      </w:r>
      <w:r w:rsidR="00D27AD1" w:rsidRPr="00F962E9">
        <w:rPr>
          <w:rFonts w:ascii="Arial" w:hAnsi="Arial" w:cs="Arial"/>
          <w:sz w:val="24"/>
          <w:szCs w:val="24"/>
        </w:rPr>
        <w:t xml:space="preserve"> the sum of the monetary costs of a journey, such as fares, and non-monetary costs relating to the monetised value of travel time), thereby making it more attractive. In short, mobility hubs have the potential to make public transport more attractive relative to the private car, by making the first and last leg of public transport journeys more convenient and creating a more seamless travel experience.</w:t>
      </w:r>
    </w:p>
    <w:p w14:paraId="2461EE1F"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w:t>
      </w:r>
      <w:r w:rsidRPr="001F38BD">
        <w:rPr>
          <w:rFonts w:ascii="Arial" w:hAnsi="Arial" w:cs="Arial"/>
          <w:sz w:val="24"/>
          <w:szCs w:val="24"/>
        </w:rPr>
        <w:t xml:space="preserve">recommendation </w:t>
      </w:r>
      <w:r>
        <w:rPr>
          <w:rFonts w:ascii="Arial" w:hAnsi="Arial" w:cs="Arial"/>
          <w:sz w:val="24"/>
          <w:szCs w:val="24"/>
        </w:rPr>
        <w:t xml:space="preserve">is therefore expected to have a </w:t>
      </w:r>
      <w:r w:rsidR="009E2DD1">
        <w:rPr>
          <w:rFonts w:ascii="Arial" w:hAnsi="Arial" w:cs="Arial"/>
          <w:sz w:val="24"/>
          <w:szCs w:val="24"/>
        </w:rPr>
        <w:t xml:space="preserve">moderate </w:t>
      </w:r>
      <w:r>
        <w:rPr>
          <w:rFonts w:ascii="Arial" w:hAnsi="Arial" w:cs="Arial"/>
          <w:sz w:val="24"/>
          <w:szCs w:val="24"/>
        </w:rPr>
        <w:t xml:space="preserve">positive impact </w:t>
      </w:r>
      <w:r w:rsidR="000A7A47">
        <w:rPr>
          <w:rFonts w:ascii="Arial" w:hAnsi="Arial" w:cs="Arial"/>
          <w:sz w:val="24"/>
          <w:szCs w:val="24"/>
        </w:rPr>
        <w:t xml:space="preserve">on </w:t>
      </w:r>
      <w:r>
        <w:rPr>
          <w:rFonts w:ascii="Arial" w:hAnsi="Arial" w:cs="Arial"/>
          <w:sz w:val="24"/>
          <w:szCs w:val="24"/>
        </w:rPr>
        <w:t xml:space="preserve">this </w:t>
      </w:r>
      <w:r w:rsidR="000A7A47">
        <w:rPr>
          <w:rFonts w:ascii="Arial" w:hAnsi="Arial" w:cs="Arial"/>
          <w:sz w:val="24"/>
          <w:szCs w:val="24"/>
        </w:rPr>
        <w:t xml:space="preserve">objective </w:t>
      </w:r>
      <w:r>
        <w:rPr>
          <w:rFonts w:ascii="Arial" w:hAnsi="Arial" w:cs="Arial"/>
          <w:sz w:val="24"/>
          <w:szCs w:val="24"/>
        </w:rPr>
        <w:t>in both Low and High scenarios.</w:t>
      </w:r>
    </w:p>
    <w:p w14:paraId="5BF8EC7C" w14:textId="77777777" w:rsidR="00D27AD1" w:rsidRDefault="00D27AD1" w:rsidP="00E677AA">
      <w:pPr>
        <w:rPr>
          <w:rFonts w:ascii="Arial" w:hAnsi="Arial" w:cs="Arial"/>
          <w:sz w:val="24"/>
          <w:szCs w:val="24"/>
        </w:rPr>
      </w:pPr>
    </w:p>
    <w:p w14:paraId="779526FD" w14:textId="77777777" w:rsidR="00D27AD1" w:rsidRPr="00857D07" w:rsidRDefault="00D27AD1" w:rsidP="00FA3F99">
      <w:pPr>
        <w:pStyle w:val="STPR2Heading3"/>
        <w:pBdr>
          <w:left w:val="single" w:sz="4" w:space="4" w:color="auto"/>
          <w:right w:val="single" w:sz="4" w:space="4" w:color="auto"/>
        </w:pBdr>
        <w:shd w:val="clear" w:color="auto" w:fill="C9C9C9" w:themeFill="accent3" w:themeFillTint="99"/>
      </w:pPr>
      <w:r w:rsidRPr="00647840">
        <w:t>3. A</w:t>
      </w:r>
      <w:r w:rsidRPr="00857D07">
        <w:t xml:space="preserve"> cohesive strategic transport system that enhances communities as places, supporting health and wellbeing.</w:t>
      </w:r>
    </w:p>
    <w:p w14:paraId="30059EDD" w14:textId="77777777" w:rsidR="00D27AD1" w:rsidRPr="008977C5" w:rsidRDefault="00D27AD1" w:rsidP="00FA3F9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864BC7">
        <w:rPr>
          <w:noProof/>
        </w:rPr>
        <w:drawing>
          <wp:inline distT="0" distB="0" distL="0" distR="0" wp14:anchorId="5B112E38" wp14:editId="31CB6E28">
            <wp:extent cx="5723906" cy="676275"/>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8308" cy="676795"/>
                    </a:xfrm>
                    <a:prstGeom prst="rect">
                      <a:avLst/>
                    </a:prstGeom>
                    <a:noFill/>
                    <a:ln>
                      <a:noFill/>
                    </a:ln>
                  </pic:spPr>
                </pic:pic>
              </a:graphicData>
            </a:graphic>
          </wp:inline>
        </w:drawing>
      </w:r>
    </w:p>
    <w:p w14:paraId="62AC4DF0"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F91033">
        <w:rPr>
          <w:rFonts w:ascii="Arial" w:hAnsi="Arial" w:cs="Arial"/>
          <w:sz w:val="24"/>
          <w:szCs w:val="24"/>
        </w:rPr>
        <w:t xml:space="preserve">The development of mobility hubs has the potential to support the ambitions to develop more liveable neighbourhoods, reflected in </w:t>
      </w:r>
      <w:r>
        <w:rPr>
          <w:rFonts w:ascii="Arial" w:hAnsi="Arial" w:cs="Arial"/>
          <w:sz w:val="24"/>
          <w:szCs w:val="24"/>
        </w:rPr>
        <w:t>government</w:t>
      </w:r>
      <w:r w:rsidR="00013868">
        <w:rPr>
          <w:rFonts w:ascii="Arial" w:hAnsi="Arial" w:cs="Arial"/>
          <w:sz w:val="24"/>
          <w:szCs w:val="24"/>
        </w:rPr>
        <w:t xml:space="preserve"> </w:t>
      </w:r>
      <w:r>
        <w:rPr>
          <w:rFonts w:ascii="Arial" w:hAnsi="Arial" w:cs="Arial"/>
          <w:sz w:val="24"/>
          <w:szCs w:val="24"/>
        </w:rPr>
        <w:t>aims</w:t>
      </w:r>
      <w:r w:rsidRPr="00F91033">
        <w:rPr>
          <w:rFonts w:ascii="Arial" w:hAnsi="Arial" w:cs="Arial"/>
          <w:sz w:val="24"/>
          <w:szCs w:val="24"/>
        </w:rPr>
        <w:t xml:space="preserve"> for 20-minute neighbourhoods, by improving access to an array of sustainable travel choices for everyday journeys</w:t>
      </w:r>
      <w:r>
        <w:rPr>
          <w:rFonts w:ascii="Arial" w:hAnsi="Arial" w:cs="Arial"/>
          <w:sz w:val="24"/>
          <w:szCs w:val="24"/>
        </w:rPr>
        <w:t>. This could</w:t>
      </w:r>
      <w:r w:rsidRPr="00F91033">
        <w:rPr>
          <w:rFonts w:ascii="Arial" w:hAnsi="Arial" w:cs="Arial"/>
          <w:sz w:val="24"/>
          <w:szCs w:val="24"/>
        </w:rPr>
        <w:t xml:space="preserve"> reduc</w:t>
      </w:r>
      <w:r>
        <w:rPr>
          <w:rFonts w:ascii="Arial" w:hAnsi="Arial" w:cs="Arial"/>
          <w:sz w:val="24"/>
          <w:szCs w:val="24"/>
        </w:rPr>
        <w:t>e</w:t>
      </w:r>
      <w:r w:rsidRPr="00F91033">
        <w:rPr>
          <w:rFonts w:ascii="Arial" w:hAnsi="Arial" w:cs="Arial"/>
          <w:sz w:val="24"/>
          <w:szCs w:val="24"/>
        </w:rPr>
        <w:t xml:space="preserve"> private car dependency and increas</w:t>
      </w:r>
      <w:r>
        <w:rPr>
          <w:rFonts w:ascii="Arial" w:hAnsi="Arial" w:cs="Arial"/>
          <w:sz w:val="24"/>
          <w:szCs w:val="24"/>
        </w:rPr>
        <w:t>e</w:t>
      </w:r>
      <w:r w:rsidRPr="00F91033">
        <w:rPr>
          <w:rFonts w:ascii="Arial" w:hAnsi="Arial" w:cs="Arial"/>
          <w:sz w:val="24"/>
          <w:szCs w:val="24"/>
        </w:rPr>
        <w:t xml:space="preserve"> walking, wheeling, cycling</w:t>
      </w:r>
      <w:r>
        <w:rPr>
          <w:rFonts w:ascii="Arial" w:hAnsi="Arial" w:cs="Arial"/>
          <w:sz w:val="24"/>
          <w:szCs w:val="24"/>
        </w:rPr>
        <w:t>,</w:t>
      </w:r>
      <w:r w:rsidRPr="00F91033">
        <w:rPr>
          <w:rFonts w:ascii="Arial" w:hAnsi="Arial" w:cs="Arial"/>
          <w:sz w:val="24"/>
          <w:szCs w:val="24"/>
        </w:rPr>
        <w:t xml:space="preserve"> and public transport use</w:t>
      </w:r>
      <w:r>
        <w:rPr>
          <w:rFonts w:ascii="Arial" w:hAnsi="Arial" w:cs="Arial"/>
          <w:sz w:val="24"/>
          <w:szCs w:val="24"/>
        </w:rPr>
        <w:t>, positively contributing to the development of more liveable places and supporting health and wellbeing outcomes</w:t>
      </w:r>
      <w:r w:rsidRPr="00F91033">
        <w:rPr>
          <w:rFonts w:ascii="Arial" w:hAnsi="Arial" w:cs="Arial"/>
          <w:sz w:val="24"/>
          <w:szCs w:val="24"/>
        </w:rPr>
        <w:t>.</w:t>
      </w:r>
    </w:p>
    <w:p w14:paraId="0736DF3C"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w:t>
      </w:r>
      <w:r w:rsidRPr="00A03AE5">
        <w:rPr>
          <w:rFonts w:ascii="Arial" w:hAnsi="Arial" w:cs="Arial"/>
          <w:sz w:val="24"/>
          <w:szCs w:val="24"/>
        </w:rPr>
        <w:t>obility hubs are not just a point of convergence for multi-modal transport options</w:t>
      </w:r>
      <w:r>
        <w:rPr>
          <w:rFonts w:ascii="Arial" w:hAnsi="Arial" w:cs="Arial"/>
          <w:sz w:val="24"/>
          <w:szCs w:val="24"/>
        </w:rPr>
        <w:t>;</w:t>
      </w:r>
      <w:r w:rsidRPr="00A03AE5">
        <w:rPr>
          <w:rFonts w:ascii="Arial" w:hAnsi="Arial" w:cs="Arial"/>
          <w:sz w:val="24"/>
          <w:szCs w:val="24"/>
        </w:rPr>
        <w:t xml:space="preserve"> they comprise</w:t>
      </w:r>
      <w:r>
        <w:rPr>
          <w:rFonts w:ascii="Arial" w:hAnsi="Arial" w:cs="Arial"/>
          <w:sz w:val="24"/>
          <w:szCs w:val="24"/>
        </w:rPr>
        <w:t xml:space="preserve"> </w:t>
      </w:r>
      <w:r w:rsidRPr="00A03AE5">
        <w:rPr>
          <w:rFonts w:ascii="Arial" w:hAnsi="Arial" w:cs="Arial"/>
          <w:sz w:val="24"/>
          <w:szCs w:val="24"/>
        </w:rPr>
        <w:t xml:space="preserve">several different components which overall contribute to the hub being an interface between the transport network and the surrounding environment. </w:t>
      </w:r>
      <w:r>
        <w:rPr>
          <w:rFonts w:ascii="Arial" w:hAnsi="Arial" w:cs="Arial"/>
          <w:sz w:val="24"/>
          <w:szCs w:val="24"/>
        </w:rPr>
        <w:t>This includes both mob</w:t>
      </w:r>
      <w:r w:rsidRPr="00A03AE5">
        <w:rPr>
          <w:rFonts w:ascii="Arial" w:hAnsi="Arial" w:cs="Arial"/>
          <w:sz w:val="24"/>
          <w:szCs w:val="24"/>
        </w:rPr>
        <w:t>ility and non-mobility urban improvement</w:t>
      </w:r>
      <w:r>
        <w:rPr>
          <w:rFonts w:ascii="Arial" w:hAnsi="Arial" w:cs="Arial"/>
          <w:sz w:val="24"/>
          <w:szCs w:val="24"/>
        </w:rPr>
        <w:t xml:space="preserve"> components. Complementing </w:t>
      </w:r>
      <w:r w:rsidRPr="00D974D7">
        <w:rPr>
          <w:rFonts w:ascii="Arial" w:hAnsi="Arial" w:cs="Arial"/>
          <w:sz w:val="24"/>
          <w:szCs w:val="24"/>
        </w:rPr>
        <w:t>mobility related components such as shared mobility (</w:t>
      </w:r>
      <w:r w:rsidR="009E2DD1">
        <w:rPr>
          <w:rFonts w:ascii="Arial" w:hAnsi="Arial" w:cs="Arial"/>
          <w:sz w:val="24"/>
          <w:szCs w:val="24"/>
        </w:rPr>
        <w:t>for example,</w:t>
      </w:r>
      <w:r w:rsidRPr="00D974D7">
        <w:rPr>
          <w:rFonts w:ascii="Arial" w:hAnsi="Arial" w:cs="Arial"/>
          <w:sz w:val="24"/>
          <w:szCs w:val="24"/>
        </w:rPr>
        <w:t xml:space="preserve"> bike share), EV</w:t>
      </w:r>
      <w:r>
        <w:rPr>
          <w:rFonts w:ascii="Arial" w:hAnsi="Arial" w:cs="Arial"/>
          <w:sz w:val="24"/>
          <w:szCs w:val="24"/>
        </w:rPr>
        <w:t xml:space="preserve"> </w:t>
      </w:r>
      <w:r w:rsidRPr="00E52925">
        <w:rPr>
          <w:rFonts w:ascii="Arial" w:hAnsi="Arial" w:cs="Arial"/>
          <w:sz w:val="24"/>
          <w:szCs w:val="24"/>
        </w:rPr>
        <w:t>charging points</w:t>
      </w:r>
      <w:r>
        <w:rPr>
          <w:rFonts w:ascii="Arial" w:hAnsi="Arial" w:cs="Arial"/>
          <w:sz w:val="24"/>
          <w:szCs w:val="24"/>
        </w:rPr>
        <w:t>,</w:t>
      </w:r>
      <w:r w:rsidRPr="00E52925">
        <w:rPr>
          <w:rFonts w:ascii="Arial" w:hAnsi="Arial" w:cs="Arial"/>
          <w:sz w:val="24"/>
          <w:szCs w:val="24"/>
        </w:rPr>
        <w:t xml:space="preserve"> and public transport stops/platforms</w:t>
      </w:r>
      <w:r>
        <w:rPr>
          <w:rFonts w:ascii="Arial" w:hAnsi="Arial" w:cs="Arial"/>
          <w:sz w:val="24"/>
          <w:szCs w:val="24"/>
        </w:rPr>
        <w:t>,</w:t>
      </w:r>
      <w:r w:rsidRPr="00E52925">
        <w:rPr>
          <w:rFonts w:ascii="Arial" w:hAnsi="Arial" w:cs="Arial"/>
          <w:sz w:val="24"/>
          <w:szCs w:val="24"/>
        </w:rPr>
        <w:t xml:space="preserve"> </w:t>
      </w:r>
      <w:r>
        <w:rPr>
          <w:rFonts w:ascii="Arial" w:hAnsi="Arial" w:cs="Arial"/>
          <w:sz w:val="24"/>
          <w:szCs w:val="24"/>
        </w:rPr>
        <w:t xml:space="preserve">logistics hubs, </w:t>
      </w:r>
      <w:r w:rsidR="002E4B37">
        <w:rPr>
          <w:rFonts w:ascii="Arial" w:hAnsi="Arial" w:cs="Arial"/>
          <w:sz w:val="24"/>
          <w:szCs w:val="24"/>
        </w:rPr>
        <w:t xml:space="preserve">parcel lockers, </w:t>
      </w:r>
      <w:r w:rsidRPr="00E52925">
        <w:rPr>
          <w:rFonts w:ascii="Arial" w:hAnsi="Arial" w:cs="Arial"/>
          <w:sz w:val="24"/>
          <w:szCs w:val="24"/>
        </w:rPr>
        <w:t>urban improvements such as landscaping</w:t>
      </w:r>
      <w:r w:rsidR="002E4B37">
        <w:rPr>
          <w:rFonts w:ascii="Arial" w:hAnsi="Arial" w:cs="Arial"/>
          <w:sz w:val="24"/>
          <w:szCs w:val="24"/>
        </w:rPr>
        <w:t xml:space="preserve"> and rest points</w:t>
      </w:r>
      <w:r w:rsidRPr="00E52925">
        <w:rPr>
          <w:rFonts w:ascii="Arial" w:hAnsi="Arial" w:cs="Arial"/>
          <w:sz w:val="24"/>
          <w:szCs w:val="24"/>
        </w:rPr>
        <w:t xml:space="preserve">, outdoor </w:t>
      </w:r>
      <w:r w:rsidRPr="00E52925">
        <w:rPr>
          <w:rFonts w:ascii="Arial" w:hAnsi="Arial" w:cs="Arial"/>
          <w:sz w:val="24"/>
          <w:szCs w:val="24"/>
        </w:rPr>
        <w:lastRenderedPageBreak/>
        <w:t>cafes/co-working spaces and phone charging points</w:t>
      </w:r>
      <w:r>
        <w:rPr>
          <w:rFonts w:ascii="Arial" w:hAnsi="Arial" w:cs="Arial"/>
          <w:sz w:val="24"/>
          <w:szCs w:val="24"/>
        </w:rPr>
        <w:t xml:space="preserve"> can increase their attractiveness and utilisation</w:t>
      </w:r>
      <w:r w:rsidRPr="00E52925">
        <w:rPr>
          <w:rFonts w:ascii="Arial" w:hAnsi="Arial" w:cs="Arial"/>
          <w:sz w:val="24"/>
          <w:szCs w:val="24"/>
        </w:rPr>
        <w:t>.</w:t>
      </w:r>
      <w:r>
        <w:rPr>
          <w:rFonts w:ascii="Arial" w:hAnsi="Arial" w:cs="Arial"/>
          <w:sz w:val="24"/>
          <w:szCs w:val="24"/>
        </w:rPr>
        <w:t xml:space="preserve"> By improving public realm, mobility hubs can enhance the sense of place. </w:t>
      </w:r>
      <w:r w:rsidRPr="00E52925">
        <w:rPr>
          <w:rFonts w:ascii="Arial" w:hAnsi="Arial" w:cs="Arial"/>
          <w:sz w:val="24"/>
          <w:szCs w:val="24"/>
        </w:rPr>
        <w:t xml:space="preserve"> </w:t>
      </w:r>
    </w:p>
    <w:p w14:paraId="5F1EBB9D"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E52925">
        <w:rPr>
          <w:rFonts w:ascii="Arial" w:hAnsi="Arial" w:cs="Arial"/>
          <w:sz w:val="24"/>
          <w:szCs w:val="24"/>
        </w:rPr>
        <w:t>Multi-modal transport hubs could be developed</w:t>
      </w:r>
      <w:r>
        <w:rPr>
          <w:rFonts w:ascii="Arial" w:hAnsi="Arial" w:cs="Arial"/>
          <w:sz w:val="24"/>
          <w:szCs w:val="24"/>
        </w:rPr>
        <w:t xml:space="preserve"> from</w:t>
      </w:r>
      <w:r w:rsidRPr="00E52925">
        <w:rPr>
          <w:rFonts w:ascii="Arial" w:hAnsi="Arial" w:cs="Arial"/>
          <w:sz w:val="24"/>
          <w:szCs w:val="24"/>
        </w:rPr>
        <w:t xml:space="preserve"> existing transport hubs (</w:t>
      </w:r>
      <w:r w:rsidR="009E2DD1">
        <w:rPr>
          <w:rFonts w:ascii="Arial" w:hAnsi="Arial" w:cs="Arial"/>
          <w:sz w:val="24"/>
          <w:szCs w:val="24"/>
        </w:rPr>
        <w:t>for example,</w:t>
      </w:r>
      <w:r w:rsidRPr="00E52925">
        <w:rPr>
          <w:rFonts w:ascii="Arial" w:hAnsi="Arial" w:cs="Arial"/>
          <w:sz w:val="24"/>
          <w:szCs w:val="24"/>
        </w:rPr>
        <w:t xml:space="preserve"> bus</w:t>
      </w:r>
      <w:r>
        <w:rPr>
          <w:rFonts w:ascii="Arial" w:hAnsi="Arial" w:cs="Arial"/>
          <w:sz w:val="24"/>
          <w:szCs w:val="24"/>
        </w:rPr>
        <w:t>/</w:t>
      </w:r>
      <w:r w:rsidRPr="00E52925">
        <w:rPr>
          <w:rFonts w:ascii="Arial" w:hAnsi="Arial" w:cs="Arial"/>
          <w:sz w:val="24"/>
          <w:szCs w:val="24"/>
        </w:rPr>
        <w:t>rail stations</w:t>
      </w:r>
      <w:r w:rsidR="009E2DD1">
        <w:rPr>
          <w:rFonts w:ascii="Arial" w:hAnsi="Arial" w:cs="Arial"/>
          <w:sz w:val="24"/>
          <w:szCs w:val="24"/>
        </w:rPr>
        <w:t xml:space="preserve"> and</w:t>
      </w:r>
      <w:r w:rsidRPr="00E52925">
        <w:rPr>
          <w:rFonts w:ascii="Arial" w:hAnsi="Arial" w:cs="Arial"/>
          <w:sz w:val="24"/>
          <w:szCs w:val="24"/>
        </w:rPr>
        <w:t xml:space="preserve"> ferry terminals) as well as other appropriate sites within cities, </w:t>
      </w:r>
      <w:proofErr w:type="gramStart"/>
      <w:r w:rsidRPr="00E52925">
        <w:rPr>
          <w:rFonts w:ascii="Arial" w:hAnsi="Arial" w:cs="Arial"/>
          <w:sz w:val="24"/>
          <w:szCs w:val="24"/>
        </w:rPr>
        <w:t>towns</w:t>
      </w:r>
      <w:proofErr w:type="gramEnd"/>
      <w:r w:rsidRPr="00E52925">
        <w:rPr>
          <w:rFonts w:ascii="Arial" w:hAnsi="Arial" w:cs="Arial"/>
          <w:sz w:val="24"/>
          <w:szCs w:val="24"/>
        </w:rPr>
        <w:t xml:space="preserve"> and villages across Scotland.</w:t>
      </w:r>
      <w:r>
        <w:rPr>
          <w:rFonts w:ascii="Arial" w:hAnsi="Arial" w:cs="Arial"/>
          <w:sz w:val="24"/>
          <w:szCs w:val="24"/>
        </w:rPr>
        <w:t xml:space="preserve"> New hubs would make multi-modal journeys more attractive, potentially increasing active travel and therefore improving health. Reduced car use would also result in reduced emissions, improving health.   </w:t>
      </w:r>
    </w:p>
    <w:p w14:paraId="3910666E"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Overall, this </w:t>
      </w:r>
      <w:r w:rsidRPr="001F38BD">
        <w:rPr>
          <w:rFonts w:ascii="Arial" w:hAnsi="Arial" w:cs="Arial"/>
          <w:sz w:val="24"/>
          <w:szCs w:val="24"/>
        </w:rPr>
        <w:t xml:space="preserve">recommendation </w:t>
      </w:r>
      <w:r>
        <w:rPr>
          <w:rFonts w:ascii="Arial" w:hAnsi="Arial" w:cs="Arial"/>
          <w:sz w:val="24"/>
          <w:szCs w:val="24"/>
        </w:rPr>
        <w:t xml:space="preserve">is expected to have a moderate positive impact </w:t>
      </w:r>
      <w:r w:rsidR="000A7A47">
        <w:rPr>
          <w:rFonts w:ascii="Arial" w:hAnsi="Arial" w:cs="Arial"/>
          <w:sz w:val="24"/>
          <w:szCs w:val="24"/>
        </w:rPr>
        <w:t xml:space="preserve">on </w:t>
      </w:r>
      <w:r>
        <w:rPr>
          <w:rFonts w:ascii="Arial" w:hAnsi="Arial" w:cs="Arial"/>
          <w:sz w:val="24"/>
          <w:szCs w:val="24"/>
        </w:rPr>
        <w:t xml:space="preserve">this </w:t>
      </w:r>
      <w:r w:rsidR="000A7A47">
        <w:rPr>
          <w:rFonts w:ascii="Arial" w:hAnsi="Arial" w:cs="Arial"/>
          <w:sz w:val="24"/>
          <w:szCs w:val="24"/>
        </w:rPr>
        <w:t xml:space="preserve">objective </w:t>
      </w:r>
      <w:r>
        <w:rPr>
          <w:rFonts w:ascii="Arial" w:hAnsi="Arial" w:cs="Arial"/>
          <w:sz w:val="24"/>
          <w:szCs w:val="24"/>
        </w:rPr>
        <w:t>in both Low and High scenarios.</w:t>
      </w:r>
    </w:p>
    <w:p w14:paraId="45364F1F" w14:textId="77777777" w:rsidR="00D27AD1" w:rsidRDefault="00D27AD1">
      <w:pPr>
        <w:rPr>
          <w:rFonts w:ascii="Arial" w:hAnsi="Arial" w:cs="Arial"/>
          <w:color w:val="000000" w:themeColor="text1"/>
          <w:sz w:val="24"/>
          <w:szCs w:val="24"/>
          <w:highlight w:val="yellow"/>
          <w:lang w:eastAsia="en-US"/>
        </w:rPr>
      </w:pPr>
      <w:r>
        <w:rPr>
          <w:highlight w:val="yellow"/>
          <w:lang w:eastAsia="en-US"/>
        </w:rPr>
        <w:br w:type="page"/>
      </w:r>
    </w:p>
    <w:p w14:paraId="4F8624D6" w14:textId="77777777" w:rsidR="00D27AD1" w:rsidRPr="008674A7" w:rsidRDefault="00D27AD1" w:rsidP="00FA3F99">
      <w:pPr>
        <w:pStyle w:val="STPR2Heading3"/>
        <w:pBdr>
          <w:left w:val="single" w:sz="4" w:space="4" w:color="auto"/>
          <w:right w:val="single" w:sz="4" w:space="4" w:color="auto"/>
        </w:pBdr>
        <w:shd w:val="clear" w:color="auto" w:fill="C9C9C9" w:themeFill="accent3" w:themeFillTint="99"/>
      </w:pPr>
      <w:r w:rsidRPr="00647840">
        <w:lastRenderedPageBreak/>
        <w:t>4.</w:t>
      </w:r>
      <w:r>
        <w:t xml:space="preserve"> An integrated strategic transport system that contributes towards sustainable inclusive growth in Scotland.</w:t>
      </w:r>
    </w:p>
    <w:p w14:paraId="68401801"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8977C5">
        <w:rPr>
          <w:noProof/>
        </w:rPr>
        <w:drawing>
          <wp:inline distT="0" distB="0" distL="0" distR="0" wp14:anchorId="1A9D9ECF" wp14:editId="3F1F7A7B">
            <wp:extent cx="5712031" cy="676275"/>
            <wp:effectExtent l="0" t="0" r="3175"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7248" cy="676893"/>
                    </a:xfrm>
                    <a:prstGeom prst="rect">
                      <a:avLst/>
                    </a:prstGeom>
                    <a:noFill/>
                    <a:ln>
                      <a:noFill/>
                    </a:ln>
                  </pic:spPr>
                </pic:pic>
              </a:graphicData>
            </a:graphic>
          </wp:inline>
        </w:drawing>
      </w:r>
    </w:p>
    <w:p w14:paraId="3616C3B0" w14:textId="1C922B55" w:rsidR="00D27AD1" w:rsidRDefault="00B40B0B"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4" w:history="1">
        <w:r w:rsidR="00D27AD1" w:rsidRPr="00BD6B86">
          <w:rPr>
            <w:rStyle w:val="Hyperlink"/>
            <w:rFonts w:ascii="Arial" w:hAnsi="Arial" w:cs="Arial"/>
            <w:sz w:val="24"/>
            <w:szCs w:val="24"/>
          </w:rPr>
          <w:t xml:space="preserve">The need for integration to encourage modal shift from private vehicle use is highlighted in </w:t>
        </w:r>
        <w:r w:rsidR="00BD6B86" w:rsidRPr="00BD6B86">
          <w:rPr>
            <w:rStyle w:val="Hyperlink"/>
            <w:rFonts w:ascii="Arial" w:hAnsi="Arial" w:cs="Arial"/>
            <w:sz w:val="24"/>
            <w:szCs w:val="24"/>
          </w:rPr>
          <w:t>NTS2</w:t>
        </w:r>
      </w:hyperlink>
      <w:r w:rsidR="004C5459">
        <w:rPr>
          <w:rStyle w:val="EndnoteReference"/>
          <w:rFonts w:ascii="Arial" w:hAnsi="Arial" w:cs="Arial"/>
          <w:sz w:val="24"/>
          <w:szCs w:val="24"/>
        </w:rPr>
        <w:t xml:space="preserve"> </w:t>
      </w:r>
      <w:r w:rsidR="00D27AD1" w:rsidRPr="001A4121">
        <w:rPr>
          <w:rFonts w:ascii="Arial" w:hAnsi="Arial" w:cs="Arial"/>
          <w:sz w:val="24"/>
          <w:szCs w:val="24"/>
        </w:rPr>
        <w:t>. Deterrents</w:t>
      </w:r>
      <w:r w:rsidR="00D27AD1">
        <w:rPr>
          <w:rFonts w:ascii="Arial" w:hAnsi="Arial" w:cs="Arial"/>
          <w:sz w:val="24"/>
          <w:szCs w:val="24"/>
        </w:rPr>
        <w:t xml:space="preserve"> </w:t>
      </w:r>
      <w:r w:rsidR="00D27AD1" w:rsidRPr="001A4121">
        <w:rPr>
          <w:rFonts w:ascii="Arial" w:hAnsi="Arial" w:cs="Arial"/>
          <w:sz w:val="24"/>
          <w:szCs w:val="24"/>
        </w:rPr>
        <w:t>which discouraged commuters choosing sustainable travel modes</w:t>
      </w:r>
      <w:r w:rsidR="00D27AD1" w:rsidRPr="00AC5D2B">
        <w:rPr>
          <w:rFonts w:ascii="Arial" w:hAnsi="Arial" w:cs="Arial"/>
          <w:sz w:val="24"/>
          <w:szCs w:val="24"/>
        </w:rPr>
        <w:t xml:space="preserve"> </w:t>
      </w:r>
      <w:r w:rsidR="00D27AD1">
        <w:rPr>
          <w:rFonts w:ascii="Arial" w:hAnsi="Arial" w:cs="Arial"/>
          <w:sz w:val="24"/>
          <w:szCs w:val="24"/>
        </w:rPr>
        <w:t>have been</w:t>
      </w:r>
      <w:r w:rsidR="00D27AD1" w:rsidRPr="001A4121">
        <w:rPr>
          <w:rFonts w:ascii="Arial" w:hAnsi="Arial" w:cs="Arial"/>
          <w:sz w:val="24"/>
          <w:szCs w:val="24"/>
        </w:rPr>
        <w:t xml:space="preserve"> identified</w:t>
      </w:r>
      <w:r w:rsidR="00D27AD1">
        <w:rPr>
          <w:rFonts w:ascii="Arial" w:hAnsi="Arial" w:cs="Arial"/>
          <w:sz w:val="24"/>
          <w:szCs w:val="24"/>
        </w:rPr>
        <w:t>,</w:t>
      </w:r>
      <w:r w:rsidR="00D27AD1" w:rsidRPr="001A4121">
        <w:rPr>
          <w:rFonts w:ascii="Arial" w:hAnsi="Arial" w:cs="Arial"/>
          <w:sz w:val="24"/>
          <w:szCs w:val="24"/>
        </w:rPr>
        <w:t xml:space="preserve"> includ</w:t>
      </w:r>
      <w:r w:rsidR="00D27AD1">
        <w:rPr>
          <w:rFonts w:ascii="Arial" w:hAnsi="Arial" w:cs="Arial"/>
          <w:sz w:val="24"/>
          <w:szCs w:val="24"/>
        </w:rPr>
        <w:t>ing a</w:t>
      </w:r>
      <w:r w:rsidR="00D27AD1" w:rsidRPr="001A4121">
        <w:rPr>
          <w:rFonts w:ascii="Arial" w:hAnsi="Arial" w:cs="Arial"/>
          <w:sz w:val="24"/>
          <w:szCs w:val="24"/>
        </w:rPr>
        <w:t xml:space="preserve"> lack of connections or</w:t>
      </w:r>
      <w:r w:rsidR="00D27AD1">
        <w:rPr>
          <w:rFonts w:ascii="Arial" w:hAnsi="Arial" w:cs="Arial"/>
          <w:sz w:val="24"/>
          <w:szCs w:val="24"/>
        </w:rPr>
        <w:t xml:space="preserve"> </w:t>
      </w:r>
      <w:r w:rsidR="00D27AD1" w:rsidRPr="007F7EDB">
        <w:rPr>
          <w:rFonts w:ascii="Arial" w:hAnsi="Arial" w:cs="Arial"/>
          <w:sz w:val="24"/>
          <w:szCs w:val="24"/>
        </w:rPr>
        <w:t>accessible modes of transport, long wait times</w:t>
      </w:r>
      <w:r w:rsidR="00D27AD1">
        <w:rPr>
          <w:rFonts w:ascii="Arial" w:hAnsi="Arial" w:cs="Arial"/>
          <w:sz w:val="24"/>
          <w:szCs w:val="24"/>
        </w:rPr>
        <w:t>,</w:t>
      </w:r>
      <w:r w:rsidR="00D27AD1" w:rsidRPr="007F7EDB">
        <w:rPr>
          <w:rFonts w:ascii="Arial" w:hAnsi="Arial" w:cs="Arial"/>
          <w:sz w:val="24"/>
          <w:szCs w:val="24"/>
        </w:rPr>
        <w:t xml:space="preserve"> and the need for multiple tickets.</w:t>
      </w:r>
    </w:p>
    <w:p w14:paraId="0D157B36" w14:textId="77777777" w:rsidR="00D27AD1" w:rsidRPr="00AF27C3"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AF27C3">
        <w:rPr>
          <w:rFonts w:ascii="Arial" w:hAnsi="Arial" w:cs="Arial"/>
          <w:sz w:val="24"/>
          <w:szCs w:val="24"/>
        </w:rPr>
        <w:t xml:space="preserve">The main purpose of this </w:t>
      </w:r>
      <w:r w:rsidRPr="001F38BD">
        <w:rPr>
          <w:rFonts w:ascii="Arial" w:hAnsi="Arial" w:cs="Arial"/>
          <w:sz w:val="24"/>
          <w:szCs w:val="24"/>
        </w:rPr>
        <w:t xml:space="preserve">recommendation </w:t>
      </w:r>
      <w:r w:rsidRPr="00AF27C3">
        <w:rPr>
          <w:rFonts w:ascii="Arial" w:hAnsi="Arial" w:cs="Arial"/>
          <w:sz w:val="24"/>
          <w:szCs w:val="24"/>
        </w:rPr>
        <w:t xml:space="preserve">is to improve physical integration between and within public transport modes, as well as interchange with active travel and interchange from car in the case of P&amp;R. </w:t>
      </w:r>
      <w:r>
        <w:rPr>
          <w:rFonts w:ascii="Arial" w:hAnsi="Arial" w:cs="Arial"/>
          <w:sz w:val="24"/>
          <w:szCs w:val="24"/>
        </w:rPr>
        <w:t xml:space="preserve">To </w:t>
      </w:r>
      <w:r w:rsidRPr="00AF27C3">
        <w:rPr>
          <w:rFonts w:ascii="Arial" w:hAnsi="Arial" w:cs="Arial"/>
          <w:sz w:val="24"/>
          <w:szCs w:val="24"/>
        </w:rPr>
        <w:t>maxim</w:t>
      </w:r>
      <w:r>
        <w:rPr>
          <w:rFonts w:ascii="Arial" w:hAnsi="Arial" w:cs="Arial"/>
          <w:sz w:val="24"/>
          <w:szCs w:val="24"/>
        </w:rPr>
        <w:t xml:space="preserve">ise </w:t>
      </w:r>
      <w:r w:rsidRPr="00AF27C3">
        <w:rPr>
          <w:rFonts w:ascii="Arial" w:hAnsi="Arial" w:cs="Arial"/>
          <w:sz w:val="24"/>
          <w:szCs w:val="24"/>
        </w:rPr>
        <w:t xml:space="preserve">benefits, the </w:t>
      </w:r>
      <w:r w:rsidRPr="001F38BD">
        <w:rPr>
          <w:rFonts w:ascii="Arial" w:hAnsi="Arial" w:cs="Arial"/>
          <w:sz w:val="24"/>
          <w:szCs w:val="24"/>
        </w:rPr>
        <w:t xml:space="preserve">recommendation </w:t>
      </w:r>
      <w:r w:rsidRPr="00AF27C3">
        <w:rPr>
          <w:rFonts w:ascii="Arial" w:hAnsi="Arial" w:cs="Arial"/>
          <w:sz w:val="24"/>
          <w:szCs w:val="24"/>
        </w:rPr>
        <w:t xml:space="preserve">would need to be supported by the provision of integrated ticketing and integrated routeing and timetabling, </w:t>
      </w:r>
      <w:r w:rsidR="002E4B37">
        <w:rPr>
          <w:rFonts w:ascii="Arial" w:hAnsi="Arial" w:cs="Arial"/>
          <w:sz w:val="24"/>
          <w:szCs w:val="24"/>
        </w:rPr>
        <w:t>noting that</w:t>
      </w:r>
      <w:r w:rsidR="002E4B37" w:rsidRPr="00AF27C3">
        <w:rPr>
          <w:rFonts w:ascii="Arial" w:hAnsi="Arial" w:cs="Arial"/>
          <w:sz w:val="24"/>
          <w:szCs w:val="24"/>
        </w:rPr>
        <w:t xml:space="preserve"> </w:t>
      </w:r>
      <w:r>
        <w:rPr>
          <w:rFonts w:ascii="Arial" w:hAnsi="Arial" w:cs="Arial"/>
          <w:sz w:val="24"/>
          <w:szCs w:val="24"/>
        </w:rPr>
        <w:t>routeing and timetabling</w:t>
      </w:r>
      <w:r w:rsidR="002E4B37">
        <w:rPr>
          <w:rFonts w:ascii="Arial" w:hAnsi="Arial" w:cs="Arial"/>
          <w:sz w:val="24"/>
          <w:szCs w:val="24"/>
        </w:rPr>
        <w:t xml:space="preserve"> is</w:t>
      </w:r>
      <w:r w:rsidRPr="00AF27C3">
        <w:rPr>
          <w:rFonts w:ascii="Arial" w:hAnsi="Arial" w:cs="Arial"/>
          <w:sz w:val="24"/>
          <w:szCs w:val="24"/>
        </w:rPr>
        <w:t xml:space="preserve"> outside the scope of STPR2.</w:t>
      </w:r>
    </w:p>
    <w:p w14:paraId="0C247A3F" w14:textId="0760370E" w:rsidR="00D27AD1" w:rsidRPr="00AF27C3"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AF27C3">
        <w:rPr>
          <w:rFonts w:ascii="Arial" w:hAnsi="Arial" w:cs="Arial"/>
          <w:sz w:val="24"/>
          <w:szCs w:val="24"/>
        </w:rPr>
        <w:t xml:space="preserve">In terms of inclusive growth, there could be a positive impact on social inclusion from </w:t>
      </w:r>
      <w:r>
        <w:rPr>
          <w:rFonts w:ascii="Arial" w:hAnsi="Arial" w:cs="Arial"/>
          <w:sz w:val="24"/>
          <w:szCs w:val="24"/>
        </w:rPr>
        <w:t xml:space="preserve">the development of </w:t>
      </w:r>
      <w:r w:rsidRPr="00AF27C3">
        <w:rPr>
          <w:rFonts w:ascii="Arial" w:hAnsi="Arial" w:cs="Arial"/>
          <w:sz w:val="24"/>
          <w:szCs w:val="24"/>
        </w:rPr>
        <w:t xml:space="preserve">mobility hubs. The </w:t>
      </w:r>
      <w:hyperlink r:id="rId35" w:history="1">
        <w:r w:rsidRPr="00E60213">
          <w:rPr>
            <w:rStyle w:val="Hyperlink"/>
            <w:rFonts w:ascii="Arial" w:hAnsi="Arial" w:cs="Arial"/>
            <w:sz w:val="24"/>
            <w:szCs w:val="24"/>
          </w:rPr>
          <w:t>2019 Scottish Household Survey</w:t>
        </w:r>
      </w:hyperlink>
      <w:r w:rsidR="004C5459">
        <w:rPr>
          <w:rFonts w:ascii="Arial" w:hAnsi="Arial" w:cs="Arial"/>
          <w:sz w:val="24"/>
          <w:szCs w:val="24"/>
          <w:vertAlign w:val="superscript"/>
        </w:rPr>
        <w:t xml:space="preserve"> </w:t>
      </w:r>
      <w:r w:rsidRPr="00AF27C3">
        <w:rPr>
          <w:rFonts w:ascii="Arial" w:hAnsi="Arial" w:cs="Arial"/>
          <w:sz w:val="24"/>
          <w:szCs w:val="24"/>
        </w:rPr>
        <w:t xml:space="preserve"> indicated that 48% of the most deprived households (Scottish Index of Multiple Deprivation quintile 1) do not have access to a car, so actions taken to reduce the disbenefits associated with public transport interchange could help to improve accessibility to employment and education, and therefore help to deliver inclusive growth.</w:t>
      </w:r>
    </w:p>
    <w:p w14:paraId="3910F580"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AF27C3">
        <w:rPr>
          <w:rFonts w:ascii="Arial" w:hAnsi="Arial" w:cs="Arial"/>
          <w:sz w:val="24"/>
          <w:szCs w:val="24"/>
        </w:rPr>
        <w:t xml:space="preserve">This </w:t>
      </w:r>
      <w:r w:rsidRPr="001F38BD">
        <w:rPr>
          <w:rFonts w:ascii="Arial" w:hAnsi="Arial" w:cs="Arial"/>
          <w:sz w:val="24"/>
          <w:szCs w:val="24"/>
        </w:rPr>
        <w:t xml:space="preserve">recommendation </w:t>
      </w:r>
      <w:r w:rsidRPr="00AF27C3">
        <w:rPr>
          <w:rFonts w:ascii="Arial" w:hAnsi="Arial" w:cs="Arial"/>
          <w:sz w:val="24"/>
          <w:szCs w:val="24"/>
        </w:rPr>
        <w:t xml:space="preserve">is expected to have a minor positive impact </w:t>
      </w:r>
      <w:r w:rsidR="000A7A47">
        <w:rPr>
          <w:rFonts w:ascii="Arial" w:hAnsi="Arial" w:cs="Arial"/>
          <w:sz w:val="24"/>
          <w:szCs w:val="24"/>
        </w:rPr>
        <w:t>on</w:t>
      </w:r>
      <w:r w:rsidR="000A7A47" w:rsidRPr="00AF27C3">
        <w:rPr>
          <w:rFonts w:ascii="Arial" w:hAnsi="Arial" w:cs="Arial"/>
          <w:sz w:val="24"/>
          <w:szCs w:val="24"/>
        </w:rPr>
        <w:t xml:space="preserve"> </w:t>
      </w:r>
      <w:r w:rsidRPr="00AF27C3">
        <w:rPr>
          <w:rFonts w:ascii="Arial" w:hAnsi="Arial" w:cs="Arial"/>
          <w:sz w:val="24"/>
          <w:szCs w:val="24"/>
        </w:rPr>
        <w:t xml:space="preserve">this </w:t>
      </w:r>
      <w:r w:rsidR="000A7A47">
        <w:rPr>
          <w:rFonts w:ascii="Arial" w:hAnsi="Arial" w:cs="Arial"/>
          <w:sz w:val="24"/>
          <w:szCs w:val="24"/>
        </w:rPr>
        <w:t xml:space="preserve">objective </w:t>
      </w:r>
      <w:r w:rsidRPr="00AF27C3">
        <w:rPr>
          <w:rFonts w:ascii="Arial" w:hAnsi="Arial" w:cs="Arial"/>
          <w:sz w:val="24"/>
          <w:szCs w:val="24"/>
        </w:rPr>
        <w:t>in both Low and High scenarios.</w:t>
      </w:r>
    </w:p>
    <w:p w14:paraId="5AA6FE8C" w14:textId="77777777" w:rsidR="00D27AD1" w:rsidRPr="0052565A" w:rsidRDefault="00D27AD1" w:rsidP="00DB69C9">
      <w:pPr>
        <w:pStyle w:val="STPR2BodyText"/>
        <w:rPr>
          <w:highlight w:val="yellow"/>
        </w:rPr>
      </w:pPr>
    </w:p>
    <w:p w14:paraId="538032E6" w14:textId="77777777" w:rsidR="00D27AD1" w:rsidRPr="003C6186" w:rsidRDefault="00D27AD1" w:rsidP="00FA3F99">
      <w:pPr>
        <w:pStyle w:val="STPR2Heading3"/>
        <w:pBdr>
          <w:left w:val="single" w:sz="4" w:space="4" w:color="auto"/>
          <w:right w:val="single" w:sz="4" w:space="4" w:color="auto"/>
        </w:pBdr>
        <w:shd w:val="clear" w:color="auto" w:fill="C9C9C9" w:themeFill="accent3" w:themeFillTint="99"/>
      </w:pPr>
      <w:r>
        <w:t>5. A reliable and resilient strategic transport system that is safe and secure for users.</w:t>
      </w:r>
    </w:p>
    <w:p w14:paraId="0684451B" w14:textId="77777777" w:rsidR="00D27AD1" w:rsidRPr="005B6576" w:rsidRDefault="009E2D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9E2DD1">
        <w:rPr>
          <w:rFonts w:ascii="Arial" w:hAnsi="Arial" w:cs="Arial"/>
          <w:sz w:val="24"/>
          <w:szCs w:val="24"/>
        </w:rPr>
        <w:t xml:space="preserve"> </w:t>
      </w:r>
      <w:r w:rsidRPr="009E2DD1">
        <w:rPr>
          <w:noProof/>
        </w:rPr>
        <w:drawing>
          <wp:inline distT="0" distB="0" distL="0" distR="0" wp14:anchorId="3AAE741D" wp14:editId="66066595">
            <wp:extent cx="5711825" cy="681355"/>
            <wp:effectExtent l="0" t="0" r="3175"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4013" cy="681616"/>
                    </a:xfrm>
                    <a:prstGeom prst="rect">
                      <a:avLst/>
                    </a:prstGeom>
                    <a:noFill/>
                    <a:ln>
                      <a:noFill/>
                    </a:ln>
                  </pic:spPr>
                </pic:pic>
              </a:graphicData>
            </a:graphic>
          </wp:inline>
        </w:drawing>
      </w:r>
    </w:p>
    <w:p w14:paraId="30408B80" w14:textId="77777777" w:rsidR="00D27AD1" w:rsidRDefault="00ED150E"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C</w:t>
      </w:r>
      <w:r w:rsidR="00D27AD1">
        <w:rPr>
          <w:rFonts w:ascii="Arial" w:hAnsi="Arial" w:cs="Arial"/>
          <w:sz w:val="24"/>
          <w:szCs w:val="24"/>
        </w:rPr>
        <w:t xml:space="preserve">onsolidating different travel options within a single location could potentially increase resilience of the transport network given that mobility hubs offer multiple travel options, thereby providing users with alternatives in the event that one travel option fails. The provision of </w:t>
      </w:r>
      <w:r w:rsidR="00D27AD1" w:rsidRPr="00724E0B">
        <w:rPr>
          <w:rFonts w:ascii="Arial" w:hAnsi="Arial" w:cs="Arial"/>
          <w:sz w:val="24"/>
          <w:szCs w:val="24"/>
        </w:rPr>
        <w:t xml:space="preserve">Real Time Passenger Information (RTPI) </w:t>
      </w:r>
      <w:r w:rsidR="00D27AD1">
        <w:rPr>
          <w:rFonts w:ascii="Arial" w:hAnsi="Arial" w:cs="Arial"/>
          <w:sz w:val="24"/>
          <w:szCs w:val="24"/>
        </w:rPr>
        <w:t xml:space="preserve">at mobility hubs </w:t>
      </w:r>
      <w:r w:rsidR="00D27AD1" w:rsidRPr="00724E0B">
        <w:rPr>
          <w:rFonts w:ascii="Arial" w:hAnsi="Arial" w:cs="Arial"/>
          <w:sz w:val="24"/>
          <w:szCs w:val="24"/>
        </w:rPr>
        <w:t>could result in benefits from a reduced perception of unreliability.</w:t>
      </w:r>
    </w:p>
    <w:p w14:paraId="3734859E" w14:textId="77777777" w:rsidR="00D27AD1" w:rsidRPr="00724E0B"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724E0B">
        <w:rPr>
          <w:rFonts w:ascii="Arial" w:hAnsi="Arial" w:cs="Arial"/>
          <w:sz w:val="24"/>
          <w:szCs w:val="24"/>
        </w:rPr>
        <w:t>New interchanges could also improve personal safety and security through better lighting and CCTV coverage, increased passenger assistance</w:t>
      </w:r>
      <w:r>
        <w:rPr>
          <w:rFonts w:ascii="Arial" w:hAnsi="Arial" w:cs="Arial"/>
          <w:sz w:val="24"/>
          <w:szCs w:val="24"/>
        </w:rPr>
        <w:t>,</w:t>
      </w:r>
      <w:r w:rsidRPr="00724E0B">
        <w:rPr>
          <w:rFonts w:ascii="Arial" w:hAnsi="Arial" w:cs="Arial"/>
          <w:sz w:val="24"/>
          <w:szCs w:val="24"/>
        </w:rPr>
        <w:t xml:space="preserve"> and improved accessibility for those with reduced mobility</w:t>
      </w:r>
      <w:r>
        <w:rPr>
          <w:rFonts w:ascii="Arial" w:hAnsi="Arial" w:cs="Arial"/>
          <w:sz w:val="24"/>
          <w:szCs w:val="24"/>
        </w:rPr>
        <w:t>.</w:t>
      </w:r>
      <w:r w:rsidR="00ED150E">
        <w:rPr>
          <w:rFonts w:ascii="Arial" w:hAnsi="Arial" w:cs="Arial"/>
          <w:sz w:val="24"/>
          <w:szCs w:val="24"/>
        </w:rPr>
        <w:t xml:space="preserve"> If accompanied by placemaking </w:t>
      </w:r>
      <w:r w:rsidR="00ED150E">
        <w:rPr>
          <w:rFonts w:ascii="Arial" w:hAnsi="Arial" w:cs="Arial"/>
          <w:sz w:val="24"/>
          <w:szCs w:val="24"/>
        </w:rPr>
        <w:lastRenderedPageBreak/>
        <w:t xml:space="preserve">enhancements and other amenities and services in addition to transport, safety and perceptions of safety would also be anticipated to improve due to ambient security from others using the mobility hub. </w:t>
      </w:r>
    </w:p>
    <w:p w14:paraId="74F6C940"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724E0B">
        <w:rPr>
          <w:rFonts w:ascii="Arial" w:hAnsi="Arial" w:cs="Arial"/>
          <w:sz w:val="24"/>
          <w:szCs w:val="24"/>
        </w:rPr>
        <w:t xml:space="preserve">Overall, this </w:t>
      </w:r>
      <w:r w:rsidRPr="001F38BD">
        <w:rPr>
          <w:rFonts w:ascii="Arial" w:hAnsi="Arial" w:cs="Arial"/>
          <w:sz w:val="24"/>
          <w:szCs w:val="24"/>
        </w:rPr>
        <w:t xml:space="preserve">recommendation </w:t>
      </w:r>
      <w:r w:rsidRPr="00724E0B">
        <w:rPr>
          <w:rFonts w:ascii="Arial" w:hAnsi="Arial" w:cs="Arial"/>
          <w:sz w:val="24"/>
          <w:szCs w:val="24"/>
        </w:rPr>
        <w:t xml:space="preserve">is expected to have a </w:t>
      </w:r>
      <w:r w:rsidR="00F64248">
        <w:rPr>
          <w:rFonts w:ascii="Arial" w:hAnsi="Arial" w:cs="Arial"/>
          <w:sz w:val="24"/>
          <w:szCs w:val="24"/>
        </w:rPr>
        <w:t>moderate</w:t>
      </w:r>
      <w:r w:rsidR="00F64248" w:rsidRPr="00724E0B">
        <w:rPr>
          <w:rFonts w:ascii="Arial" w:hAnsi="Arial" w:cs="Arial"/>
          <w:sz w:val="24"/>
          <w:szCs w:val="24"/>
        </w:rPr>
        <w:t xml:space="preserve"> </w:t>
      </w:r>
      <w:r w:rsidRPr="00724E0B">
        <w:rPr>
          <w:rFonts w:ascii="Arial" w:hAnsi="Arial" w:cs="Arial"/>
          <w:sz w:val="24"/>
          <w:szCs w:val="24"/>
        </w:rPr>
        <w:t xml:space="preserve">positive impact </w:t>
      </w:r>
      <w:r w:rsidR="000A7A47">
        <w:rPr>
          <w:rFonts w:ascii="Arial" w:hAnsi="Arial" w:cs="Arial"/>
          <w:sz w:val="24"/>
          <w:szCs w:val="24"/>
        </w:rPr>
        <w:t>on</w:t>
      </w:r>
      <w:r w:rsidR="000A7A47" w:rsidRPr="00724E0B">
        <w:rPr>
          <w:rFonts w:ascii="Arial" w:hAnsi="Arial" w:cs="Arial"/>
          <w:sz w:val="24"/>
          <w:szCs w:val="24"/>
        </w:rPr>
        <w:t xml:space="preserve"> </w:t>
      </w:r>
      <w:r w:rsidRPr="00724E0B">
        <w:rPr>
          <w:rFonts w:ascii="Arial" w:hAnsi="Arial" w:cs="Arial"/>
          <w:sz w:val="24"/>
          <w:szCs w:val="24"/>
        </w:rPr>
        <w:t xml:space="preserve">this </w:t>
      </w:r>
      <w:r w:rsidR="000A7A47">
        <w:rPr>
          <w:rFonts w:ascii="Arial" w:hAnsi="Arial" w:cs="Arial"/>
          <w:sz w:val="24"/>
          <w:szCs w:val="24"/>
        </w:rPr>
        <w:t xml:space="preserve">objective </w:t>
      </w:r>
      <w:r w:rsidRPr="00724E0B">
        <w:rPr>
          <w:rFonts w:ascii="Arial" w:hAnsi="Arial" w:cs="Arial"/>
          <w:sz w:val="24"/>
          <w:szCs w:val="24"/>
        </w:rPr>
        <w:t>in both Low and High scenarios.</w:t>
      </w:r>
    </w:p>
    <w:p w14:paraId="3A9387B3" w14:textId="77777777" w:rsidR="00D27AD1" w:rsidRPr="003C6186" w:rsidRDefault="00D27AD1" w:rsidP="00685A4F">
      <w:pPr>
        <w:spacing w:before="240"/>
        <w:rPr>
          <w:rFonts w:ascii="Arial" w:hAnsi="Arial" w:cs="Arial"/>
          <w:sz w:val="24"/>
          <w:szCs w:val="24"/>
          <w:highlight w:val="yellow"/>
        </w:rPr>
      </w:pPr>
    </w:p>
    <w:p w14:paraId="48C9A3C9" w14:textId="77777777" w:rsidR="00D27AD1" w:rsidRPr="005F2085" w:rsidRDefault="00D27AD1" w:rsidP="00BC69FE">
      <w:pPr>
        <w:pStyle w:val="STPR2Heading2"/>
      </w:pPr>
      <w:r w:rsidRPr="005F2085">
        <w:t xml:space="preserve">STAG </w:t>
      </w:r>
      <w:r>
        <w:t>Criteria</w:t>
      </w:r>
    </w:p>
    <w:p w14:paraId="7A9D33FA" w14:textId="77777777" w:rsidR="00D27AD1" w:rsidRPr="005F2085" w:rsidRDefault="00D27AD1" w:rsidP="00FA3F99">
      <w:pPr>
        <w:pStyle w:val="STPR2Heading3"/>
        <w:shd w:val="clear" w:color="auto" w:fill="C9C9C9" w:themeFill="accent3" w:themeFillTint="99"/>
      </w:pPr>
      <w:r w:rsidRPr="005F2085">
        <w:t>1. Environment</w:t>
      </w:r>
    </w:p>
    <w:p w14:paraId="7BDFF57A" w14:textId="77777777" w:rsidR="00D27AD1" w:rsidRPr="005F2085" w:rsidRDefault="00D27AD1" w:rsidP="00FA3F99">
      <w:pPr>
        <w:pStyle w:val="STPR2BodyText"/>
        <w:pBdr>
          <w:top w:val="single" w:sz="4" w:space="1" w:color="auto"/>
          <w:left w:val="single" w:sz="4" w:space="1" w:color="auto"/>
          <w:bottom w:val="single" w:sz="4" w:space="1" w:color="auto"/>
          <w:right w:val="single" w:sz="4" w:space="1" w:color="auto"/>
        </w:pBdr>
      </w:pPr>
      <w:r w:rsidRPr="00AF3C3D">
        <w:rPr>
          <w:noProof/>
        </w:rPr>
        <w:drawing>
          <wp:inline distT="0" distB="0" distL="0" distR="0" wp14:anchorId="67E7D81B" wp14:editId="00CD2751">
            <wp:extent cx="5700156" cy="676275"/>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03295" cy="676647"/>
                    </a:xfrm>
                    <a:prstGeom prst="rect">
                      <a:avLst/>
                    </a:prstGeom>
                    <a:noFill/>
                    <a:ln>
                      <a:noFill/>
                    </a:ln>
                  </pic:spPr>
                </pic:pic>
              </a:graphicData>
            </a:graphic>
          </wp:inline>
        </w:drawing>
      </w:r>
    </w:p>
    <w:p w14:paraId="59D94CAB" w14:textId="77777777" w:rsidR="00D27AD1" w:rsidRDefault="00D27AD1" w:rsidP="00FA3F99">
      <w:pPr>
        <w:pStyle w:val="STPR2BodyText"/>
        <w:pBdr>
          <w:top w:val="single" w:sz="4" w:space="1" w:color="auto"/>
          <w:left w:val="single" w:sz="4" w:space="1" w:color="auto"/>
          <w:bottom w:val="single" w:sz="4" w:space="1" w:color="auto"/>
          <w:right w:val="single" w:sz="4" w:space="1" w:color="auto"/>
        </w:pBdr>
      </w:pPr>
      <w:r w:rsidRPr="005F2085">
        <w:t xml:space="preserve">See Strategic Environmental Assessment </w:t>
      </w:r>
      <w:r>
        <w:t>(SEA) below.</w:t>
      </w:r>
    </w:p>
    <w:p w14:paraId="005F2600" w14:textId="729A241E" w:rsidR="00C473DD" w:rsidRPr="005F2085" w:rsidRDefault="00C473DD" w:rsidP="00FA3F99">
      <w:pPr>
        <w:pStyle w:val="STPR2BodyText"/>
        <w:pBdr>
          <w:top w:val="single" w:sz="4" w:space="1" w:color="auto"/>
          <w:left w:val="single" w:sz="4" w:space="1" w:color="auto"/>
          <w:bottom w:val="single" w:sz="4" w:space="1" w:color="auto"/>
          <w:right w:val="single" w:sz="4" w:space="1" w:color="auto"/>
        </w:pBdr>
      </w:pPr>
      <w:r>
        <w:t xml:space="preserve">This recommendation is expected to have a minor positive effect on this criterion in both the Low and </w:t>
      </w:r>
      <w:r w:rsidR="00EB5ECC">
        <w:t>H</w:t>
      </w:r>
      <w:r>
        <w:t>igh scenarios.</w:t>
      </w:r>
    </w:p>
    <w:p w14:paraId="5D41745D" w14:textId="77777777" w:rsidR="00D27AD1" w:rsidRPr="003C6186" w:rsidRDefault="00D27AD1">
      <w:pPr>
        <w:rPr>
          <w:rFonts w:ascii="Arial" w:eastAsia="Courier New" w:hAnsi="Arial" w:cs="Arial"/>
          <w:sz w:val="24"/>
          <w:szCs w:val="24"/>
          <w:highlight w:val="yellow"/>
          <w:lang w:eastAsia="en-US"/>
        </w:rPr>
      </w:pPr>
    </w:p>
    <w:p w14:paraId="3319EDA0" w14:textId="77777777" w:rsidR="00D27AD1" w:rsidRPr="002C1573" w:rsidRDefault="00D27AD1" w:rsidP="00FA3F99">
      <w:pPr>
        <w:pStyle w:val="STPR2Heading3"/>
        <w:pBdr>
          <w:left w:val="single" w:sz="4" w:space="4" w:color="auto"/>
          <w:right w:val="single" w:sz="4" w:space="4" w:color="auto"/>
        </w:pBdr>
        <w:shd w:val="clear" w:color="auto" w:fill="C9C9C9" w:themeFill="accent3" w:themeFillTint="99"/>
      </w:pPr>
      <w:r w:rsidRPr="002C1573">
        <w:t>2. Climate Change</w:t>
      </w:r>
    </w:p>
    <w:p w14:paraId="04BDF330" w14:textId="6F96727B" w:rsidR="00D27AD1" w:rsidRDefault="00D27AD1" w:rsidP="00FA3F9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F3C3D">
        <w:rPr>
          <w:noProof/>
        </w:rPr>
        <w:drawing>
          <wp:inline distT="0" distB="0" distL="0" distR="0" wp14:anchorId="5D4572C1" wp14:editId="76A8AC89">
            <wp:extent cx="5747657" cy="676275"/>
            <wp:effectExtent l="0" t="0" r="5715"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1055" cy="676675"/>
                    </a:xfrm>
                    <a:prstGeom prst="rect">
                      <a:avLst/>
                    </a:prstGeom>
                    <a:noFill/>
                    <a:ln>
                      <a:noFill/>
                    </a:ln>
                  </pic:spPr>
                </pic:pic>
              </a:graphicData>
            </a:graphic>
          </wp:inline>
        </w:drawing>
      </w:r>
      <w:r>
        <w:rPr>
          <w:rFonts w:ascii="Arial" w:eastAsia="Courier New" w:hAnsi="Arial" w:cs="Arial"/>
          <w:sz w:val="24"/>
          <w:szCs w:val="24"/>
          <w:lang w:eastAsia="en-US"/>
        </w:rPr>
        <w:t xml:space="preserve">In combination </w:t>
      </w:r>
      <w:r w:rsidRPr="00AD1127">
        <w:rPr>
          <w:rFonts w:ascii="Arial" w:eastAsia="Courier New" w:hAnsi="Arial" w:cs="Arial"/>
          <w:sz w:val="24"/>
          <w:szCs w:val="24"/>
          <w:lang w:eastAsia="en-US"/>
        </w:rPr>
        <w:t xml:space="preserve">with walking, wheeling, and cycling, public transport provides a key mode of transport for replacing car journeys, with </w:t>
      </w:r>
      <w:hyperlink r:id="rId38" w:history="1">
        <w:r w:rsidR="00D34CC7" w:rsidRPr="00D34CC7">
          <w:rPr>
            <w:rStyle w:val="Hyperlink"/>
            <w:rFonts w:ascii="Arial" w:eastAsia="Courier New" w:hAnsi="Arial" w:cs="Arial"/>
            <w:sz w:val="24"/>
            <w:szCs w:val="24"/>
            <w:lang w:eastAsia="en-US"/>
          </w:rPr>
          <w:t>research</w:t>
        </w:r>
        <w:r w:rsidRPr="00D34CC7">
          <w:rPr>
            <w:rStyle w:val="Hyperlink"/>
            <w:rFonts w:ascii="Arial" w:eastAsia="Courier New" w:hAnsi="Arial" w:cs="Arial"/>
            <w:sz w:val="24"/>
            <w:szCs w:val="24"/>
            <w:lang w:eastAsia="en-US"/>
          </w:rPr>
          <w:t xml:space="preserve"> showing that the average number of cars per household rises as public transport accessibility decreases</w:t>
        </w:r>
      </w:hyperlink>
      <w:r w:rsidR="004C5459">
        <w:rPr>
          <w:rStyle w:val="EndnoteReference"/>
          <w:rFonts w:ascii="Arial" w:eastAsia="Courier New" w:hAnsi="Arial" w:cs="Arial"/>
          <w:sz w:val="24"/>
          <w:szCs w:val="24"/>
          <w:lang w:eastAsia="en-US"/>
        </w:rPr>
        <w:t xml:space="preserve"> </w:t>
      </w:r>
      <w:r w:rsidRPr="00AD1127">
        <w:rPr>
          <w:rFonts w:ascii="Arial" w:eastAsia="Courier New" w:hAnsi="Arial" w:cs="Arial"/>
          <w:sz w:val="24"/>
          <w:szCs w:val="24"/>
          <w:lang w:eastAsia="en-US"/>
        </w:rPr>
        <w:t xml:space="preserve">. Mobility hubs have </w:t>
      </w:r>
      <w:r>
        <w:rPr>
          <w:rFonts w:ascii="Arial" w:eastAsia="Courier New" w:hAnsi="Arial" w:cs="Arial"/>
          <w:sz w:val="24"/>
          <w:szCs w:val="24"/>
          <w:lang w:eastAsia="en-US"/>
        </w:rPr>
        <w:t>the potential to re</w:t>
      </w:r>
      <w:r w:rsidRPr="00AD1127">
        <w:rPr>
          <w:rFonts w:ascii="Arial" w:eastAsia="Courier New" w:hAnsi="Arial" w:cs="Arial"/>
          <w:sz w:val="24"/>
          <w:szCs w:val="24"/>
          <w:lang w:eastAsia="en-US"/>
        </w:rPr>
        <w:t>duc</w:t>
      </w:r>
      <w:r>
        <w:rPr>
          <w:rFonts w:ascii="Arial" w:eastAsia="Courier New" w:hAnsi="Arial" w:cs="Arial"/>
          <w:sz w:val="24"/>
          <w:szCs w:val="24"/>
          <w:lang w:eastAsia="en-US"/>
        </w:rPr>
        <w:t>e</w:t>
      </w:r>
      <w:r w:rsidRPr="00AD1127">
        <w:rPr>
          <w:rFonts w:ascii="Arial" w:eastAsia="Courier New" w:hAnsi="Arial" w:cs="Arial"/>
          <w:sz w:val="24"/>
          <w:szCs w:val="24"/>
          <w:lang w:eastAsia="en-US"/>
        </w:rPr>
        <w:t xml:space="preserve"> the need to travel unsustainably</w:t>
      </w:r>
      <w:r>
        <w:rPr>
          <w:rFonts w:ascii="Arial" w:eastAsia="Courier New" w:hAnsi="Arial" w:cs="Arial"/>
          <w:sz w:val="24"/>
          <w:szCs w:val="24"/>
          <w:lang w:eastAsia="en-US"/>
        </w:rPr>
        <w:t xml:space="preserve"> through increasing the attractiveness of active travel and public transport, in turn contributing to climate change objectives.</w:t>
      </w:r>
    </w:p>
    <w:p w14:paraId="27034ABC" w14:textId="77777777" w:rsidR="00D27AD1" w:rsidRPr="002C1573" w:rsidRDefault="00D27AD1" w:rsidP="00FA3F99">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This recommendation is not expected to impact vulnerability to the effects of climate change or potential to adapt to the effects of climate change.</w:t>
      </w:r>
    </w:p>
    <w:p w14:paraId="4456D541" w14:textId="2358F13A" w:rsidR="00D27AD1" w:rsidRPr="002C1573" w:rsidRDefault="00D27AD1" w:rsidP="00FA3F99">
      <w:pPr>
        <w:pStyle w:val="STPR2BodyText"/>
        <w:pBdr>
          <w:top w:val="single" w:sz="4" w:space="1" w:color="auto"/>
          <w:left w:val="single" w:sz="4" w:space="4" w:color="auto"/>
          <w:bottom w:val="single" w:sz="4" w:space="1" w:color="auto"/>
          <w:right w:val="single" w:sz="4" w:space="4" w:color="auto"/>
        </w:pBdr>
      </w:pPr>
      <w:r w:rsidRPr="002C1573">
        <w:t>This recommendation is expected to have a</w:t>
      </w:r>
      <w:r>
        <w:t xml:space="preserve"> minor positive</w:t>
      </w:r>
      <w:r w:rsidRPr="002C1573">
        <w:t xml:space="preserve"> impact on this criterion in both </w:t>
      </w:r>
      <w:r w:rsidR="00FE22D7">
        <w:t>the</w:t>
      </w:r>
      <w:r w:rsidRPr="002C1573">
        <w:t xml:space="preserve"> Low and High scenarios.</w:t>
      </w:r>
    </w:p>
    <w:p w14:paraId="523FF8FA" w14:textId="77777777" w:rsidR="00D27AD1" w:rsidRDefault="00D27AD1">
      <w:pPr>
        <w:rPr>
          <w:rFonts w:ascii="Arial" w:hAnsi="Arial" w:cs="Arial"/>
          <w:color w:val="000000" w:themeColor="text1"/>
          <w:sz w:val="24"/>
          <w:szCs w:val="24"/>
          <w:highlight w:val="yellow"/>
        </w:rPr>
      </w:pPr>
    </w:p>
    <w:p w14:paraId="284F925F" w14:textId="77777777" w:rsidR="004D4931" w:rsidRDefault="004D4931">
      <w:pPr>
        <w:rPr>
          <w:rFonts w:ascii="Arial" w:hAnsi="Arial" w:cs="Arial"/>
          <w:color w:val="000000" w:themeColor="text1"/>
          <w:sz w:val="24"/>
          <w:szCs w:val="24"/>
          <w:highlight w:val="yellow"/>
        </w:rPr>
      </w:pPr>
    </w:p>
    <w:p w14:paraId="4C6D6EE2" w14:textId="77777777" w:rsidR="004D4931" w:rsidRDefault="004D4931">
      <w:pPr>
        <w:rPr>
          <w:rFonts w:ascii="Arial" w:hAnsi="Arial" w:cs="Arial"/>
          <w:color w:val="000000" w:themeColor="text1"/>
          <w:sz w:val="24"/>
          <w:szCs w:val="24"/>
          <w:highlight w:val="yellow"/>
        </w:rPr>
      </w:pPr>
    </w:p>
    <w:p w14:paraId="4ADBEC8C" w14:textId="77777777" w:rsidR="004D4931" w:rsidRDefault="004D4931">
      <w:pPr>
        <w:rPr>
          <w:rFonts w:ascii="Arial" w:hAnsi="Arial" w:cs="Arial"/>
          <w:color w:val="000000" w:themeColor="text1"/>
          <w:sz w:val="24"/>
          <w:szCs w:val="24"/>
          <w:highlight w:val="yellow"/>
        </w:rPr>
      </w:pPr>
    </w:p>
    <w:p w14:paraId="33D1F4B3" w14:textId="77777777" w:rsidR="004D4931" w:rsidRDefault="004D4931">
      <w:pPr>
        <w:rPr>
          <w:rFonts w:ascii="Arial" w:hAnsi="Arial" w:cs="Arial"/>
          <w:color w:val="000000" w:themeColor="text1"/>
          <w:sz w:val="24"/>
          <w:szCs w:val="24"/>
          <w:highlight w:val="yellow"/>
        </w:rPr>
      </w:pPr>
    </w:p>
    <w:p w14:paraId="7B3F6AE7" w14:textId="77777777" w:rsidR="00D27AD1" w:rsidRPr="00B6060A" w:rsidRDefault="00D27AD1" w:rsidP="00FA3F99">
      <w:pPr>
        <w:pStyle w:val="STPR2Heading3"/>
        <w:pBdr>
          <w:left w:val="single" w:sz="4" w:space="4" w:color="auto"/>
          <w:right w:val="single" w:sz="4" w:space="4" w:color="auto"/>
        </w:pBdr>
        <w:shd w:val="clear" w:color="auto" w:fill="C9C9C9" w:themeFill="accent3" w:themeFillTint="99"/>
      </w:pPr>
      <w:r w:rsidRPr="00B6060A">
        <w:t>3. Health, Safety and Wellbeing</w:t>
      </w:r>
    </w:p>
    <w:p w14:paraId="3A39E749" w14:textId="77777777" w:rsidR="00D27AD1" w:rsidRPr="00AF3C3D" w:rsidRDefault="00F64248" w:rsidP="00FA3F99">
      <w:pPr>
        <w:pStyle w:val="STPR2BodyText"/>
        <w:pBdr>
          <w:top w:val="single" w:sz="4" w:space="1" w:color="auto"/>
          <w:left w:val="single" w:sz="4" w:space="4" w:color="auto"/>
          <w:bottom w:val="single" w:sz="4" w:space="1" w:color="auto"/>
          <w:right w:val="single" w:sz="4" w:space="4" w:color="auto"/>
        </w:pBdr>
      </w:pPr>
      <w:r>
        <w:rPr>
          <w:noProof/>
        </w:rPr>
        <w:drawing>
          <wp:inline distT="0" distB="0" distL="0" distR="0" wp14:anchorId="42D9D796" wp14:editId="1FC77112">
            <wp:extent cx="5723906" cy="682625"/>
            <wp:effectExtent l="0" t="0" r="0" b="317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6862" cy="682978"/>
                    </a:xfrm>
                    <a:prstGeom prst="rect">
                      <a:avLst/>
                    </a:prstGeom>
                    <a:noFill/>
                  </pic:spPr>
                </pic:pic>
              </a:graphicData>
            </a:graphic>
          </wp:inline>
        </w:drawing>
      </w:r>
    </w:p>
    <w:p w14:paraId="0FC5CCA8"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pPr>
      <w:r w:rsidRPr="00BD4401">
        <w:t>Where</w:t>
      </w:r>
      <w:r>
        <w:t xml:space="preserve"> mobility</w:t>
      </w:r>
      <w:r w:rsidRPr="00BD4401">
        <w:t xml:space="preserve"> </w:t>
      </w:r>
      <w:r>
        <w:t>hub</w:t>
      </w:r>
      <w:r w:rsidRPr="00BD4401">
        <w:t xml:space="preserve">s </w:t>
      </w:r>
      <w:r>
        <w:t xml:space="preserve">contribute to </w:t>
      </w:r>
      <w:r w:rsidRPr="00BD4401">
        <w:t>reduc</w:t>
      </w:r>
      <w:r>
        <w:t xml:space="preserve">ing </w:t>
      </w:r>
      <w:r w:rsidRPr="00BD4401">
        <w:t>car use</w:t>
      </w:r>
      <w:r>
        <w:t xml:space="preserve">, </w:t>
      </w:r>
      <w:r w:rsidRPr="00BD4401">
        <w:t>th</w:t>
      </w:r>
      <w:r>
        <w:t>ere</w:t>
      </w:r>
      <w:r w:rsidRPr="00BD4401">
        <w:t xml:space="preserve"> is</w:t>
      </w:r>
      <w:r>
        <w:t xml:space="preserve"> a</w:t>
      </w:r>
      <w:r w:rsidRPr="00BD4401">
        <w:t xml:space="preserve"> likely</w:t>
      </w:r>
      <w:r>
        <w:t>,</w:t>
      </w:r>
      <w:r w:rsidRPr="00BD4401">
        <w:t xml:space="preserve"> small net decrease in accidents</w:t>
      </w:r>
      <w:r>
        <w:t xml:space="preserve"> due to reduced private vehicle movements</w:t>
      </w:r>
      <w:r w:rsidRPr="00BD4401">
        <w:t xml:space="preserve">. In addition, where a new </w:t>
      </w:r>
      <w:r>
        <w:t>mobility hub</w:t>
      </w:r>
      <w:r w:rsidRPr="00BD4401">
        <w:t xml:space="preserve"> brings services closer together, </w:t>
      </w:r>
      <w:r>
        <w:t xml:space="preserve">there </w:t>
      </w:r>
      <w:r w:rsidRPr="00BD4401">
        <w:t xml:space="preserve">could </w:t>
      </w:r>
      <w:r>
        <w:t xml:space="preserve">be </w:t>
      </w:r>
      <w:r w:rsidRPr="00BD4401">
        <w:t>improve</w:t>
      </w:r>
      <w:r>
        <w:t>d</w:t>
      </w:r>
      <w:r w:rsidRPr="00BD4401">
        <w:t xml:space="preserve"> </w:t>
      </w:r>
      <w:r>
        <w:t>(</w:t>
      </w:r>
      <w:r w:rsidRPr="00BD4401">
        <w:t>both actual and perceived</w:t>
      </w:r>
      <w:r>
        <w:t>)</w:t>
      </w:r>
      <w:r w:rsidRPr="00BD4401">
        <w:t xml:space="preserve"> personal safety </w:t>
      </w:r>
      <w:r>
        <w:t>levels</w:t>
      </w:r>
      <w:r w:rsidRPr="00BD4401">
        <w:t xml:space="preserve"> </w:t>
      </w:r>
      <w:r>
        <w:t xml:space="preserve">through </w:t>
      </w:r>
      <w:r w:rsidRPr="00BD4401">
        <w:t>reduc</w:t>
      </w:r>
      <w:r>
        <w:t>ed walking</w:t>
      </w:r>
      <w:r w:rsidRPr="00BD4401">
        <w:t xml:space="preserve"> distance</w:t>
      </w:r>
      <w:r>
        <w:t>s</w:t>
      </w:r>
      <w:r w:rsidRPr="00BD4401">
        <w:t xml:space="preserve">. </w:t>
      </w:r>
      <w:r>
        <w:t>Mobility</w:t>
      </w:r>
      <w:r w:rsidRPr="00BD4401">
        <w:t xml:space="preserve"> </w:t>
      </w:r>
      <w:r>
        <w:t>hub</w:t>
      </w:r>
      <w:r w:rsidRPr="00BD4401">
        <w:t>s could also improve personal safety and security through better lighting and CCTV coverage, increased passenger assistance and improved accessibility for those with reduced mobility</w:t>
      </w:r>
      <w:r w:rsidR="00F64248">
        <w:t>. Natural surveillance and ambient safety would also be improved through greater pedestrian activity associated with placemaking improvements and the provision of wider services and amenities at mobility hubs which encourage their usage.</w:t>
      </w:r>
    </w:p>
    <w:p w14:paraId="32491562" w14:textId="1E687774" w:rsidR="00D27AD1" w:rsidRDefault="00D27AD1" w:rsidP="00FA3F99">
      <w:pPr>
        <w:pStyle w:val="STPR2BodyText"/>
        <w:pBdr>
          <w:top w:val="single" w:sz="4" w:space="1" w:color="auto"/>
          <w:left w:val="single" w:sz="4" w:space="4" w:color="auto"/>
          <w:bottom w:val="single" w:sz="4" w:space="1" w:color="auto"/>
          <w:right w:val="single" w:sz="4" w:space="4" w:color="auto"/>
        </w:pBdr>
      </w:pPr>
      <w:r>
        <w:t>This recommendation is likely to result in an increase in walking and cycling as part of a multi</w:t>
      </w:r>
      <w:r w:rsidR="00C334C8">
        <w:t>-</w:t>
      </w:r>
      <w:r>
        <w:t>modal journey, which would increase physical activity with potential benefits to health. Reduced emissions from transport due to modal shift away from car could also improve air quality and result in minor improvements to health.</w:t>
      </w:r>
    </w:p>
    <w:p w14:paraId="38C62DF7"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pPr>
      <w:r>
        <w:t>Mobility hubs would be expected to improve connectivity and thus access to health and wellbeing infrastructure is also expected to improve. There is no anticipated impact on visual amenity.</w:t>
      </w:r>
    </w:p>
    <w:p w14:paraId="25DE1CA5" w14:textId="77777777" w:rsidR="009A442C" w:rsidRDefault="00156591" w:rsidP="00FA3F99">
      <w:pPr>
        <w:pStyle w:val="STPR2BodyText"/>
        <w:pBdr>
          <w:top w:val="single" w:sz="4" w:space="1" w:color="auto"/>
          <w:left w:val="single" w:sz="4" w:space="4" w:color="auto"/>
          <w:bottom w:val="single" w:sz="4" w:space="1" w:color="auto"/>
          <w:right w:val="single" w:sz="4" w:space="4" w:color="auto"/>
        </w:pBdr>
      </w:pPr>
      <w:r>
        <w:t xml:space="preserve">It would also be anticipated that the mobility hubs delivery framework would provide guidance on the means by which hubs can provide added </w:t>
      </w:r>
      <w:r w:rsidR="00F765A7">
        <w:t xml:space="preserve">social and </w:t>
      </w:r>
      <w:r w:rsidR="009A442C">
        <w:t xml:space="preserve">wellbeing value </w:t>
      </w:r>
      <w:r>
        <w:t xml:space="preserve">to </w:t>
      </w:r>
      <w:r w:rsidR="009A442C">
        <w:t>their local</w:t>
      </w:r>
      <w:r>
        <w:t xml:space="preserve"> community</w:t>
      </w:r>
      <w:r w:rsidR="009A442C">
        <w:t xml:space="preserve">. This could include, for example, </w:t>
      </w:r>
      <w:r>
        <w:t>urban realm improvements, village</w:t>
      </w:r>
      <w:r w:rsidR="009A442C">
        <w:t>/town centre</w:t>
      </w:r>
      <w:r>
        <w:t xml:space="preserve"> greening,</w:t>
      </w:r>
      <w:r w:rsidR="009A442C">
        <w:t xml:space="preserve"> </w:t>
      </w:r>
      <w:r w:rsidR="00672025">
        <w:t>or</w:t>
      </w:r>
      <w:r w:rsidR="009A442C">
        <w:t xml:space="preserve"> the provision of shared spaces that incorporate rest facilities, such as benches, which encourage</w:t>
      </w:r>
      <w:r>
        <w:t xml:space="preserve"> people to come together</w:t>
      </w:r>
      <w:r w:rsidR="009A442C">
        <w:t xml:space="preserve"> for enjoyment/social purposes</w:t>
      </w:r>
      <w:r>
        <w:t>, thus providing wider health and wellbeing benefits.</w:t>
      </w:r>
      <w:r w:rsidR="009A442C">
        <w:t xml:space="preserve"> </w:t>
      </w:r>
    </w:p>
    <w:p w14:paraId="255A1157" w14:textId="77777777" w:rsidR="00D27AD1" w:rsidRPr="00BD4401" w:rsidRDefault="00D27AD1" w:rsidP="00FA3F99">
      <w:pPr>
        <w:pStyle w:val="STPR2BodyText"/>
        <w:pBdr>
          <w:top w:val="single" w:sz="4" w:space="1" w:color="auto"/>
          <w:left w:val="single" w:sz="4" w:space="4" w:color="auto"/>
          <w:bottom w:val="single" w:sz="4" w:space="1" w:color="auto"/>
          <w:right w:val="single" w:sz="4" w:space="4" w:color="auto"/>
        </w:pBdr>
      </w:pPr>
      <w:r>
        <w:t>Overall, t</w:t>
      </w:r>
      <w:r w:rsidRPr="00BD4401">
        <w:t xml:space="preserve">his </w:t>
      </w:r>
      <w:r>
        <w:t xml:space="preserve">recommendation </w:t>
      </w:r>
      <w:r w:rsidRPr="00BD4401">
        <w:t xml:space="preserve">is expected to have a </w:t>
      </w:r>
      <w:r w:rsidR="00F64248">
        <w:t>moderate</w:t>
      </w:r>
      <w:r w:rsidR="00F64248" w:rsidRPr="00BD4401">
        <w:t xml:space="preserve"> </w:t>
      </w:r>
      <w:r w:rsidRPr="00BD4401">
        <w:t xml:space="preserve">positive impact </w:t>
      </w:r>
      <w:r w:rsidR="00F64248">
        <w:t>on this criterion in both the Low and High scenarios.</w:t>
      </w:r>
    </w:p>
    <w:p w14:paraId="0B57F64C" w14:textId="77777777" w:rsidR="00D27AD1" w:rsidRPr="003C6186" w:rsidRDefault="00D27AD1" w:rsidP="00FE45FA">
      <w:pPr>
        <w:pStyle w:val="STPR2BodyText"/>
        <w:rPr>
          <w:highlight w:val="yellow"/>
        </w:rPr>
      </w:pPr>
    </w:p>
    <w:p w14:paraId="48908438" w14:textId="77777777" w:rsidR="00D27AD1" w:rsidRPr="0076489D" w:rsidRDefault="00D27AD1" w:rsidP="00FA3F99">
      <w:pPr>
        <w:pStyle w:val="STPR2Heading3"/>
        <w:pBdr>
          <w:left w:val="single" w:sz="4" w:space="4" w:color="auto"/>
          <w:right w:val="single" w:sz="4" w:space="4" w:color="auto"/>
        </w:pBdr>
        <w:shd w:val="clear" w:color="auto" w:fill="C9C9C9" w:themeFill="accent3" w:themeFillTint="99"/>
      </w:pPr>
      <w:r w:rsidRPr="0076489D">
        <w:rPr>
          <w:rFonts w:eastAsia="Courier New"/>
          <w:lang w:eastAsia="en-US"/>
        </w:rPr>
        <w:t xml:space="preserve">4. </w:t>
      </w:r>
      <w:r w:rsidRPr="0076489D">
        <w:t>Economy</w:t>
      </w:r>
    </w:p>
    <w:p w14:paraId="6B2D448A" w14:textId="77777777" w:rsidR="00D27AD1" w:rsidRPr="00F97CA9" w:rsidRDefault="00D27AD1" w:rsidP="00FA3F99">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Cs/>
          <w:color w:val="FF0000"/>
          <w:sz w:val="24"/>
          <w:szCs w:val="24"/>
        </w:rPr>
      </w:pPr>
      <w:r w:rsidRPr="00AF3C3D">
        <w:rPr>
          <w:noProof/>
          <w:lang w:eastAsia="en-GB"/>
        </w:rPr>
        <w:drawing>
          <wp:inline distT="0" distB="0" distL="0" distR="0" wp14:anchorId="714E08FA" wp14:editId="43A1506B">
            <wp:extent cx="5723890" cy="676275"/>
            <wp:effectExtent l="0" t="0" r="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25382" cy="676451"/>
                    </a:xfrm>
                    <a:prstGeom prst="rect">
                      <a:avLst/>
                    </a:prstGeom>
                    <a:noFill/>
                    <a:ln>
                      <a:noFill/>
                    </a:ln>
                  </pic:spPr>
                </pic:pic>
              </a:graphicData>
            </a:graphic>
          </wp:inline>
        </w:drawing>
      </w:r>
    </w:p>
    <w:p w14:paraId="42AB4710" w14:textId="790AE509" w:rsidR="00D27AD1" w:rsidRDefault="00B40B0B" w:rsidP="00FA3F99">
      <w:pPr>
        <w:pStyle w:val="STPR2BodyText"/>
        <w:pBdr>
          <w:top w:val="single" w:sz="4" w:space="1" w:color="auto"/>
          <w:left w:val="single" w:sz="4" w:space="4" w:color="auto"/>
          <w:bottom w:val="single" w:sz="4" w:space="1" w:color="auto"/>
          <w:right w:val="single" w:sz="4" w:space="4" w:color="auto"/>
        </w:pBdr>
      </w:pPr>
      <w:hyperlink r:id="rId40" w:history="1">
        <w:r w:rsidR="00D27AD1" w:rsidRPr="001F1A71">
          <w:rPr>
            <w:rStyle w:val="Hyperlink"/>
          </w:rPr>
          <w:t xml:space="preserve">Congestion is </w:t>
        </w:r>
        <w:r w:rsidR="001F1A71" w:rsidRPr="001F1A71">
          <w:rPr>
            <w:rStyle w:val="Hyperlink"/>
          </w:rPr>
          <w:t>estimated</w:t>
        </w:r>
        <w:r w:rsidR="00D27AD1" w:rsidRPr="001F1A71">
          <w:rPr>
            <w:rStyle w:val="Hyperlink"/>
          </w:rPr>
          <w:t xml:space="preserve"> to have cost the UK economy £6.9</w:t>
        </w:r>
        <w:r w:rsidR="002E5291">
          <w:rPr>
            <w:rStyle w:val="Hyperlink"/>
          </w:rPr>
          <w:t xml:space="preserve"> </w:t>
        </w:r>
        <w:r w:rsidR="00D27AD1" w:rsidRPr="001F1A71">
          <w:rPr>
            <w:rStyle w:val="Hyperlink"/>
          </w:rPr>
          <w:t>b</w:t>
        </w:r>
        <w:r w:rsidR="002E5291">
          <w:rPr>
            <w:rStyle w:val="Hyperlink"/>
          </w:rPr>
          <w:t>illio</w:t>
        </w:r>
        <w:r w:rsidR="00D27AD1" w:rsidRPr="001F1A71">
          <w:rPr>
            <w:rStyle w:val="Hyperlink"/>
          </w:rPr>
          <w:t>n in 2019</w:t>
        </w:r>
      </w:hyperlink>
      <w:r w:rsidR="004C5459">
        <w:rPr>
          <w:vertAlign w:val="superscript"/>
        </w:rPr>
        <w:t xml:space="preserve"> </w:t>
      </w:r>
      <w:r w:rsidR="00D27AD1" w:rsidRPr="00652B61">
        <w:t xml:space="preserve">, so action taken to increase the attractiveness of public transport and increase modal </w:t>
      </w:r>
      <w:r w:rsidR="00D27AD1">
        <w:t>shift</w:t>
      </w:r>
      <w:r w:rsidR="00D27AD1" w:rsidRPr="00652B61">
        <w:t xml:space="preserve"> from </w:t>
      </w:r>
      <w:r w:rsidR="00D27AD1" w:rsidRPr="00652B61">
        <w:lastRenderedPageBreak/>
        <w:t>car would be beneficial to the economy</w:t>
      </w:r>
      <w:r w:rsidR="00D27AD1">
        <w:t xml:space="preserve"> due to increased transport economic efficiency</w:t>
      </w:r>
      <w:r w:rsidR="00D27AD1" w:rsidRPr="00652B61">
        <w:t>.</w:t>
      </w:r>
      <w:r w:rsidR="00D27AD1">
        <w:t xml:space="preserve"> Mobility</w:t>
      </w:r>
      <w:r w:rsidR="00D27AD1" w:rsidRPr="00652B61">
        <w:t xml:space="preserve"> hubs</w:t>
      </w:r>
      <w:r w:rsidR="00D27AD1">
        <w:t xml:space="preserve"> coul</w:t>
      </w:r>
      <w:r w:rsidR="00D27AD1" w:rsidRPr="00652B61">
        <w:t xml:space="preserve">d reduce car use </w:t>
      </w:r>
      <w:r w:rsidR="00D27AD1">
        <w:t>by enhancing</w:t>
      </w:r>
      <w:r w:rsidR="00D27AD1" w:rsidRPr="00652B61">
        <w:t xml:space="preserve"> ‘first and last mile’ connectivity. </w:t>
      </w:r>
      <w:r w:rsidR="00D27AD1">
        <w:t xml:space="preserve">The development of mobility hubs </w:t>
      </w:r>
      <w:r w:rsidR="00D27AD1" w:rsidRPr="00652B61">
        <w:t>could also improve accessibility to employment and education for those without access to a car</w:t>
      </w:r>
      <w:r w:rsidR="00D27AD1">
        <w:t>.</w:t>
      </w:r>
    </w:p>
    <w:p w14:paraId="760C9010" w14:textId="2C6B5D42" w:rsidR="00D27AD1" w:rsidRDefault="00D27AD1" w:rsidP="00FA3F99">
      <w:pPr>
        <w:pStyle w:val="STPR2BodyText"/>
        <w:pBdr>
          <w:top w:val="single" w:sz="4" w:space="1" w:color="auto"/>
          <w:left w:val="single" w:sz="4" w:space="4" w:color="auto"/>
          <w:bottom w:val="single" w:sz="4" w:space="1" w:color="auto"/>
          <w:right w:val="single" w:sz="4" w:space="4" w:color="auto"/>
        </w:pBdr>
      </w:pPr>
      <w:r>
        <w:t xml:space="preserve">Mobility hubs have the potential to provide wider economic impacts. The role of infrastructure investment in stimulating economic recovery is widely acknowledged and can act as a catalyst for economic growth, important following the COVID-19 pandemic. Specifically, </w:t>
      </w:r>
      <w:hyperlink r:id="rId41" w:history="1">
        <w:r w:rsidR="001F1A71" w:rsidRPr="001F1A71">
          <w:rPr>
            <w:rStyle w:val="Hyperlink"/>
          </w:rPr>
          <w:t>research</w:t>
        </w:r>
        <w:r w:rsidR="004C5459">
          <w:rPr>
            <w:rStyle w:val="Hyperlink"/>
            <w:vertAlign w:val="superscript"/>
          </w:rPr>
          <w:t xml:space="preserve"> </w:t>
        </w:r>
        <w:r w:rsidRPr="001F1A71">
          <w:rPr>
            <w:rStyle w:val="Hyperlink"/>
          </w:rPr>
          <w:t xml:space="preserve"> has suggested that transport infrastructure investment can encourage regeneration in the surrounding area, improving the overall attractiveness of a location to locate or invest in, which can impact on the pattern of development and / or land values, supporting economic growth</w:t>
        </w:r>
      </w:hyperlink>
      <w:r>
        <w:rPr>
          <w:rStyle w:val="normaltextrun"/>
          <w:color w:val="000000"/>
        </w:rPr>
        <w:t>.</w:t>
      </w:r>
    </w:p>
    <w:p w14:paraId="1F2A46E0" w14:textId="517E8076" w:rsidR="00D27AD1" w:rsidRDefault="00D27AD1" w:rsidP="00FA3F99">
      <w:pPr>
        <w:pStyle w:val="STPR2BodyText"/>
        <w:pBdr>
          <w:top w:val="single" w:sz="4" w:space="1" w:color="auto"/>
          <w:left w:val="single" w:sz="4" w:space="4" w:color="auto"/>
          <w:bottom w:val="single" w:sz="4" w:space="1" w:color="auto"/>
          <w:right w:val="single" w:sz="4" w:space="4" w:color="auto"/>
        </w:pBdr>
      </w:pPr>
      <w:r w:rsidRPr="00652B61">
        <w:t xml:space="preserve">Overall, this </w:t>
      </w:r>
      <w:r w:rsidRPr="001F38BD">
        <w:t xml:space="preserve">recommendation </w:t>
      </w:r>
      <w:r w:rsidRPr="00652B61">
        <w:t xml:space="preserve">is expected to have a minor positive impact </w:t>
      </w:r>
      <w:r w:rsidR="00F64248">
        <w:t>on this criterion in both the Low and High scenarios</w:t>
      </w:r>
      <w:r w:rsidRPr="00652B61">
        <w:t>.</w:t>
      </w:r>
    </w:p>
    <w:p w14:paraId="33EDBBEB" w14:textId="77777777" w:rsidR="00D27AD1" w:rsidRPr="003C6186" w:rsidRDefault="00D27AD1">
      <w:pPr>
        <w:rPr>
          <w:rFonts w:ascii="Arial" w:hAnsi="Arial" w:cs="Arial"/>
          <w:color w:val="000000" w:themeColor="text1"/>
          <w:sz w:val="24"/>
          <w:szCs w:val="24"/>
          <w:highlight w:val="yellow"/>
          <w:lang w:eastAsia="en-US"/>
        </w:rPr>
      </w:pPr>
    </w:p>
    <w:p w14:paraId="424EF738" w14:textId="77777777" w:rsidR="00D27AD1" w:rsidRPr="00D65602" w:rsidRDefault="00D27AD1" w:rsidP="00FA3F99">
      <w:pPr>
        <w:pStyle w:val="STPR2Heading3"/>
        <w:pBdr>
          <w:left w:val="single" w:sz="4" w:space="4" w:color="auto"/>
          <w:right w:val="single" w:sz="4" w:space="4" w:color="auto"/>
        </w:pBdr>
        <w:shd w:val="clear" w:color="auto" w:fill="C9C9C9" w:themeFill="accent3" w:themeFillTint="99"/>
      </w:pPr>
      <w:r w:rsidRPr="00A60CF5">
        <w:rPr>
          <w:rFonts w:eastAsia="Courier New"/>
          <w:lang w:eastAsia="en-US"/>
        </w:rPr>
        <w:t xml:space="preserve">5. </w:t>
      </w:r>
      <w:r w:rsidRPr="00A60CF5">
        <w:t xml:space="preserve">Equality and Accessibility </w:t>
      </w:r>
    </w:p>
    <w:p w14:paraId="6A6EF8CE"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lang w:eastAsia="en-US"/>
        </w:rPr>
      </w:pPr>
      <w:r w:rsidRPr="00AF3C3D">
        <w:rPr>
          <w:noProof/>
        </w:rPr>
        <w:drawing>
          <wp:inline distT="0" distB="0" distL="0" distR="0" wp14:anchorId="01CC56DD" wp14:editId="0615AE67">
            <wp:extent cx="5712031" cy="676275"/>
            <wp:effectExtent l="0" t="0" r="3175"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8040" cy="676986"/>
                    </a:xfrm>
                    <a:prstGeom prst="rect">
                      <a:avLst/>
                    </a:prstGeom>
                    <a:noFill/>
                    <a:ln>
                      <a:noFill/>
                    </a:ln>
                  </pic:spPr>
                </pic:pic>
              </a:graphicData>
            </a:graphic>
          </wp:inline>
        </w:drawing>
      </w:r>
      <w:r>
        <w:rPr>
          <w:rFonts w:ascii="Arial" w:hAnsi="Arial" w:cs="Arial"/>
          <w:sz w:val="24"/>
          <w:szCs w:val="24"/>
          <w:lang w:eastAsia="en-US"/>
        </w:rPr>
        <w:t>M</w:t>
      </w:r>
      <w:r w:rsidRPr="00162FB5">
        <w:rPr>
          <w:rFonts w:ascii="Arial" w:hAnsi="Arial" w:cs="Arial"/>
          <w:sz w:val="24"/>
          <w:szCs w:val="24"/>
          <w:lang w:eastAsia="en-US"/>
        </w:rPr>
        <w:t>obility hubs could improve accessibility by decreasing the distance between services, reducing the disbenefit of interchange, especially for those with reduced mobility.</w:t>
      </w:r>
      <w:r>
        <w:rPr>
          <w:rFonts w:ascii="Arial" w:hAnsi="Arial" w:cs="Arial"/>
          <w:sz w:val="24"/>
          <w:szCs w:val="24"/>
          <w:lang w:eastAsia="en-US"/>
        </w:rPr>
        <w:t xml:space="preserve"> They could extend the reach of the public transport network and better connect it with the active travel network.</w:t>
      </w:r>
    </w:p>
    <w:p w14:paraId="3E4BF265" w14:textId="77777777" w:rsidR="00D27AD1" w:rsidRPr="00162FB5"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lang w:eastAsia="en-US"/>
        </w:rPr>
      </w:pPr>
      <w:r>
        <w:rPr>
          <w:rFonts w:ascii="Arial" w:hAnsi="Arial" w:cs="Arial"/>
          <w:sz w:val="24"/>
          <w:szCs w:val="24"/>
          <w:lang w:eastAsia="en-US"/>
        </w:rPr>
        <w:t>This recommendation could improve access in harder to reach areas, and provide an affordable travel option, reducing forced car ownership and reliance on taxis for people without access to a car.</w:t>
      </w:r>
    </w:p>
    <w:p w14:paraId="029ED454" w14:textId="77777777" w:rsidR="00D27AD1"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lang w:eastAsia="en-US"/>
        </w:rPr>
      </w:pPr>
      <w:r w:rsidRPr="00162FB5">
        <w:rPr>
          <w:rFonts w:ascii="Arial" w:hAnsi="Arial" w:cs="Arial"/>
          <w:sz w:val="24"/>
          <w:szCs w:val="24"/>
          <w:lang w:eastAsia="en-US"/>
        </w:rPr>
        <w:t>In terms of social inclusion,</w:t>
      </w:r>
      <w:r>
        <w:rPr>
          <w:rFonts w:ascii="Arial" w:hAnsi="Arial" w:cs="Arial"/>
          <w:sz w:val="24"/>
          <w:szCs w:val="24"/>
          <w:lang w:eastAsia="en-US"/>
        </w:rPr>
        <w:t xml:space="preserve"> mobility hubs</w:t>
      </w:r>
      <w:r w:rsidRPr="00162FB5">
        <w:rPr>
          <w:rFonts w:ascii="Arial" w:hAnsi="Arial" w:cs="Arial"/>
          <w:sz w:val="24"/>
          <w:szCs w:val="24"/>
          <w:lang w:eastAsia="en-US"/>
        </w:rPr>
        <w:t xml:space="preserve"> could </w:t>
      </w:r>
      <w:r>
        <w:rPr>
          <w:rFonts w:ascii="Arial" w:hAnsi="Arial" w:cs="Arial"/>
          <w:sz w:val="24"/>
          <w:szCs w:val="24"/>
          <w:lang w:eastAsia="en-US"/>
        </w:rPr>
        <w:t>hav</w:t>
      </w:r>
      <w:r w:rsidRPr="00162FB5">
        <w:rPr>
          <w:rFonts w:ascii="Arial" w:hAnsi="Arial" w:cs="Arial"/>
          <w:sz w:val="24"/>
          <w:szCs w:val="24"/>
          <w:lang w:eastAsia="en-US"/>
        </w:rPr>
        <w:t xml:space="preserve">e a beneficial impact. </w:t>
      </w:r>
      <w:r>
        <w:rPr>
          <w:rFonts w:ascii="Arial" w:hAnsi="Arial" w:cs="Arial"/>
          <w:sz w:val="24"/>
          <w:szCs w:val="24"/>
          <w:lang w:eastAsia="en-US"/>
        </w:rPr>
        <w:t>Please r</w:t>
      </w:r>
      <w:r w:rsidRPr="00162FB5">
        <w:rPr>
          <w:rFonts w:ascii="Arial" w:hAnsi="Arial" w:cs="Arial"/>
          <w:sz w:val="24"/>
          <w:szCs w:val="24"/>
          <w:lang w:eastAsia="en-US"/>
        </w:rPr>
        <w:t xml:space="preserve">efer to </w:t>
      </w:r>
      <w:proofErr w:type="spellStart"/>
      <w:r w:rsidRPr="00162FB5">
        <w:rPr>
          <w:rFonts w:ascii="Arial" w:hAnsi="Arial" w:cs="Arial"/>
          <w:sz w:val="24"/>
          <w:szCs w:val="24"/>
          <w:lang w:eastAsia="en-US"/>
        </w:rPr>
        <w:t>E</w:t>
      </w:r>
      <w:r w:rsidR="00F64248">
        <w:rPr>
          <w:rFonts w:ascii="Arial" w:hAnsi="Arial" w:cs="Arial"/>
          <w:sz w:val="24"/>
          <w:szCs w:val="24"/>
          <w:lang w:eastAsia="en-US"/>
        </w:rPr>
        <w:t>q</w:t>
      </w:r>
      <w:r w:rsidRPr="00162FB5">
        <w:rPr>
          <w:rFonts w:ascii="Arial" w:hAnsi="Arial" w:cs="Arial"/>
          <w:sz w:val="24"/>
          <w:szCs w:val="24"/>
          <w:lang w:eastAsia="en-US"/>
        </w:rPr>
        <w:t>IA</w:t>
      </w:r>
      <w:proofErr w:type="spellEnd"/>
      <w:r w:rsidRPr="00162FB5">
        <w:rPr>
          <w:rFonts w:ascii="Arial" w:hAnsi="Arial" w:cs="Arial"/>
          <w:sz w:val="24"/>
          <w:szCs w:val="24"/>
          <w:lang w:eastAsia="en-US"/>
        </w:rPr>
        <w:t>/ICIA/FSDA/CRWIA Assessment in the next section.</w:t>
      </w:r>
    </w:p>
    <w:p w14:paraId="22444082"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pPr>
      <w:r>
        <w:rPr>
          <w:lang w:eastAsia="en-US"/>
        </w:rPr>
        <w:t xml:space="preserve">Overall, this recommendation is anticipated to have a </w:t>
      </w:r>
      <w:r w:rsidRPr="00652B61">
        <w:t xml:space="preserve">minor positive impact </w:t>
      </w:r>
      <w:r w:rsidR="00F64248">
        <w:t>on</w:t>
      </w:r>
      <w:r w:rsidR="00F64248" w:rsidRPr="00652B61">
        <w:t xml:space="preserve"> </w:t>
      </w:r>
      <w:r w:rsidR="00F64248">
        <w:t>this criterion in both the Low and High scenarios</w:t>
      </w:r>
      <w:r w:rsidRPr="00652B61">
        <w:t>.</w:t>
      </w:r>
    </w:p>
    <w:p w14:paraId="4809F1FD" w14:textId="77777777" w:rsidR="00D27AD1" w:rsidRPr="003C6186" w:rsidRDefault="00D27AD1" w:rsidP="00BC69FE">
      <w:pPr>
        <w:pStyle w:val="STPR2Heading2"/>
      </w:pPr>
      <w:r>
        <w:t>Deliverability</w:t>
      </w:r>
    </w:p>
    <w:p w14:paraId="4095455C" w14:textId="77777777" w:rsidR="00D27AD1" w:rsidRPr="003C6186" w:rsidRDefault="00D27AD1" w:rsidP="00FA3F99">
      <w:pPr>
        <w:pStyle w:val="STPR2Heading3"/>
        <w:pBdr>
          <w:left w:val="single" w:sz="4" w:space="4" w:color="auto"/>
          <w:right w:val="single" w:sz="4" w:space="4" w:color="auto"/>
        </w:pBdr>
        <w:shd w:val="clear" w:color="auto" w:fill="C9C9C9" w:themeFill="accent3" w:themeFillTint="99"/>
      </w:pPr>
      <w:r>
        <w:t>1. Feasibility</w:t>
      </w:r>
    </w:p>
    <w:p w14:paraId="3992BB15" w14:textId="77777777" w:rsidR="00D27AD1" w:rsidRPr="000F1570" w:rsidRDefault="00D27AD1" w:rsidP="00FA3F99">
      <w:pPr>
        <w:pBdr>
          <w:top w:val="single" w:sz="4" w:space="1" w:color="auto"/>
          <w:left w:val="single" w:sz="4" w:space="4" w:color="auto"/>
          <w:bottom w:val="single" w:sz="4" w:space="1" w:color="auto"/>
          <w:right w:val="single" w:sz="4" w:space="4" w:color="auto"/>
        </w:pBdr>
        <w:rPr>
          <w:rFonts w:ascii="Calibri" w:eastAsia="Yu Mincho" w:hAnsi="Calibri" w:cs="Arial"/>
          <w:sz w:val="24"/>
          <w:szCs w:val="24"/>
        </w:rPr>
      </w:pPr>
      <w:r>
        <w:rPr>
          <w:rFonts w:ascii="Arial" w:hAnsi="Arial" w:cs="Arial"/>
          <w:kern w:val="24"/>
          <w:sz w:val="24"/>
          <w:szCs w:val="24"/>
        </w:rPr>
        <w:t xml:space="preserve">This recommendation covers provision of new mobility hubs. Such interventions are proven concepts and readily feasible, subject to local characteristics and the scale of the intervention. However, if technological advances are required to support the provision of mobility hubs, the availability of appropriate technology would also need to be considered, as would the extent to which passengers could access this technology. There is also a risk that the lack of control over route and timetable </w:t>
      </w:r>
      <w:r>
        <w:rPr>
          <w:rFonts w:ascii="Arial" w:hAnsi="Arial" w:cs="Arial"/>
          <w:kern w:val="24"/>
          <w:sz w:val="24"/>
          <w:szCs w:val="24"/>
        </w:rPr>
        <w:lastRenderedPageBreak/>
        <w:t>integration between services and between modes may reduce the benefits that can be achieved.</w:t>
      </w:r>
    </w:p>
    <w:p w14:paraId="4D1FD43E" w14:textId="77777777" w:rsidR="00D27AD1" w:rsidRDefault="00D27AD1" w:rsidP="00295769">
      <w:pPr>
        <w:pStyle w:val="STPR2BodyText"/>
      </w:pPr>
    </w:p>
    <w:p w14:paraId="77DAA3D5" w14:textId="77777777" w:rsidR="00977924" w:rsidRDefault="00977924" w:rsidP="00295769">
      <w:pPr>
        <w:pStyle w:val="STPR2BodyText"/>
      </w:pPr>
    </w:p>
    <w:p w14:paraId="43A2EA8E" w14:textId="77777777" w:rsidR="00977924" w:rsidRPr="003C6186" w:rsidRDefault="00977924" w:rsidP="00295769">
      <w:pPr>
        <w:pStyle w:val="STPR2BodyText"/>
      </w:pPr>
    </w:p>
    <w:p w14:paraId="591E3087" w14:textId="77777777" w:rsidR="00D27AD1" w:rsidRPr="007B7568" w:rsidRDefault="00D27AD1" w:rsidP="00FA3F99">
      <w:pPr>
        <w:pStyle w:val="STPR2Heading3"/>
        <w:pBdr>
          <w:left w:val="single" w:sz="4" w:space="4" w:color="auto"/>
          <w:right w:val="single" w:sz="4" w:space="4" w:color="auto"/>
        </w:pBdr>
        <w:shd w:val="clear" w:color="auto" w:fill="C9C9C9" w:themeFill="accent3" w:themeFillTint="99"/>
      </w:pPr>
      <w:r>
        <w:t>2. Affordability</w:t>
      </w:r>
    </w:p>
    <w:p w14:paraId="76389B5C" w14:textId="1CC74098" w:rsidR="00D27AD1" w:rsidRDefault="00D27AD1" w:rsidP="00FA3F99">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072634">
        <w:rPr>
          <w:rFonts w:ascii="Arial" w:hAnsi="Arial" w:cs="Arial"/>
          <w:sz w:val="24"/>
          <w:szCs w:val="24"/>
        </w:rPr>
        <w:t xml:space="preserve">Affordability </w:t>
      </w:r>
      <w:r w:rsidR="001A2712">
        <w:rPr>
          <w:rFonts w:ascii="Arial" w:hAnsi="Arial" w:cs="Arial"/>
          <w:sz w:val="24"/>
          <w:szCs w:val="24"/>
        </w:rPr>
        <w:t>would</w:t>
      </w:r>
      <w:r w:rsidRPr="00072634">
        <w:rPr>
          <w:rFonts w:ascii="Arial" w:hAnsi="Arial" w:cs="Arial"/>
          <w:sz w:val="24"/>
          <w:szCs w:val="24"/>
        </w:rPr>
        <w:t xml:space="preserve"> depend on the scale of the intervention, with individual small-scale schemes likely to be relatively affordable, although provision of a network of mobility hubs</w:t>
      </w:r>
      <w:r>
        <w:rPr>
          <w:rFonts w:ascii="Arial" w:hAnsi="Arial" w:cs="Arial"/>
          <w:sz w:val="24"/>
          <w:szCs w:val="24"/>
        </w:rPr>
        <w:t xml:space="preserve"> would be more costly</w:t>
      </w:r>
      <w:r w:rsidRPr="00072634">
        <w:rPr>
          <w:rFonts w:ascii="Arial" w:hAnsi="Arial" w:cs="Arial"/>
          <w:sz w:val="24"/>
          <w:szCs w:val="24"/>
        </w:rPr>
        <w:t>.</w:t>
      </w:r>
      <w:r>
        <w:rPr>
          <w:rFonts w:ascii="Arial" w:hAnsi="Arial" w:cs="Arial"/>
          <w:sz w:val="24"/>
          <w:szCs w:val="24"/>
        </w:rPr>
        <w:t xml:space="preserve"> </w:t>
      </w:r>
      <w:r w:rsidR="00472CB4">
        <w:rPr>
          <w:rFonts w:ascii="Arial" w:hAnsi="Arial" w:cs="Arial"/>
          <w:sz w:val="24"/>
          <w:szCs w:val="24"/>
        </w:rPr>
        <w:t xml:space="preserve">As mobility hubs </w:t>
      </w:r>
      <w:r w:rsidR="00F765A7">
        <w:rPr>
          <w:rFonts w:ascii="Arial" w:hAnsi="Arial" w:cs="Arial"/>
          <w:sz w:val="24"/>
          <w:szCs w:val="24"/>
        </w:rPr>
        <w:t xml:space="preserve">have the potential to </w:t>
      </w:r>
      <w:r w:rsidRPr="00072634">
        <w:rPr>
          <w:rFonts w:ascii="Arial" w:hAnsi="Arial" w:cs="Arial"/>
          <w:sz w:val="24"/>
          <w:szCs w:val="24"/>
        </w:rPr>
        <w:t>cover several modes,</w:t>
      </w:r>
      <w:r w:rsidR="00472CB4">
        <w:rPr>
          <w:rFonts w:ascii="Arial" w:hAnsi="Arial" w:cs="Arial"/>
          <w:sz w:val="24"/>
          <w:szCs w:val="24"/>
        </w:rPr>
        <w:t xml:space="preserve"> the proposed framework for </w:t>
      </w:r>
      <w:r w:rsidR="00F765A7">
        <w:rPr>
          <w:rFonts w:ascii="Arial" w:hAnsi="Arial" w:cs="Arial"/>
          <w:sz w:val="24"/>
          <w:szCs w:val="24"/>
        </w:rPr>
        <w:t>their delivery</w:t>
      </w:r>
      <w:r w:rsidR="00472CB4">
        <w:rPr>
          <w:rFonts w:ascii="Arial" w:hAnsi="Arial" w:cs="Arial"/>
          <w:sz w:val="24"/>
          <w:szCs w:val="24"/>
        </w:rPr>
        <w:t xml:space="preserve"> should seek to provide guidance on multi-partner funding arrangements and delivery models to adopt. This </w:t>
      </w:r>
      <w:r w:rsidR="00C36E30">
        <w:rPr>
          <w:rFonts w:ascii="Arial" w:hAnsi="Arial" w:cs="Arial"/>
          <w:sz w:val="24"/>
          <w:szCs w:val="24"/>
        </w:rPr>
        <w:t>shou</w:t>
      </w:r>
      <w:r w:rsidR="00472CB4">
        <w:rPr>
          <w:rFonts w:ascii="Arial" w:hAnsi="Arial" w:cs="Arial"/>
          <w:sz w:val="24"/>
          <w:szCs w:val="24"/>
        </w:rPr>
        <w:t>ld extend to guidance on the</w:t>
      </w:r>
      <w:r w:rsidR="00C36E30">
        <w:rPr>
          <w:rFonts w:ascii="Arial" w:hAnsi="Arial" w:cs="Arial"/>
          <w:sz w:val="24"/>
          <w:szCs w:val="24"/>
        </w:rPr>
        <w:t>ir</w:t>
      </w:r>
      <w:r w:rsidR="00472CB4">
        <w:rPr>
          <w:rFonts w:ascii="Arial" w:hAnsi="Arial" w:cs="Arial"/>
          <w:sz w:val="24"/>
          <w:szCs w:val="24"/>
        </w:rPr>
        <w:t xml:space="preserve"> potential for income generation, such as </w:t>
      </w:r>
      <w:r w:rsidRPr="00072634">
        <w:rPr>
          <w:rFonts w:ascii="Arial" w:hAnsi="Arial" w:cs="Arial"/>
          <w:sz w:val="24"/>
          <w:szCs w:val="24"/>
        </w:rPr>
        <w:t>through rental of commercial space to cafés and retail outlets.</w:t>
      </w:r>
    </w:p>
    <w:p w14:paraId="403BCF8F" w14:textId="77777777" w:rsidR="00D27AD1" w:rsidRPr="003C6186" w:rsidRDefault="00D27AD1">
      <w:pPr>
        <w:rPr>
          <w:rFonts w:ascii="Arial" w:eastAsia="Courier New" w:hAnsi="Arial" w:cs="Arial"/>
          <w:sz w:val="24"/>
          <w:szCs w:val="24"/>
          <w:highlight w:val="yellow"/>
          <w:lang w:eastAsia="en-US"/>
        </w:rPr>
      </w:pPr>
    </w:p>
    <w:p w14:paraId="51966475" w14:textId="77777777" w:rsidR="00D27AD1" w:rsidRPr="003C6186" w:rsidRDefault="00D27AD1" w:rsidP="00FA3F99">
      <w:pPr>
        <w:pStyle w:val="STPR2Heading3"/>
        <w:pBdr>
          <w:left w:val="single" w:sz="4" w:space="4" w:color="auto"/>
          <w:bottom w:val="single" w:sz="4" w:space="0" w:color="auto"/>
          <w:right w:val="single" w:sz="4" w:space="4" w:color="auto"/>
        </w:pBdr>
        <w:shd w:val="clear" w:color="auto" w:fill="C9C9C9" w:themeFill="accent3" w:themeFillTint="99"/>
      </w:pPr>
      <w:r>
        <w:t>3. Public Acceptability</w:t>
      </w:r>
    </w:p>
    <w:p w14:paraId="1198CF99" w14:textId="77777777" w:rsidR="00D27AD1" w:rsidRDefault="00D27AD1" w:rsidP="00FA3F99">
      <w:pPr>
        <w:pBdr>
          <w:top w:val="single" w:sz="4" w:space="1" w:color="auto"/>
          <w:left w:val="single" w:sz="4" w:space="4" w:color="auto"/>
          <w:bottom w:val="single" w:sz="4" w:space="0" w:color="auto"/>
          <w:right w:val="single" w:sz="4" w:space="4" w:color="auto"/>
        </w:pBdr>
        <w:spacing w:line="257" w:lineRule="auto"/>
        <w:rPr>
          <w:rFonts w:ascii="Arial" w:hAnsi="Arial" w:cs="Arial"/>
          <w:kern w:val="24"/>
          <w:sz w:val="24"/>
          <w:szCs w:val="24"/>
        </w:rPr>
      </w:pPr>
      <w:r>
        <w:rPr>
          <w:rFonts w:ascii="Arial" w:hAnsi="Arial" w:cs="Arial"/>
          <w:kern w:val="24"/>
          <w:sz w:val="24"/>
          <w:szCs w:val="24"/>
        </w:rPr>
        <w:t xml:space="preserve">The public acceptability of new facilities may depend on their location, scale, journey time impact (if services need to be re-routed), and the ability to access any associated journey planning </w:t>
      </w:r>
      <w:r w:rsidR="0075681B">
        <w:rPr>
          <w:rFonts w:ascii="Arial" w:hAnsi="Arial" w:cs="Arial"/>
          <w:kern w:val="24"/>
          <w:sz w:val="24"/>
          <w:szCs w:val="24"/>
        </w:rPr>
        <w:t>apps</w:t>
      </w:r>
      <w:r>
        <w:rPr>
          <w:rFonts w:ascii="Arial" w:hAnsi="Arial" w:cs="Arial"/>
          <w:kern w:val="24"/>
          <w:sz w:val="24"/>
          <w:szCs w:val="24"/>
        </w:rPr>
        <w:t>. However, the recommendation should be acceptable, especially when combined with other measures such as integrated ticketing and improved public realm.</w:t>
      </w:r>
      <w:r w:rsidR="0075681B">
        <w:rPr>
          <w:rFonts w:ascii="Arial" w:hAnsi="Arial" w:cs="Arial"/>
          <w:kern w:val="24"/>
          <w:sz w:val="24"/>
          <w:szCs w:val="24"/>
        </w:rPr>
        <w:t xml:space="preserve"> It is to be noted, however, that where road space reallocation</w:t>
      </w:r>
      <w:r w:rsidR="00F765A7">
        <w:rPr>
          <w:rFonts w:ascii="Arial" w:hAnsi="Arial" w:cs="Arial"/>
          <w:kern w:val="24"/>
          <w:sz w:val="24"/>
          <w:szCs w:val="24"/>
        </w:rPr>
        <w:t xml:space="preserve"> or associated enhancements such as reconfigured or improved public realm, for example,</w:t>
      </w:r>
      <w:r w:rsidR="0075681B">
        <w:rPr>
          <w:rFonts w:ascii="Arial" w:hAnsi="Arial" w:cs="Arial"/>
          <w:kern w:val="24"/>
          <w:sz w:val="24"/>
          <w:szCs w:val="24"/>
        </w:rPr>
        <w:t xml:space="preserve"> is required to support the development of a new mobility hub, such schemes have the potential to attract initial opposition from road users.</w:t>
      </w:r>
    </w:p>
    <w:p w14:paraId="641377F1" w14:textId="77777777" w:rsidR="00D27AD1" w:rsidRPr="00D464FC" w:rsidRDefault="00D27AD1" w:rsidP="00BC69FE">
      <w:pPr>
        <w:pStyle w:val="STPR2Heading2"/>
      </w:pPr>
      <w:r w:rsidRPr="003D1242">
        <w:t xml:space="preserve">Statutory Impact </w:t>
      </w:r>
      <w:r w:rsidRPr="00D464FC">
        <w:t>Assessment</w:t>
      </w:r>
    </w:p>
    <w:p w14:paraId="59ED4AE4" w14:textId="77777777" w:rsidR="00D27AD1" w:rsidRPr="00D464FC" w:rsidRDefault="00D27AD1" w:rsidP="00FA3F99">
      <w:pPr>
        <w:pStyle w:val="STPR2Heading3"/>
        <w:pBdr>
          <w:left w:val="single" w:sz="4" w:space="4" w:color="auto"/>
          <w:right w:val="single" w:sz="4" w:space="4" w:color="auto"/>
        </w:pBdr>
        <w:shd w:val="clear" w:color="auto" w:fill="C9C9C9" w:themeFill="accent3" w:themeFillTint="99"/>
      </w:pPr>
      <w:r w:rsidRPr="00D464FC">
        <w:t>1. Strategic Environmental Assessment (SEA)</w:t>
      </w:r>
    </w:p>
    <w:p w14:paraId="7F5EEDB5" w14:textId="77777777" w:rsidR="00D27AD1" w:rsidRPr="00E72189" w:rsidRDefault="00D27AD1" w:rsidP="00FA3F99">
      <w:pPr>
        <w:pBdr>
          <w:top w:val="single" w:sz="4" w:space="1" w:color="auto"/>
          <w:left w:val="single" w:sz="4" w:space="4" w:color="auto"/>
          <w:bottom w:val="single" w:sz="4" w:space="1" w:color="auto"/>
          <w:right w:val="single" w:sz="4" w:space="4" w:color="auto"/>
        </w:pBdr>
        <w:spacing w:after="120"/>
        <w:rPr>
          <w:rFonts w:ascii="Arial" w:eastAsia="Arial" w:hAnsi="Arial" w:cs="Arial"/>
          <w:sz w:val="24"/>
          <w:szCs w:val="24"/>
        </w:rPr>
      </w:pPr>
      <w:r>
        <w:rPr>
          <w:noProof/>
        </w:rPr>
        <w:drawing>
          <wp:inline distT="0" distB="0" distL="0" distR="0" wp14:anchorId="1853E5FF" wp14:editId="47925AC7">
            <wp:extent cx="5723906" cy="676275"/>
            <wp:effectExtent l="0" t="0" r="0" b="0"/>
            <wp:docPr id="34"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0">
                      <a:extLst>
                        <a:ext uri="{C183D7F6-B498-43B3-948B-1728B52AA6E4}">
                          <adec:decorative xmlns:adec="http://schemas.microsoft.com/office/drawing/2017/decorative" val="1"/>
                        </a:ext>
                      </a:extLst>
                    </pic:cNvPr>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26827" cy="676620"/>
                    </a:xfrm>
                    <a:prstGeom prst="rect">
                      <a:avLst/>
                    </a:prstGeom>
                    <a:noFill/>
                    <a:ln>
                      <a:noFill/>
                    </a:ln>
                  </pic:spPr>
                </pic:pic>
              </a:graphicData>
            </a:graphic>
          </wp:inline>
        </w:drawing>
      </w:r>
    </w:p>
    <w:p w14:paraId="77D233A2" w14:textId="28BB6DFD" w:rsidR="00D27AD1" w:rsidRPr="00216100"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216100">
        <w:rPr>
          <w:rFonts w:ascii="Arial" w:hAnsi="Arial" w:cs="Arial"/>
          <w:sz w:val="24"/>
          <w:szCs w:val="24"/>
        </w:rPr>
        <w:t xml:space="preserve">This </w:t>
      </w:r>
      <w:r>
        <w:rPr>
          <w:rFonts w:ascii="Arial" w:hAnsi="Arial" w:cs="Arial"/>
          <w:sz w:val="24"/>
          <w:szCs w:val="24"/>
        </w:rPr>
        <w:t>recommendation</w:t>
      </w:r>
      <w:r w:rsidRPr="00216100">
        <w:rPr>
          <w:rFonts w:ascii="Arial" w:hAnsi="Arial" w:cs="Arial"/>
          <w:sz w:val="24"/>
          <w:szCs w:val="24"/>
        </w:rPr>
        <w:t xml:space="preserve"> would likely result in positive </w:t>
      </w:r>
      <w:r>
        <w:rPr>
          <w:rFonts w:ascii="Arial" w:hAnsi="Arial" w:cs="Arial"/>
          <w:sz w:val="24"/>
          <w:szCs w:val="24"/>
        </w:rPr>
        <w:t>effe</w:t>
      </w:r>
      <w:r w:rsidRPr="00216100">
        <w:rPr>
          <w:rFonts w:ascii="Arial" w:hAnsi="Arial" w:cs="Arial"/>
          <w:sz w:val="24"/>
          <w:szCs w:val="24"/>
        </w:rPr>
        <w:t xml:space="preserve">cts on the SEA objectives for </w:t>
      </w:r>
      <w:r w:rsidR="003A6A84">
        <w:rPr>
          <w:rFonts w:ascii="Arial" w:hAnsi="Arial" w:cs="Arial"/>
          <w:sz w:val="24"/>
          <w:szCs w:val="24"/>
        </w:rPr>
        <w:t>reducing greenhouse gas emissions</w:t>
      </w:r>
      <w:r w:rsidR="00DB33B4">
        <w:rPr>
          <w:rFonts w:ascii="Arial" w:hAnsi="Arial" w:cs="Arial"/>
          <w:sz w:val="24"/>
          <w:szCs w:val="24"/>
        </w:rPr>
        <w:t xml:space="preserve"> </w:t>
      </w:r>
      <w:r w:rsidR="00DB33B4" w:rsidRPr="00DB33B4">
        <w:rPr>
          <w:rFonts w:ascii="Arial" w:hAnsi="Arial" w:cs="Arial"/>
          <w:sz w:val="24"/>
          <w:szCs w:val="24"/>
        </w:rPr>
        <w:t>(Objective 1</w:t>
      </w:r>
      <w:r w:rsidR="00DB33B4">
        <w:rPr>
          <w:rFonts w:ascii="Arial" w:hAnsi="Arial" w:cs="Arial"/>
          <w:sz w:val="24"/>
          <w:szCs w:val="24"/>
        </w:rPr>
        <w:t>)</w:t>
      </w:r>
      <w:r w:rsidR="00DB33B4" w:rsidRPr="00DB33B4">
        <w:rPr>
          <w:rFonts w:ascii="Arial" w:hAnsi="Arial" w:cs="Arial"/>
          <w:sz w:val="24"/>
          <w:szCs w:val="24"/>
        </w:rPr>
        <w:t xml:space="preserve"> </w:t>
      </w:r>
      <w:r w:rsidRPr="00216100">
        <w:rPr>
          <w:rFonts w:ascii="Arial" w:hAnsi="Arial" w:cs="Arial"/>
          <w:sz w:val="24"/>
          <w:szCs w:val="24"/>
        </w:rPr>
        <w:t xml:space="preserve">and </w:t>
      </w:r>
      <w:r w:rsidR="003A6A84">
        <w:rPr>
          <w:rFonts w:ascii="Arial" w:hAnsi="Arial" w:cs="Arial"/>
          <w:sz w:val="24"/>
          <w:szCs w:val="24"/>
        </w:rPr>
        <w:t>improving a</w:t>
      </w:r>
      <w:r w:rsidRPr="00216100">
        <w:rPr>
          <w:rFonts w:ascii="Arial" w:hAnsi="Arial" w:cs="Arial"/>
          <w:sz w:val="24"/>
          <w:szCs w:val="24"/>
        </w:rPr>
        <w:t xml:space="preserve">ir </w:t>
      </w:r>
      <w:r w:rsidR="003A6A84">
        <w:rPr>
          <w:rFonts w:ascii="Arial" w:hAnsi="Arial" w:cs="Arial"/>
          <w:sz w:val="24"/>
          <w:szCs w:val="24"/>
        </w:rPr>
        <w:t>q</w:t>
      </w:r>
      <w:r w:rsidRPr="00216100">
        <w:rPr>
          <w:rFonts w:ascii="Arial" w:hAnsi="Arial" w:cs="Arial"/>
          <w:sz w:val="24"/>
          <w:szCs w:val="24"/>
        </w:rPr>
        <w:t xml:space="preserve">uality (Objective 3), due to promoting modal shift to more sustainable transport options. Positive </w:t>
      </w:r>
      <w:r>
        <w:rPr>
          <w:rFonts w:ascii="Arial" w:hAnsi="Arial" w:cs="Arial"/>
          <w:sz w:val="24"/>
          <w:szCs w:val="24"/>
        </w:rPr>
        <w:t>effe</w:t>
      </w:r>
      <w:r w:rsidRPr="00216100">
        <w:rPr>
          <w:rFonts w:ascii="Arial" w:hAnsi="Arial" w:cs="Arial"/>
          <w:sz w:val="24"/>
          <w:szCs w:val="24"/>
        </w:rPr>
        <w:t xml:space="preserve">cts are anticipated on </w:t>
      </w:r>
      <w:r w:rsidR="00C11D35">
        <w:rPr>
          <w:rFonts w:ascii="Arial" w:hAnsi="Arial" w:cs="Arial"/>
          <w:sz w:val="24"/>
          <w:szCs w:val="24"/>
        </w:rPr>
        <w:t>quality of life and road safety</w:t>
      </w:r>
      <w:r w:rsidRPr="00216100">
        <w:rPr>
          <w:rFonts w:ascii="Arial" w:hAnsi="Arial" w:cs="Arial"/>
          <w:sz w:val="24"/>
          <w:szCs w:val="24"/>
        </w:rPr>
        <w:t xml:space="preserve"> (Objectives 4 and 7) due to an expected increase in sustainable access to essential services and, where interchange reduces car use, this is likely to result in a small net decrease in accidents. The significance of </w:t>
      </w:r>
      <w:r>
        <w:rPr>
          <w:rFonts w:ascii="Arial" w:hAnsi="Arial" w:cs="Arial"/>
          <w:sz w:val="24"/>
          <w:szCs w:val="24"/>
        </w:rPr>
        <w:t>effe</w:t>
      </w:r>
      <w:r w:rsidRPr="00216100">
        <w:rPr>
          <w:rFonts w:ascii="Arial" w:hAnsi="Arial" w:cs="Arial"/>
          <w:sz w:val="24"/>
          <w:szCs w:val="24"/>
        </w:rPr>
        <w:t>cts is dependent on the alternatives being safe, affordable</w:t>
      </w:r>
      <w:r>
        <w:rPr>
          <w:rFonts w:ascii="Arial" w:hAnsi="Arial" w:cs="Arial"/>
          <w:sz w:val="24"/>
          <w:szCs w:val="24"/>
        </w:rPr>
        <w:t>,</w:t>
      </w:r>
      <w:r w:rsidRPr="00216100">
        <w:rPr>
          <w:rFonts w:ascii="Arial" w:hAnsi="Arial" w:cs="Arial"/>
          <w:sz w:val="24"/>
          <w:szCs w:val="24"/>
        </w:rPr>
        <w:t xml:space="preserve"> and available for all users.</w:t>
      </w:r>
      <w:r>
        <w:rPr>
          <w:rFonts w:ascii="Arial" w:hAnsi="Arial" w:cs="Arial"/>
          <w:sz w:val="24"/>
          <w:szCs w:val="24"/>
        </w:rPr>
        <w:t xml:space="preserve"> Positive effects are also expected for </w:t>
      </w:r>
      <w:r w:rsidR="006220F0">
        <w:rPr>
          <w:rFonts w:ascii="Arial" w:hAnsi="Arial" w:cs="Arial"/>
          <w:sz w:val="24"/>
          <w:szCs w:val="24"/>
        </w:rPr>
        <w:t>noise and vibration and developing high quality places</w:t>
      </w:r>
      <w:r>
        <w:rPr>
          <w:rFonts w:ascii="Arial" w:hAnsi="Arial" w:cs="Arial"/>
          <w:sz w:val="24"/>
          <w:szCs w:val="24"/>
        </w:rPr>
        <w:t xml:space="preserve"> </w:t>
      </w:r>
      <w:r w:rsidR="006220F0">
        <w:rPr>
          <w:rFonts w:ascii="Arial" w:hAnsi="Arial" w:cs="Arial"/>
          <w:sz w:val="24"/>
          <w:szCs w:val="24"/>
        </w:rPr>
        <w:t>(</w:t>
      </w:r>
      <w:r w:rsidRPr="00A0029B">
        <w:rPr>
          <w:rFonts w:ascii="Arial" w:hAnsi="Arial" w:cs="Arial"/>
          <w:sz w:val="24"/>
          <w:szCs w:val="24"/>
        </w:rPr>
        <w:t xml:space="preserve">Objectives </w:t>
      </w:r>
      <w:r>
        <w:rPr>
          <w:rFonts w:ascii="Arial" w:hAnsi="Arial" w:cs="Arial"/>
          <w:sz w:val="24"/>
          <w:szCs w:val="24"/>
        </w:rPr>
        <w:t>5</w:t>
      </w:r>
      <w:r w:rsidRPr="00A0029B">
        <w:rPr>
          <w:rFonts w:ascii="Arial" w:hAnsi="Arial" w:cs="Arial"/>
          <w:sz w:val="24"/>
          <w:szCs w:val="24"/>
        </w:rPr>
        <w:t xml:space="preserve"> and </w:t>
      </w:r>
      <w:r>
        <w:rPr>
          <w:rFonts w:ascii="Arial" w:hAnsi="Arial" w:cs="Arial"/>
          <w:sz w:val="24"/>
          <w:szCs w:val="24"/>
        </w:rPr>
        <w:t>6</w:t>
      </w:r>
      <w:r w:rsidRPr="00A0029B">
        <w:rPr>
          <w:rFonts w:ascii="Arial" w:hAnsi="Arial" w:cs="Arial"/>
          <w:sz w:val="24"/>
          <w:szCs w:val="24"/>
        </w:rPr>
        <w:t>)</w:t>
      </w:r>
      <w:r>
        <w:rPr>
          <w:rFonts w:ascii="Arial" w:hAnsi="Arial" w:cs="Arial"/>
          <w:sz w:val="24"/>
          <w:szCs w:val="24"/>
        </w:rPr>
        <w:t xml:space="preserve"> due to </w:t>
      </w:r>
      <w:r>
        <w:rPr>
          <w:rFonts w:ascii="Arial" w:hAnsi="Arial" w:cs="Arial"/>
          <w:sz w:val="24"/>
          <w:szCs w:val="24"/>
        </w:rPr>
        <w:lastRenderedPageBreak/>
        <w:t>expected reductions in noise from private vehicles and improvements to the public realm.</w:t>
      </w:r>
    </w:p>
    <w:p w14:paraId="5613C9DB" w14:textId="417D97FE" w:rsidR="000D3BFC" w:rsidRDefault="00D27AD1"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216100">
        <w:rPr>
          <w:rFonts w:ascii="Arial" w:hAnsi="Arial" w:cs="Arial"/>
          <w:sz w:val="24"/>
          <w:szCs w:val="24"/>
        </w:rPr>
        <w:t xml:space="preserve">There is the potential for negative environmental </w:t>
      </w:r>
      <w:r>
        <w:rPr>
          <w:rFonts w:ascii="Arial" w:hAnsi="Arial" w:cs="Arial"/>
          <w:sz w:val="24"/>
          <w:szCs w:val="24"/>
        </w:rPr>
        <w:t>effects</w:t>
      </w:r>
      <w:r w:rsidRPr="00216100">
        <w:rPr>
          <w:rFonts w:ascii="Arial" w:hAnsi="Arial" w:cs="Arial"/>
          <w:sz w:val="24"/>
          <w:szCs w:val="24"/>
        </w:rPr>
        <w:t xml:space="preserve"> during construction and operation, on </w:t>
      </w:r>
      <w:r w:rsidR="003C0DBF">
        <w:rPr>
          <w:rFonts w:ascii="Arial" w:hAnsi="Arial" w:cs="Arial"/>
          <w:sz w:val="24"/>
          <w:szCs w:val="24"/>
        </w:rPr>
        <w:t xml:space="preserve">natural resource usage, </w:t>
      </w:r>
      <w:r w:rsidR="003C0DBF" w:rsidRPr="003C0DBF">
        <w:rPr>
          <w:rFonts w:ascii="Arial" w:hAnsi="Arial" w:cs="Arial"/>
          <w:sz w:val="24"/>
          <w:szCs w:val="24"/>
        </w:rPr>
        <w:t xml:space="preserve">water environment, biodiversity, soil, cultural heritage and landscape and visual amenity (Objectives </w:t>
      </w:r>
      <w:r w:rsidR="003C0DBF">
        <w:rPr>
          <w:rFonts w:ascii="Arial" w:hAnsi="Arial" w:cs="Arial"/>
          <w:sz w:val="24"/>
          <w:szCs w:val="24"/>
        </w:rPr>
        <w:t xml:space="preserve">9 to </w:t>
      </w:r>
      <w:r w:rsidR="003C0DBF" w:rsidRPr="003C0DBF">
        <w:rPr>
          <w:rFonts w:ascii="Arial" w:hAnsi="Arial" w:cs="Arial"/>
          <w:sz w:val="24"/>
          <w:szCs w:val="24"/>
        </w:rPr>
        <w:t>14</w:t>
      </w:r>
      <w:r w:rsidR="003C0DBF">
        <w:rPr>
          <w:rFonts w:ascii="Arial" w:hAnsi="Arial" w:cs="Arial"/>
          <w:sz w:val="24"/>
          <w:szCs w:val="24"/>
        </w:rPr>
        <w:t>)</w:t>
      </w:r>
      <w:r w:rsidRPr="00216100">
        <w:rPr>
          <w:rFonts w:ascii="Arial" w:hAnsi="Arial" w:cs="Arial"/>
          <w:sz w:val="24"/>
          <w:szCs w:val="24"/>
        </w:rPr>
        <w:t>, depending on the design and location of the interventions.</w:t>
      </w:r>
    </w:p>
    <w:p w14:paraId="5033C813" w14:textId="4F4FACDD" w:rsidR="00D27AD1" w:rsidRDefault="000D3BFC"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As part of </w:t>
      </w:r>
      <w:r w:rsidR="009451F7">
        <w:rPr>
          <w:rFonts w:ascii="Arial" w:hAnsi="Arial" w:cs="Arial"/>
          <w:sz w:val="24"/>
          <w:szCs w:val="24"/>
        </w:rPr>
        <w:t>the</w:t>
      </w:r>
      <w:r>
        <w:rPr>
          <w:rFonts w:ascii="Arial" w:hAnsi="Arial" w:cs="Arial"/>
          <w:sz w:val="24"/>
          <w:szCs w:val="24"/>
        </w:rPr>
        <w:t xml:space="preserve"> delivery framework for mobility hubs, guidance would be </w:t>
      </w:r>
      <w:r w:rsidR="006C0120">
        <w:rPr>
          <w:rFonts w:ascii="Arial" w:hAnsi="Arial" w:cs="Arial"/>
          <w:sz w:val="24"/>
          <w:szCs w:val="24"/>
        </w:rPr>
        <w:t>expected</w:t>
      </w:r>
      <w:r>
        <w:rPr>
          <w:rFonts w:ascii="Arial" w:hAnsi="Arial" w:cs="Arial"/>
          <w:sz w:val="24"/>
          <w:szCs w:val="24"/>
        </w:rPr>
        <w:t xml:space="preserve"> on the potential need for</w:t>
      </w:r>
      <w:r w:rsidR="006C0120">
        <w:rPr>
          <w:rFonts w:ascii="Arial" w:hAnsi="Arial" w:cs="Arial"/>
          <w:sz w:val="24"/>
          <w:szCs w:val="24"/>
        </w:rPr>
        <w:t xml:space="preserve"> further</w:t>
      </w:r>
      <w:r>
        <w:rPr>
          <w:rFonts w:ascii="Arial" w:hAnsi="Arial" w:cs="Arial"/>
          <w:sz w:val="24"/>
          <w:szCs w:val="24"/>
        </w:rPr>
        <w:t xml:space="preserve"> environmental </w:t>
      </w:r>
      <w:r w:rsidR="006C0120">
        <w:rPr>
          <w:rFonts w:ascii="Arial" w:hAnsi="Arial" w:cs="Arial"/>
          <w:sz w:val="24"/>
          <w:szCs w:val="24"/>
        </w:rPr>
        <w:t>assessment</w:t>
      </w:r>
      <w:r w:rsidR="00F86F55">
        <w:rPr>
          <w:rFonts w:ascii="Arial" w:hAnsi="Arial" w:cs="Arial"/>
          <w:sz w:val="24"/>
          <w:szCs w:val="24"/>
        </w:rPr>
        <w:t xml:space="preserve"> to support the planning and implementation of different types of mobility hubs depending on their setting</w:t>
      </w:r>
      <w:r w:rsidR="006C0120">
        <w:rPr>
          <w:rFonts w:ascii="Arial" w:hAnsi="Arial" w:cs="Arial"/>
          <w:sz w:val="24"/>
          <w:szCs w:val="24"/>
        </w:rPr>
        <w:t>.</w:t>
      </w:r>
    </w:p>
    <w:p w14:paraId="17D7994D" w14:textId="209C2D18" w:rsidR="00920A95" w:rsidRDefault="00920A95"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00920A95">
        <w:rPr>
          <w:rFonts w:ascii="Arial" w:hAnsi="Arial" w:cs="Arial"/>
          <w:sz w:val="24"/>
          <w:szCs w:val="24"/>
        </w:rPr>
        <w:t>The recommendation is related to, but unlikely to have any effect on the achievement of SEA Objective 2 (climate adaptation) and is therefore considered neutral.</w:t>
      </w:r>
    </w:p>
    <w:p w14:paraId="6D8F61DB" w14:textId="77777777" w:rsidR="0075681B" w:rsidRPr="003C6186" w:rsidRDefault="0075681B" w:rsidP="00FA3F99">
      <w:pPr>
        <w:pBdr>
          <w:top w:val="single" w:sz="4" w:space="1" w:color="auto"/>
          <w:left w:val="single" w:sz="4" w:space="4" w:color="auto"/>
          <w:bottom w:val="single" w:sz="4" w:space="1" w:color="auto"/>
          <w:right w:val="single" w:sz="4" w:space="4" w:color="auto"/>
        </w:pBdr>
        <w:rPr>
          <w:rFonts w:ascii="Arial" w:hAnsi="Arial" w:cs="Arial"/>
          <w:sz w:val="24"/>
          <w:szCs w:val="24"/>
        </w:rPr>
      </w:pPr>
      <w:r w:rsidRPr="6424EB96">
        <w:rPr>
          <w:rFonts w:ascii="Arial" w:hAnsi="Arial" w:cs="Arial"/>
          <w:sz w:val="24"/>
          <w:szCs w:val="24"/>
        </w:rPr>
        <w:t xml:space="preserve">Overall, </w:t>
      </w:r>
      <w:r>
        <w:rPr>
          <w:rFonts w:ascii="Arial" w:hAnsi="Arial" w:cs="Arial"/>
          <w:sz w:val="24"/>
          <w:szCs w:val="24"/>
        </w:rPr>
        <w:t>this recommendation is expected to have a</w:t>
      </w:r>
      <w:r>
        <w:rPr>
          <w:rFonts w:ascii="Arial" w:eastAsia="Calibri" w:hAnsi="Arial" w:cs="Arial"/>
          <w:color w:val="000000" w:themeColor="text1"/>
          <w:sz w:val="24"/>
          <w:szCs w:val="24"/>
        </w:rPr>
        <w:t xml:space="preserve"> minor positive</w:t>
      </w:r>
      <w:r w:rsidRPr="6424EB96">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effect on this criterion in </w:t>
      </w:r>
      <w:r w:rsidRPr="6424EB96">
        <w:rPr>
          <w:rFonts w:ascii="Arial" w:hAnsi="Arial" w:cs="Arial"/>
          <w:sz w:val="24"/>
          <w:szCs w:val="24"/>
        </w:rPr>
        <w:t>both Low and High scenarios.</w:t>
      </w:r>
    </w:p>
    <w:p w14:paraId="30AA1069" w14:textId="77777777" w:rsidR="00D27AD1" w:rsidRPr="001C099A" w:rsidRDefault="00D27AD1" w:rsidP="00D02C4A">
      <w:pPr>
        <w:pStyle w:val="STPR2BodyText"/>
      </w:pPr>
    </w:p>
    <w:p w14:paraId="07445DBF" w14:textId="77777777" w:rsidR="00D27AD1" w:rsidRPr="001C099A" w:rsidRDefault="00D27AD1" w:rsidP="00FA3F99">
      <w:pPr>
        <w:pStyle w:val="STPR2Heading3"/>
        <w:pBdr>
          <w:left w:val="single" w:sz="4" w:space="4" w:color="auto"/>
          <w:right w:val="single" w:sz="4" w:space="4" w:color="auto"/>
        </w:pBdr>
        <w:shd w:val="clear" w:color="auto" w:fill="C9C9C9" w:themeFill="accent3" w:themeFillTint="99"/>
      </w:pPr>
      <w:r w:rsidRPr="001C099A">
        <w:t>2. Equalities Impact Assessment (</w:t>
      </w:r>
      <w:proofErr w:type="spellStart"/>
      <w:r w:rsidRPr="001C099A">
        <w:t>EqIA</w:t>
      </w:r>
      <w:proofErr w:type="spellEnd"/>
      <w:r w:rsidRPr="001C099A">
        <w:t>)</w:t>
      </w:r>
    </w:p>
    <w:p w14:paraId="64CD1471" w14:textId="77777777" w:rsidR="00D27AD1" w:rsidRPr="0055071E" w:rsidRDefault="00D27AD1" w:rsidP="00FA3F99">
      <w:pPr>
        <w:pBdr>
          <w:top w:val="single" w:sz="4" w:space="1" w:color="auto"/>
          <w:left w:val="single" w:sz="4" w:space="4" w:color="auto"/>
          <w:bottom w:val="single" w:sz="4" w:space="1" w:color="auto"/>
          <w:right w:val="single" w:sz="4" w:space="4" w:color="auto"/>
        </w:pBdr>
        <w:spacing w:after="120"/>
        <w:rPr>
          <w:rFonts w:ascii="Calibri" w:eastAsia="Yu Mincho" w:hAnsi="Calibri" w:cs="Arial"/>
          <w:sz w:val="24"/>
          <w:szCs w:val="24"/>
          <w:lang w:eastAsia="en-US"/>
        </w:rPr>
      </w:pPr>
      <w:r>
        <w:rPr>
          <w:noProof/>
        </w:rPr>
        <w:drawing>
          <wp:inline distT="0" distB="0" distL="0" distR="0" wp14:anchorId="6FE5BD16" wp14:editId="6B5AB731">
            <wp:extent cx="5759532" cy="676275"/>
            <wp:effectExtent l="0" t="0" r="0" b="0"/>
            <wp:docPr id="3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0">
                      <a:extLst>
                        <a:ext uri="{C183D7F6-B498-43B3-948B-1728B52AA6E4}">
                          <adec:decorative xmlns:adec="http://schemas.microsoft.com/office/drawing/2017/decorative" val="1"/>
                        </a:ext>
                      </a:extLst>
                    </pic:cNvPr>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64756" cy="676888"/>
                    </a:xfrm>
                    <a:prstGeom prst="rect">
                      <a:avLst/>
                    </a:prstGeom>
                    <a:noFill/>
                    <a:ln>
                      <a:noFill/>
                    </a:ln>
                  </pic:spPr>
                </pic:pic>
              </a:graphicData>
            </a:graphic>
          </wp:inline>
        </w:drawing>
      </w:r>
    </w:p>
    <w:p w14:paraId="2A962BC3"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rPr>
          <w:color w:val="auto"/>
          <w:lang w:eastAsia="en-US"/>
        </w:rPr>
      </w:pPr>
      <w:r w:rsidRPr="00F92528">
        <w:rPr>
          <w:color w:val="auto"/>
          <w:lang w:eastAsia="en-US"/>
        </w:rPr>
        <w:t>All users with protected characteristics could benefit from new facilities</w:t>
      </w:r>
      <w:r>
        <w:rPr>
          <w:color w:val="auto"/>
          <w:lang w:eastAsia="en-US"/>
        </w:rPr>
        <w:t xml:space="preserve"> associated with mobility hubs</w:t>
      </w:r>
      <w:r w:rsidRPr="00F92528">
        <w:rPr>
          <w:color w:val="auto"/>
          <w:lang w:eastAsia="en-US"/>
        </w:rPr>
        <w:t xml:space="preserve">, but there could be a specific beneficial impact from fewer barriers to travel for those with reduced mobility if improved interchange decreases the distance between public transport services and allows for step-free transfers. </w:t>
      </w:r>
    </w:p>
    <w:p w14:paraId="5E19A337" w14:textId="77777777" w:rsidR="00D27AD1" w:rsidRPr="00135F76" w:rsidRDefault="00D27AD1" w:rsidP="00FA3F99">
      <w:pPr>
        <w:pStyle w:val="STPR2BodyText"/>
        <w:pBdr>
          <w:top w:val="single" w:sz="4" w:space="1" w:color="auto"/>
          <w:left w:val="single" w:sz="4" w:space="4" w:color="auto"/>
          <w:bottom w:val="single" w:sz="4" w:space="1" w:color="auto"/>
          <w:right w:val="single" w:sz="4" w:space="4" w:color="auto"/>
        </w:pBdr>
        <w:rPr>
          <w:color w:val="auto"/>
          <w:lang w:eastAsia="en-US"/>
        </w:rPr>
      </w:pPr>
      <w:r w:rsidRPr="00135F76">
        <w:rPr>
          <w:color w:val="auto"/>
          <w:lang w:eastAsia="en-US"/>
        </w:rPr>
        <w:t>This recommendation is therefore expected to have a</w:t>
      </w:r>
      <w:r>
        <w:rPr>
          <w:color w:val="auto"/>
          <w:lang w:eastAsia="en-US"/>
        </w:rPr>
        <w:t xml:space="preserve"> minor</w:t>
      </w:r>
      <w:r w:rsidRPr="00135F76">
        <w:rPr>
          <w:color w:val="auto"/>
          <w:lang w:eastAsia="en-US"/>
        </w:rPr>
        <w:t xml:space="preserve"> positive impact on this criterion in both Low and High scenarios.</w:t>
      </w:r>
    </w:p>
    <w:p w14:paraId="18976AD8" w14:textId="6740A723" w:rsidR="00D27AD1" w:rsidRDefault="00D27AD1">
      <w:pPr>
        <w:rPr>
          <w:rFonts w:ascii="Arial" w:hAnsi="Arial" w:cs="Arial"/>
          <w:color w:val="000000" w:themeColor="text1"/>
          <w:sz w:val="24"/>
          <w:szCs w:val="24"/>
          <w:highlight w:val="yellow"/>
          <w:lang w:eastAsia="en-US"/>
        </w:rPr>
      </w:pPr>
    </w:p>
    <w:p w14:paraId="03EAAF99" w14:textId="77777777" w:rsidR="00D27AD1" w:rsidRPr="00135F76" w:rsidRDefault="00D27AD1" w:rsidP="00FA3F99">
      <w:pPr>
        <w:pStyle w:val="STPR2Heading3"/>
        <w:pBdr>
          <w:left w:val="single" w:sz="4" w:space="4" w:color="auto"/>
          <w:right w:val="single" w:sz="4" w:space="4" w:color="auto"/>
        </w:pBdr>
        <w:shd w:val="clear" w:color="auto" w:fill="C9C9C9" w:themeFill="accent3" w:themeFillTint="99"/>
      </w:pPr>
      <w:r w:rsidRPr="00135F76">
        <w:t>3. Island Communities Impact Assessment (ICIA)</w:t>
      </w:r>
    </w:p>
    <w:p w14:paraId="5D5F2CDD" w14:textId="75B6A1C3" w:rsidR="00D27AD1" w:rsidRDefault="003477C9" w:rsidP="00FA3F99">
      <w:pPr>
        <w:pStyle w:val="STPR2BodyText"/>
        <w:pBdr>
          <w:top w:val="single" w:sz="4" w:space="1" w:color="auto"/>
          <w:left w:val="single" w:sz="4" w:space="4" w:color="auto"/>
          <w:bottom w:val="single" w:sz="4" w:space="1" w:color="auto"/>
          <w:right w:val="single" w:sz="4" w:space="4" w:color="auto"/>
        </w:pBdr>
        <w:spacing w:after="120"/>
      </w:pPr>
      <w:r>
        <w:rPr>
          <w:noProof/>
        </w:rPr>
        <w:drawing>
          <wp:inline distT="0" distB="0" distL="0" distR="0" wp14:anchorId="427E565E" wp14:editId="1B25F4BF">
            <wp:extent cx="5759450" cy="676275"/>
            <wp:effectExtent l="0" t="0" r="0" b="9525"/>
            <wp:docPr id="2"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0">
                      <a:extLst>
                        <a:ext uri="{C183D7F6-B498-43B3-948B-1728B52AA6E4}">
                          <adec:decorative xmlns:adec="http://schemas.microsoft.com/office/drawing/2017/decorative" val="1"/>
                        </a:ext>
                      </a:extLst>
                    </pic:cNvPr>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64671" cy="676888"/>
                    </a:xfrm>
                    <a:prstGeom prst="rect">
                      <a:avLst/>
                    </a:prstGeom>
                    <a:noFill/>
                    <a:ln>
                      <a:noFill/>
                    </a:ln>
                  </pic:spPr>
                </pic:pic>
              </a:graphicData>
            </a:graphic>
          </wp:inline>
        </w:drawing>
      </w:r>
    </w:p>
    <w:p w14:paraId="2749018A" w14:textId="331FA412" w:rsidR="00D27AD1" w:rsidRDefault="00D27AD1" w:rsidP="00FA3F99">
      <w:pPr>
        <w:pStyle w:val="STPR2BodyText"/>
        <w:pBdr>
          <w:top w:val="single" w:sz="4" w:space="1" w:color="auto"/>
          <w:left w:val="single" w:sz="4" w:space="4" w:color="auto"/>
          <w:bottom w:val="single" w:sz="4" w:space="1" w:color="auto"/>
          <w:right w:val="single" w:sz="4" w:space="4" w:color="auto"/>
        </w:pBdr>
        <w:spacing w:after="120"/>
        <w:rPr>
          <w:rStyle w:val="normaltextrun"/>
          <w:color w:val="000000"/>
          <w:shd w:val="clear" w:color="auto" w:fill="E1F0CC"/>
        </w:rPr>
      </w:pPr>
      <w:r w:rsidRPr="00DC6CAB">
        <w:rPr>
          <w:rStyle w:val="normaltextrun"/>
          <w:color w:val="000000"/>
          <w:shd w:val="clear" w:color="auto" w:fill="FFFFFF" w:themeFill="background1"/>
        </w:rPr>
        <w:t>This recommendation is not considered directly or indirectly relevant to island communities</w:t>
      </w:r>
      <w:r w:rsidR="008D2F44">
        <w:rPr>
          <w:rStyle w:val="normaltextrun"/>
          <w:color w:val="000000"/>
          <w:shd w:val="clear" w:color="auto" w:fill="FFFFFF" w:themeFill="background1"/>
        </w:rPr>
        <w:t>,</w:t>
      </w:r>
      <w:r w:rsidRPr="00DC6CAB">
        <w:rPr>
          <w:rStyle w:val="normaltextrun"/>
          <w:color w:val="000000"/>
          <w:shd w:val="clear" w:color="auto" w:fill="FFFFFF" w:themeFill="background1"/>
        </w:rPr>
        <w:t xml:space="preserve"> although there may be indirect benefits for those travelling from islands to the mainland when using mobility hubs elsewhere on the transport network, such as rail stations or ferry terminal</w:t>
      </w:r>
      <w:r>
        <w:rPr>
          <w:rStyle w:val="normaltextrun"/>
          <w:color w:val="000000"/>
          <w:shd w:val="clear" w:color="auto" w:fill="FFFFFF" w:themeFill="background1"/>
        </w:rPr>
        <w:t>s.</w:t>
      </w:r>
      <w:r>
        <w:rPr>
          <w:rStyle w:val="normaltextrun"/>
          <w:color w:val="000000"/>
          <w:shd w:val="clear" w:color="auto" w:fill="E1F0CC"/>
        </w:rPr>
        <w:t xml:space="preserve"> </w:t>
      </w:r>
    </w:p>
    <w:p w14:paraId="36CCCA26"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spacing w:after="120"/>
      </w:pPr>
      <w:r>
        <w:t xml:space="preserve">This recommendation is therefore expected to have a neutral impact </w:t>
      </w:r>
      <w:r w:rsidR="0075681B">
        <w:t xml:space="preserve">on </w:t>
      </w:r>
      <w:r>
        <w:t>this criterion in both Low and High scenarios.</w:t>
      </w:r>
    </w:p>
    <w:p w14:paraId="6973E46D" w14:textId="77777777" w:rsidR="00D27AD1" w:rsidRPr="003C6186" w:rsidRDefault="00D27AD1" w:rsidP="00FB4A7D">
      <w:pPr>
        <w:pStyle w:val="STPR2BodyText"/>
        <w:rPr>
          <w:highlight w:val="yellow"/>
        </w:rPr>
      </w:pPr>
    </w:p>
    <w:p w14:paraId="1E0F1486" w14:textId="77777777" w:rsidR="00D27AD1" w:rsidRPr="00135F76" w:rsidRDefault="00D27AD1" w:rsidP="00FA3F99">
      <w:pPr>
        <w:pStyle w:val="STPR2Heading3"/>
        <w:pBdr>
          <w:left w:val="single" w:sz="4" w:space="4" w:color="auto"/>
          <w:right w:val="single" w:sz="4" w:space="4" w:color="auto"/>
        </w:pBdr>
        <w:shd w:val="clear" w:color="auto" w:fill="C9C9C9" w:themeFill="accent3" w:themeFillTint="99"/>
      </w:pPr>
      <w:r w:rsidRPr="00135F76">
        <w:t>4. Children’s Rights and Wellbeing Impact Assessment (CRWIA)</w:t>
      </w:r>
    </w:p>
    <w:p w14:paraId="439313E0" w14:textId="77777777" w:rsidR="00D27AD1" w:rsidRPr="00C34A9C" w:rsidRDefault="00D27AD1" w:rsidP="00FA3F99">
      <w:pPr>
        <w:pStyle w:val="STPR2BodyText"/>
        <w:pBdr>
          <w:top w:val="single" w:sz="4" w:space="1" w:color="auto"/>
          <w:left w:val="single" w:sz="4" w:space="4" w:color="auto"/>
          <w:bottom w:val="single" w:sz="4" w:space="1" w:color="auto"/>
          <w:right w:val="single" w:sz="4" w:space="4" w:color="auto"/>
        </w:pBdr>
        <w:rPr>
          <w:rFonts w:eastAsia="Yu Mincho"/>
        </w:rPr>
      </w:pPr>
      <w:r>
        <w:rPr>
          <w:noProof/>
        </w:rPr>
        <w:drawing>
          <wp:inline distT="0" distB="0" distL="0" distR="0" wp14:anchorId="61ADED8C" wp14:editId="231D24E9">
            <wp:extent cx="5735782" cy="676275"/>
            <wp:effectExtent l="0" t="0" r="0" b="0"/>
            <wp:docPr id="3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0">
                      <a:extLst>
                        <a:ext uri="{C183D7F6-B498-43B3-948B-1728B52AA6E4}">
                          <adec:decorative xmlns:adec="http://schemas.microsoft.com/office/drawing/2017/decorative" val="1"/>
                        </a:ext>
                      </a:extLst>
                    </pic:cNvPr>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40007" cy="676773"/>
                    </a:xfrm>
                    <a:prstGeom prst="rect">
                      <a:avLst/>
                    </a:prstGeom>
                    <a:noFill/>
                    <a:ln>
                      <a:noFill/>
                    </a:ln>
                  </pic:spPr>
                </pic:pic>
              </a:graphicData>
            </a:graphic>
          </wp:inline>
        </w:drawing>
      </w:r>
    </w:p>
    <w:p w14:paraId="7C6E3EE1" w14:textId="77777777" w:rsidR="00D27AD1" w:rsidRDefault="00D27AD1" w:rsidP="00FA3F99">
      <w:pPr>
        <w:pStyle w:val="STPR2BodyText"/>
        <w:pBdr>
          <w:top w:val="single" w:sz="4" w:space="1" w:color="auto"/>
          <w:left w:val="single" w:sz="4" w:space="4" w:color="auto"/>
          <w:bottom w:val="single" w:sz="4" w:space="1" w:color="auto"/>
          <w:right w:val="single" w:sz="4" w:space="4" w:color="auto"/>
        </w:pBdr>
      </w:pPr>
      <w:r>
        <w:t xml:space="preserve">While this </w:t>
      </w:r>
      <w:r w:rsidRPr="00B26BB6">
        <w:t xml:space="preserve">recommendation </w:t>
      </w:r>
      <w:r>
        <w:t>is not targeted directly at children and young people, mobility hubs could have a beneficial impact for them, given that those under 17 are not able to drive and improved interchange associated with mobility hubs could increase the attractiveness of public transport. In addition, where interchange brings services closer together, this could improve personal safety and security by reducing the distance walked, the provision of CCTV</w:t>
      </w:r>
      <w:r w:rsidR="00156591">
        <w:t xml:space="preserve"> and ambient safety associated with increased people using the mobility hub</w:t>
      </w:r>
      <w:r>
        <w:t xml:space="preserve">. </w:t>
      </w:r>
      <w:r w:rsidR="005E79E1">
        <w:t xml:space="preserve"> </w:t>
      </w:r>
    </w:p>
    <w:p w14:paraId="78FBFA5C" w14:textId="77777777" w:rsidR="00D27AD1" w:rsidRPr="00C34A9C" w:rsidRDefault="00D27AD1" w:rsidP="00FA3F99">
      <w:pPr>
        <w:pStyle w:val="STPR2BodyText"/>
        <w:pBdr>
          <w:top w:val="single" w:sz="4" w:space="1" w:color="auto"/>
          <w:left w:val="single" w:sz="4" w:space="4" w:color="auto"/>
          <w:bottom w:val="single" w:sz="4" w:space="1" w:color="auto"/>
          <w:right w:val="single" w:sz="4" w:space="4" w:color="auto"/>
        </w:pBdr>
      </w:pPr>
      <w:r w:rsidRPr="00C34A9C">
        <w:t>This recommendation is therefore expected to have a</w:t>
      </w:r>
      <w:r>
        <w:t xml:space="preserve"> minor</w:t>
      </w:r>
      <w:r w:rsidRPr="00C34A9C">
        <w:t xml:space="preserve"> positive impact on this criterion in both Low and High scenarios.</w:t>
      </w:r>
    </w:p>
    <w:p w14:paraId="75C08165" w14:textId="77777777" w:rsidR="00D27AD1" w:rsidRPr="003C6186" w:rsidRDefault="00D27AD1" w:rsidP="006651BE">
      <w:pPr>
        <w:pStyle w:val="STPR2BodyText"/>
        <w:rPr>
          <w:highlight w:val="yellow"/>
        </w:rPr>
      </w:pPr>
    </w:p>
    <w:p w14:paraId="75310822" w14:textId="77777777" w:rsidR="00D27AD1" w:rsidRPr="002F5D98" w:rsidRDefault="00D27AD1" w:rsidP="00FA3F99">
      <w:pPr>
        <w:pStyle w:val="STPR2Heading3"/>
        <w:pBdr>
          <w:left w:val="single" w:sz="4" w:space="4" w:color="auto"/>
          <w:right w:val="single" w:sz="4" w:space="4" w:color="auto"/>
        </w:pBdr>
        <w:shd w:val="clear" w:color="auto" w:fill="C9C9C9" w:themeFill="accent3" w:themeFillTint="99"/>
      </w:pPr>
      <w:r w:rsidRPr="002F5D98">
        <w:t>5. Fairer Scotland Duty</w:t>
      </w:r>
      <w:r w:rsidRPr="002F5D98" w:rsidDel="006456DC">
        <w:t xml:space="preserve"> </w:t>
      </w:r>
      <w:r w:rsidRPr="002F5D98">
        <w:t xml:space="preserve">Assessment (FSDA) </w:t>
      </w:r>
    </w:p>
    <w:p w14:paraId="7511F7B6" w14:textId="77777777" w:rsidR="00D27AD1" w:rsidRPr="00295B92" w:rsidRDefault="00D27AD1" w:rsidP="00FA3F99">
      <w:pPr>
        <w:pStyle w:val="STPR2BodyText"/>
        <w:pBdr>
          <w:top w:val="single" w:sz="4" w:space="1" w:color="auto"/>
          <w:left w:val="single" w:sz="4" w:space="4" w:color="auto"/>
          <w:bottom w:val="single" w:sz="4" w:space="1" w:color="auto"/>
          <w:right w:val="single" w:sz="4" w:space="4" w:color="auto"/>
        </w:pBdr>
        <w:rPr>
          <w:rFonts w:eastAsia="Yu Mincho"/>
        </w:rPr>
      </w:pPr>
      <w:r>
        <w:rPr>
          <w:noProof/>
        </w:rPr>
        <w:drawing>
          <wp:inline distT="0" distB="0" distL="0" distR="0" wp14:anchorId="6CA1ED75" wp14:editId="22DC3FC4">
            <wp:extent cx="5735320" cy="676275"/>
            <wp:effectExtent l="0" t="0" r="0" b="9525"/>
            <wp:docPr id="3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0">
                      <a:extLst>
                        <a:ext uri="{C183D7F6-B498-43B3-948B-1728B52AA6E4}">
                          <adec:decorative xmlns:adec="http://schemas.microsoft.com/office/drawing/2017/decorative" val="1"/>
                        </a:ext>
                      </a:extLst>
                    </pic:cNvPr>
                    <pic:cNvPicPr/>
                  </pic:nvPicPr>
                  <pic:blipFill>
                    <a:blip r:embed="rId37">
                      <a:extLst>
                        <a:ext uri="{28A0092B-C50C-407E-A947-70E740481C1C}">
                          <a14:useLocalDpi xmlns:a14="http://schemas.microsoft.com/office/drawing/2010/main" val="0"/>
                        </a:ext>
                      </a:extLst>
                    </a:blip>
                    <a:stretch>
                      <a:fillRect/>
                    </a:stretch>
                  </pic:blipFill>
                  <pic:spPr bwMode="auto">
                    <a:xfrm>
                      <a:off x="0" y="0"/>
                      <a:ext cx="5740909" cy="676934"/>
                    </a:xfrm>
                    <a:prstGeom prst="rect">
                      <a:avLst/>
                    </a:prstGeom>
                    <a:noFill/>
                    <a:ln>
                      <a:noFill/>
                    </a:ln>
                  </pic:spPr>
                </pic:pic>
              </a:graphicData>
            </a:graphic>
          </wp:inline>
        </w:drawing>
      </w:r>
    </w:p>
    <w:p w14:paraId="4D58E898" w14:textId="295E90DF" w:rsidR="00D27AD1" w:rsidRDefault="00D27AD1" w:rsidP="00FA3F99">
      <w:pPr>
        <w:pStyle w:val="STPR2BodyText"/>
        <w:pBdr>
          <w:top w:val="single" w:sz="4" w:space="1" w:color="auto"/>
          <w:left w:val="single" w:sz="4" w:space="4" w:color="auto"/>
          <w:bottom w:val="single" w:sz="4" w:space="1" w:color="auto"/>
          <w:right w:val="single" w:sz="4" w:space="4" w:color="auto"/>
        </w:pBdr>
      </w:pPr>
      <w:r>
        <w:t xml:space="preserve">Mobility hubs could provide </w:t>
      </w:r>
      <w:r w:rsidRPr="005F6ECB">
        <w:t>a beneficial impact on</w:t>
      </w:r>
      <w:r>
        <w:t xml:space="preserve"> reducing</w:t>
      </w:r>
      <w:r w:rsidRPr="005F6ECB">
        <w:t xml:space="preserve"> inequality. The </w:t>
      </w:r>
      <w:hyperlink r:id="rId42" w:history="1">
        <w:r w:rsidRPr="001E347D">
          <w:rPr>
            <w:rStyle w:val="Hyperlink"/>
          </w:rPr>
          <w:t>2019 Scottish Household Survey</w:t>
        </w:r>
      </w:hyperlink>
      <w:r w:rsidR="004C5459">
        <w:rPr>
          <w:vertAlign w:val="superscript"/>
        </w:rPr>
        <w:t xml:space="preserve"> </w:t>
      </w:r>
      <w:r w:rsidRPr="005F6ECB">
        <w:t xml:space="preserve"> indicated that 48% of the most deprived households (Scottish Index of Multiple Deprivation quintile 1) do not have access to a car, so actions taken to reduce the disbenefits associated with public transport interchange could help to improve accessibility to employment, education, healthcare</w:t>
      </w:r>
      <w:r>
        <w:t>,</w:t>
      </w:r>
      <w:r w:rsidRPr="005F6ECB">
        <w:t xml:space="preserve"> and leisure activities for those most in need.</w:t>
      </w:r>
      <w:r>
        <w:t xml:space="preserve"> </w:t>
      </w:r>
    </w:p>
    <w:p w14:paraId="361C8036" w14:textId="77777777" w:rsidR="00D2209C" w:rsidRDefault="00D27AD1" w:rsidP="00FA3F99">
      <w:pPr>
        <w:pStyle w:val="STPR2BodyText"/>
        <w:pBdr>
          <w:top w:val="single" w:sz="4" w:space="1" w:color="auto"/>
          <w:left w:val="single" w:sz="4" w:space="4" w:color="auto"/>
          <w:bottom w:val="single" w:sz="4" w:space="1" w:color="auto"/>
          <w:right w:val="single" w:sz="4" w:space="4" w:color="auto"/>
        </w:pBdr>
      </w:pPr>
      <w:r w:rsidRPr="002F5D98">
        <w:t>This recommendation is therefore expected to have a m</w:t>
      </w:r>
      <w:r>
        <w:t>in</w:t>
      </w:r>
      <w:r w:rsidRPr="002F5D98">
        <w:t xml:space="preserve">or positive impact on </w:t>
      </w:r>
      <w:r w:rsidR="0075681B">
        <w:t>this criterion</w:t>
      </w:r>
      <w:r w:rsidR="0075681B" w:rsidRPr="002F5D98">
        <w:t xml:space="preserve"> </w:t>
      </w:r>
      <w:r w:rsidR="0075681B" w:rsidRPr="00C34A9C">
        <w:t>in both Low and High scenarios.</w:t>
      </w:r>
    </w:p>
    <w:p w14:paraId="7F954CD7" w14:textId="082D8CA8" w:rsidR="005F5CFC" w:rsidRDefault="005F5CFC" w:rsidP="004C5459">
      <w:pPr>
        <w:pStyle w:val="STPR2Heading1"/>
        <w:numPr>
          <w:ilvl w:val="0"/>
          <w:numId w:val="0"/>
        </w:numPr>
      </w:pPr>
    </w:p>
    <w:sectPr w:rsidR="005F5CFC" w:rsidSect="00735DFF">
      <w:headerReference w:type="default"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0D26" w14:textId="77777777" w:rsidR="00B40B0B" w:rsidRDefault="00B40B0B" w:rsidP="009475F2">
      <w:pPr>
        <w:spacing w:after="0" w:line="240" w:lineRule="auto"/>
      </w:pPr>
      <w:r>
        <w:separator/>
      </w:r>
    </w:p>
  </w:endnote>
  <w:endnote w:type="continuationSeparator" w:id="0">
    <w:p w14:paraId="287D08FD" w14:textId="77777777" w:rsidR="00B40B0B" w:rsidRDefault="00B40B0B" w:rsidP="009475F2">
      <w:pPr>
        <w:spacing w:after="0" w:line="240" w:lineRule="auto"/>
      </w:pPr>
      <w:r>
        <w:continuationSeparator/>
      </w:r>
    </w:p>
  </w:endnote>
  <w:endnote w:type="continuationNotice" w:id="1">
    <w:p w14:paraId="126F86AA" w14:textId="77777777" w:rsidR="00B40B0B" w:rsidRDefault="00B40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cobs Chronos">
    <w:charset w:val="00"/>
    <w:family w:val="swiss"/>
    <w:pitch w:val="variable"/>
    <w:sig w:usb0="A00000EF" w:usb1="0000E0EB" w:usb2="00000008"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8D5AD9" w14:paraId="258D41CF" w14:textId="77777777" w:rsidTr="00417B9E">
      <w:tc>
        <w:tcPr>
          <w:tcW w:w="4111" w:type="dxa"/>
        </w:tcPr>
        <w:p w14:paraId="0A124273" w14:textId="77777777" w:rsidR="008D5AD9" w:rsidRPr="00984B20" w:rsidRDefault="008D5AD9" w:rsidP="00417B9E">
          <w:pPr>
            <w:pStyle w:val="Footer"/>
          </w:pPr>
        </w:p>
      </w:tc>
      <w:tc>
        <w:tcPr>
          <w:tcW w:w="5069" w:type="dxa"/>
          <w:vAlign w:val="center"/>
        </w:tcPr>
        <w:p w14:paraId="798BDD09" w14:textId="77777777" w:rsidR="008D5AD9" w:rsidRDefault="008D5AD9" w:rsidP="00417B9E">
          <w:pPr>
            <w:pStyle w:val="Footer"/>
            <w:jc w:val="center"/>
          </w:pPr>
        </w:p>
      </w:tc>
      <w:tc>
        <w:tcPr>
          <w:tcW w:w="4241" w:type="dxa"/>
          <w:vAlign w:val="center"/>
        </w:tcPr>
        <w:p w14:paraId="05ABA95E" w14:textId="77777777" w:rsidR="008D5AD9" w:rsidRDefault="008D5AD9" w:rsidP="00417B9E">
          <w:pPr>
            <w:pStyle w:val="Footer"/>
            <w:jc w:val="right"/>
          </w:pPr>
        </w:p>
      </w:tc>
    </w:tr>
    <w:tr w:rsidR="008D5AD9" w14:paraId="5B311DC9" w14:textId="77777777" w:rsidTr="00417B9E">
      <w:tc>
        <w:tcPr>
          <w:tcW w:w="4111" w:type="dxa"/>
        </w:tcPr>
        <w:p w14:paraId="372260B1" w14:textId="77777777" w:rsidR="008D5AD9" w:rsidRPr="00984B20" w:rsidRDefault="008D5AD9" w:rsidP="00417B9E">
          <w:pPr>
            <w:pStyle w:val="Footer"/>
          </w:pPr>
          <w:r w:rsidRPr="00984B20">
            <w:t>Strategic Transport Projects Review (STPR2) Consultancy Support Services Contract</w:t>
          </w:r>
        </w:p>
      </w:tc>
      <w:tc>
        <w:tcPr>
          <w:tcW w:w="5069" w:type="dxa"/>
        </w:tcPr>
        <w:p w14:paraId="3CE42C82" w14:textId="77777777" w:rsidR="008D5AD9" w:rsidRDefault="008D5AD9" w:rsidP="00417B9E">
          <w:pPr>
            <w:pStyle w:val="Footer"/>
            <w:jc w:val="center"/>
          </w:pPr>
          <w:r>
            <w:fldChar w:fldCharType="begin"/>
          </w:r>
          <w:r>
            <w:instrText xml:space="preserve"> PAGE   \* MERGEFORMAT </w:instrText>
          </w:r>
          <w:r>
            <w:fldChar w:fldCharType="separate"/>
          </w:r>
          <w:r w:rsidR="0019287A">
            <w:rPr>
              <w:noProof/>
            </w:rPr>
            <w:t>4</w:t>
          </w:r>
          <w:r>
            <w:fldChar w:fldCharType="end"/>
          </w:r>
        </w:p>
      </w:tc>
      <w:tc>
        <w:tcPr>
          <w:tcW w:w="4241" w:type="dxa"/>
        </w:tcPr>
        <w:p w14:paraId="188C58A3" w14:textId="77777777" w:rsidR="008D5AD9" w:rsidRDefault="008D5AD9" w:rsidP="00417B9E">
          <w:pPr>
            <w:pStyle w:val="Footer"/>
            <w:jc w:val="right"/>
          </w:pPr>
          <w:r>
            <w:rPr>
              <w:noProof/>
            </w:rPr>
            <w:drawing>
              <wp:inline distT="0" distB="0" distL="0" distR="0" wp14:anchorId="579F8EE1" wp14:editId="1F39422E">
                <wp:extent cx="1620003" cy="1800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0650872F" w14:textId="77777777" w:rsidR="008D5AD9" w:rsidRPr="00AC7FD5" w:rsidRDefault="008D5AD9"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BD41E" w14:textId="77777777" w:rsidR="00B40B0B" w:rsidRDefault="00B40B0B" w:rsidP="009475F2">
      <w:pPr>
        <w:spacing w:after="0" w:line="240" w:lineRule="auto"/>
      </w:pPr>
      <w:r>
        <w:separator/>
      </w:r>
    </w:p>
  </w:footnote>
  <w:footnote w:type="continuationSeparator" w:id="0">
    <w:p w14:paraId="620162C0" w14:textId="77777777" w:rsidR="00B40B0B" w:rsidRDefault="00B40B0B" w:rsidP="009475F2">
      <w:pPr>
        <w:spacing w:after="0" w:line="240" w:lineRule="auto"/>
      </w:pPr>
      <w:r>
        <w:continuationSeparator/>
      </w:r>
    </w:p>
  </w:footnote>
  <w:footnote w:type="continuationNotice" w:id="1">
    <w:p w14:paraId="415F9895" w14:textId="77777777" w:rsidR="00B40B0B" w:rsidRDefault="00B40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B2FD" w14:textId="77777777" w:rsidR="00D27AD1" w:rsidRDefault="00D27AD1" w:rsidP="00417B9E">
    <w:pPr>
      <w:pStyle w:val="Header"/>
    </w:pPr>
    <w:r>
      <w:rPr>
        <w:noProof/>
      </w:rPr>
      <w:drawing>
        <wp:anchor distT="0" distB="0" distL="114300" distR="114300" simplePos="0" relativeHeight="251658240" behindDoc="1" locked="0" layoutInCell="1" allowOverlap="1" wp14:anchorId="52FEA60F" wp14:editId="0E3578AD">
          <wp:simplePos x="0" y="0"/>
          <wp:positionH relativeFrom="page">
            <wp:align>left</wp:align>
          </wp:positionH>
          <wp:positionV relativeFrom="paragraph">
            <wp:posOffset>-309448</wp:posOffset>
          </wp:positionV>
          <wp:extent cx="7559998" cy="10691763"/>
          <wp:effectExtent l="0" t="0" r="317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F33E0D" w14:paraId="54BD081F" w14:textId="77777777" w:rsidTr="00417B9E">
      <w:tc>
        <w:tcPr>
          <w:tcW w:w="6418" w:type="dxa"/>
          <w:vAlign w:val="center"/>
        </w:tcPr>
        <w:p w14:paraId="28E55E6C" w14:textId="77777777" w:rsidR="00F33E0D" w:rsidRPr="00AC7FD5" w:rsidRDefault="00F33E0D" w:rsidP="00417B9E">
          <w:pPr>
            <w:pStyle w:val="Header"/>
            <w:ind w:left="-103"/>
          </w:pPr>
          <w:r>
            <w:t>Appendix I: Appraisal Summary Table – Recommendation 22 Framework for the delivery of mobility hubs</w:t>
          </w:r>
        </w:p>
      </w:tc>
      <w:tc>
        <w:tcPr>
          <w:tcW w:w="3210" w:type="dxa"/>
        </w:tcPr>
        <w:p w14:paraId="0264166D" w14:textId="77777777" w:rsidR="00F33E0D" w:rsidRDefault="00F33E0D" w:rsidP="00417B9E">
          <w:pPr>
            <w:pStyle w:val="Header"/>
            <w:jc w:val="right"/>
          </w:pPr>
          <w:r>
            <w:rPr>
              <w:noProof/>
            </w:rPr>
            <w:drawing>
              <wp:inline distT="0" distB="0" distL="0" distR="0" wp14:anchorId="1A7F0344" wp14:editId="15AD1242">
                <wp:extent cx="1519801" cy="685800"/>
                <wp:effectExtent l="0" t="0" r="4445"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2ED73C3" w14:textId="77777777" w:rsidR="00F33E0D" w:rsidRPr="00AC7FD5" w:rsidRDefault="00F33E0D"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12452F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1458F200"/>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F4CC2D0"/>
    <w:lvl w:ilvl="0">
      <w:start w:val="1"/>
      <w:numFmt w:val="decimal"/>
      <w:pStyle w:val="ListNumber"/>
      <w:lvlText w:val="%1."/>
      <w:lvlJc w:val="left"/>
      <w:pPr>
        <w:tabs>
          <w:tab w:val="num" w:pos="360"/>
        </w:tabs>
        <w:ind w:left="360" w:hanging="360"/>
      </w:pPr>
    </w:lvl>
  </w:abstractNum>
  <w:abstractNum w:abstractNumId="3" w15:restartNumberingAfterBreak="0">
    <w:nsid w:val="029C4534"/>
    <w:multiLevelType w:val="multilevel"/>
    <w:tmpl w:val="53764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11101"/>
    <w:multiLevelType w:val="hybridMultilevel"/>
    <w:tmpl w:val="078E46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52535"/>
    <w:multiLevelType w:val="hybridMultilevel"/>
    <w:tmpl w:val="66F41B3A"/>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993DB0"/>
    <w:multiLevelType w:val="multilevel"/>
    <w:tmpl w:val="AE00A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E446FD"/>
    <w:multiLevelType w:val="hybridMultilevel"/>
    <w:tmpl w:val="1FB846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2765A8"/>
    <w:multiLevelType w:val="hybridMultilevel"/>
    <w:tmpl w:val="E988B72A"/>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E5820"/>
    <w:multiLevelType w:val="hybridMultilevel"/>
    <w:tmpl w:val="FC90B1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675D2"/>
    <w:multiLevelType w:val="multilevel"/>
    <w:tmpl w:val="97FC2A5E"/>
    <w:lvl w:ilvl="0">
      <w:start w:val="1"/>
      <w:numFmt w:val="decimal"/>
      <w:lvlText w:val="%1."/>
      <w:lvlJc w:val="left"/>
      <w:pPr>
        <w:ind w:left="360" w:hanging="360"/>
      </w:pPr>
      <w:rPr>
        <w:rFonts w:hint="default"/>
        <w:sz w:val="36"/>
        <w:szCs w:val="36"/>
      </w:rPr>
    </w:lvl>
    <w:lvl w:ilvl="1">
      <w:start w:val="1"/>
      <w:numFmt w:val="decimal"/>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332482"/>
    <w:multiLevelType w:val="hybridMultilevel"/>
    <w:tmpl w:val="9670BF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A7087F"/>
    <w:multiLevelType w:val="hybridMultilevel"/>
    <w:tmpl w:val="65E813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7260B"/>
    <w:multiLevelType w:val="hybridMultilevel"/>
    <w:tmpl w:val="7A6AD0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7F1203"/>
    <w:multiLevelType w:val="hybridMultilevel"/>
    <w:tmpl w:val="BB42825E"/>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822BD"/>
    <w:multiLevelType w:val="multilevel"/>
    <w:tmpl w:val="BFA4A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356183"/>
    <w:multiLevelType w:val="hybridMultilevel"/>
    <w:tmpl w:val="494EA3BC"/>
    <w:lvl w:ilvl="0" w:tplc="08090005">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2D5096"/>
    <w:multiLevelType w:val="hybridMultilevel"/>
    <w:tmpl w:val="A8788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17251C"/>
    <w:multiLevelType w:val="multilevel"/>
    <w:tmpl w:val="4C64E600"/>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60646F"/>
    <w:multiLevelType w:val="hybridMultilevel"/>
    <w:tmpl w:val="6232AF74"/>
    <w:lvl w:ilvl="0" w:tplc="08090005">
      <w:start w:val="1"/>
      <w:numFmt w:val="bullet"/>
      <w:lvlText w:val=""/>
      <w:lvlJc w:val="left"/>
      <w:pPr>
        <w:tabs>
          <w:tab w:val="num" w:pos="360"/>
        </w:tabs>
        <w:ind w:left="360" w:hanging="360"/>
      </w:pPr>
      <w:rPr>
        <w:rFonts w:ascii="Wingdings" w:hAnsi="Wingdings" w:hint="default"/>
      </w:rPr>
    </w:lvl>
    <w:lvl w:ilvl="1" w:tplc="5E7C2B76">
      <w:start w:val="1"/>
      <w:numFmt w:val="bullet"/>
      <w:lvlText w:val="•"/>
      <w:lvlJc w:val="left"/>
      <w:pPr>
        <w:tabs>
          <w:tab w:val="num" w:pos="1080"/>
        </w:tabs>
        <w:ind w:left="1080" w:hanging="360"/>
      </w:pPr>
      <w:rPr>
        <w:rFonts w:ascii="Arial" w:hAnsi="Arial" w:hint="default"/>
      </w:rPr>
    </w:lvl>
    <w:lvl w:ilvl="2" w:tplc="DA2A10F0" w:tentative="1">
      <w:start w:val="1"/>
      <w:numFmt w:val="bullet"/>
      <w:lvlText w:val="•"/>
      <w:lvlJc w:val="left"/>
      <w:pPr>
        <w:tabs>
          <w:tab w:val="num" w:pos="1800"/>
        </w:tabs>
        <w:ind w:left="1800" w:hanging="360"/>
      </w:pPr>
      <w:rPr>
        <w:rFonts w:ascii="Arial" w:hAnsi="Arial" w:hint="default"/>
      </w:rPr>
    </w:lvl>
    <w:lvl w:ilvl="3" w:tplc="0512E702" w:tentative="1">
      <w:start w:val="1"/>
      <w:numFmt w:val="bullet"/>
      <w:lvlText w:val="•"/>
      <w:lvlJc w:val="left"/>
      <w:pPr>
        <w:tabs>
          <w:tab w:val="num" w:pos="2520"/>
        </w:tabs>
        <w:ind w:left="2520" w:hanging="360"/>
      </w:pPr>
      <w:rPr>
        <w:rFonts w:ascii="Arial" w:hAnsi="Arial" w:hint="default"/>
      </w:rPr>
    </w:lvl>
    <w:lvl w:ilvl="4" w:tplc="E0F6FD04" w:tentative="1">
      <w:start w:val="1"/>
      <w:numFmt w:val="bullet"/>
      <w:lvlText w:val="•"/>
      <w:lvlJc w:val="left"/>
      <w:pPr>
        <w:tabs>
          <w:tab w:val="num" w:pos="3240"/>
        </w:tabs>
        <w:ind w:left="3240" w:hanging="360"/>
      </w:pPr>
      <w:rPr>
        <w:rFonts w:ascii="Arial" w:hAnsi="Arial" w:hint="default"/>
      </w:rPr>
    </w:lvl>
    <w:lvl w:ilvl="5" w:tplc="21504D8C" w:tentative="1">
      <w:start w:val="1"/>
      <w:numFmt w:val="bullet"/>
      <w:lvlText w:val="•"/>
      <w:lvlJc w:val="left"/>
      <w:pPr>
        <w:tabs>
          <w:tab w:val="num" w:pos="3960"/>
        </w:tabs>
        <w:ind w:left="3960" w:hanging="360"/>
      </w:pPr>
      <w:rPr>
        <w:rFonts w:ascii="Arial" w:hAnsi="Arial" w:hint="default"/>
      </w:rPr>
    </w:lvl>
    <w:lvl w:ilvl="6" w:tplc="5686E062" w:tentative="1">
      <w:start w:val="1"/>
      <w:numFmt w:val="bullet"/>
      <w:lvlText w:val="•"/>
      <w:lvlJc w:val="left"/>
      <w:pPr>
        <w:tabs>
          <w:tab w:val="num" w:pos="4680"/>
        </w:tabs>
        <w:ind w:left="4680" w:hanging="360"/>
      </w:pPr>
      <w:rPr>
        <w:rFonts w:ascii="Arial" w:hAnsi="Arial" w:hint="default"/>
      </w:rPr>
    </w:lvl>
    <w:lvl w:ilvl="7" w:tplc="A0FC512E" w:tentative="1">
      <w:start w:val="1"/>
      <w:numFmt w:val="bullet"/>
      <w:lvlText w:val="•"/>
      <w:lvlJc w:val="left"/>
      <w:pPr>
        <w:tabs>
          <w:tab w:val="num" w:pos="5400"/>
        </w:tabs>
        <w:ind w:left="5400" w:hanging="360"/>
      </w:pPr>
      <w:rPr>
        <w:rFonts w:ascii="Arial" w:hAnsi="Arial" w:hint="default"/>
      </w:rPr>
    </w:lvl>
    <w:lvl w:ilvl="8" w:tplc="E494B68A"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E5A641A"/>
    <w:multiLevelType w:val="hybridMultilevel"/>
    <w:tmpl w:val="28464AFE"/>
    <w:lvl w:ilvl="0" w:tplc="AAE6C2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03EFF"/>
    <w:multiLevelType w:val="hybridMultilevel"/>
    <w:tmpl w:val="3DA42864"/>
    <w:lvl w:ilvl="0" w:tplc="5626612C">
      <w:numFmt w:val="bullet"/>
      <w:lvlText w:val="-"/>
      <w:lvlJc w:val="left"/>
      <w:pPr>
        <w:ind w:left="720" w:hanging="360"/>
      </w:pPr>
      <w:rPr>
        <w:rFonts w:ascii="Jacobs Chronos" w:eastAsiaTheme="minorHAnsi" w:hAnsi="Jacobs Chronos" w:cs="Jacobs Chron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B748E8"/>
    <w:multiLevelType w:val="multilevel"/>
    <w:tmpl w:val="5F721432"/>
    <w:lvl w:ilvl="0">
      <w:start w:val="1"/>
      <w:numFmt w:val="bullet"/>
      <w:lvlText w:val="•"/>
      <w:lvlJc w:val="left"/>
      <w:pPr>
        <w:tabs>
          <w:tab w:val="num" w:pos="720"/>
        </w:tabs>
        <w:ind w:left="720" w:hanging="360"/>
      </w:pPr>
      <w:rPr>
        <w:rFonts w:ascii="Arial" w:hAnsi="Aria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lvlText w:val="─"/>
      <w:lvlJc w:val="left"/>
      <w:pPr>
        <w:tabs>
          <w:tab w:val="num" w:pos="851"/>
        </w:tabs>
        <w:ind w:left="850" w:hanging="425"/>
      </w:pPr>
      <w:rPr>
        <w:rFonts w:ascii="Wingdings" w:hAnsi="Wingdings" w:hint="default"/>
        <w:color w:val="auto"/>
      </w:rPr>
    </w:lvl>
    <w:lvl w:ilvl="2" w:tplc="08365C56">
      <w:start w:val="1"/>
      <w:numFmt w:val="bullet"/>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30" w15:restartNumberingAfterBreak="0">
    <w:nsid w:val="70583C81"/>
    <w:multiLevelType w:val="multilevel"/>
    <w:tmpl w:val="BB843A26"/>
    <w:lvl w:ilvl="0">
      <w:start w:val="1"/>
      <w:numFmt w:val="bullet"/>
      <w:lvlText w:val=""/>
      <w:lvlJc w:val="left"/>
      <w:pPr>
        <w:ind w:left="360" w:hanging="360"/>
      </w:pPr>
      <w:rPr>
        <w:rFonts w:ascii="Wingdings" w:hAnsi="Wingdings" w:hint="default"/>
        <w:sz w:val="36"/>
        <w:szCs w:val="36"/>
      </w:rPr>
    </w:lvl>
    <w:lvl w:ilvl="1">
      <w:start w:val="1"/>
      <w:numFmt w:val="decimal"/>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B3531"/>
    <w:multiLevelType w:val="hybridMultilevel"/>
    <w:tmpl w:val="88E074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961CC9"/>
    <w:multiLevelType w:val="hybridMultilevel"/>
    <w:tmpl w:val="12E65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29"/>
  </w:num>
  <w:num w:numId="4">
    <w:abstractNumId w:val="11"/>
  </w:num>
  <w:num w:numId="5">
    <w:abstractNumId w:val="26"/>
  </w:num>
  <w:num w:numId="6">
    <w:abstractNumId w:val="9"/>
  </w:num>
  <w:num w:numId="7">
    <w:abstractNumId w:val="19"/>
  </w:num>
  <w:num w:numId="8">
    <w:abstractNumId w:val="2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30"/>
  </w:num>
  <w:num w:numId="23">
    <w:abstractNumId w:val="21"/>
  </w:num>
  <w:num w:numId="24">
    <w:abstractNumId w:val="27"/>
  </w:num>
  <w:num w:numId="25">
    <w:abstractNumId w:val="13"/>
  </w:num>
  <w:num w:numId="26">
    <w:abstractNumId w:val="17"/>
  </w:num>
  <w:num w:numId="27">
    <w:abstractNumId w:val="28"/>
  </w:num>
  <w:num w:numId="28">
    <w:abstractNumId w:val="22"/>
  </w:num>
  <w:num w:numId="29">
    <w:abstractNumId w:val="22"/>
  </w:num>
  <w:num w:numId="30">
    <w:abstractNumId w:val="12"/>
  </w:num>
  <w:num w:numId="31">
    <w:abstractNumId w:val="14"/>
  </w:num>
  <w:num w:numId="32">
    <w:abstractNumId w:val="25"/>
  </w:num>
  <w:num w:numId="33">
    <w:abstractNumId w:val="5"/>
  </w:num>
  <w:num w:numId="34">
    <w:abstractNumId w:val="24"/>
  </w:num>
  <w:num w:numId="35">
    <w:abstractNumId w:val="8"/>
  </w:num>
  <w:num w:numId="36">
    <w:abstractNumId w:val="10"/>
  </w:num>
  <w:num w:numId="37">
    <w:abstractNumId w:val="3"/>
  </w:num>
  <w:num w:numId="38">
    <w:abstractNumId w:val="16"/>
  </w:num>
  <w:num w:numId="39">
    <w:abstractNumId w:val="4"/>
  </w:num>
  <w:num w:numId="40">
    <w:abstractNumId w:val="31"/>
  </w:num>
  <w:num w:numId="41">
    <w:abstractNumId w:val="15"/>
  </w:num>
  <w:num w:numId="42">
    <w:abstractNumId w:val="32"/>
  </w:num>
  <w:num w:numId="43">
    <w:abstractNumId w:val="7"/>
  </w:num>
  <w:num w:numId="44">
    <w:abstractNumId w:val="2"/>
  </w:num>
  <w:num w:numId="45">
    <w:abstractNumId w:val="1"/>
  </w:num>
  <w:num w:numId="46">
    <w:abstractNumId w:val="0"/>
  </w:num>
  <w:num w:numId="47">
    <w:abstractNumId w:val="17"/>
  </w:num>
  <w:num w:numId="48">
    <w:abstractNumId w:val="20"/>
  </w:num>
  <w:num w:numId="49">
    <w:abstractNumId w:val="18"/>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2D8"/>
    <w:rsid w:val="000004E7"/>
    <w:rsid w:val="00000C5B"/>
    <w:rsid w:val="00001A11"/>
    <w:rsid w:val="0000245A"/>
    <w:rsid w:val="00002A6E"/>
    <w:rsid w:val="000030DB"/>
    <w:rsid w:val="000031C7"/>
    <w:rsid w:val="000036E2"/>
    <w:rsid w:val="00004794"/>
    <w:rsid w:val="00005C2E"/>
    <w:rsid w:val="000061F1"/>
    <w:rsid w:val="00006539"/>
    <w:rsid w:val="00006827"/>
    <w:rsid w:val="00006960"/>
    <w:rsid w:val="00007250"/>
    <w:rsid w:val="0000794E"/>
    <w:rsid w:val="00010407"/>
    <w:rsid w:val="0001147F"/>
    <w:rsid w:val="00012BF3"/>
    <w:rsid w:val="00013243"/>
    <w:rsid w:val="000134AF"/>
    <w:rsid w:val="000136F8"/>
    <w:rsid w:val="00013868"/>
    <w:rsid w:val="000144D0"/>
    <w:rsid w:val="0001458A"/>
    <w:rsid w:val="0001555E"/>
    <w:rsid w:val="000162F9"/>
    <w:rsid w:val="0001639D"/>
    <w:rsid w:val="000171EC"/>
    <w:rsid w:val="00017B7E"/>
    <w:rsid w:val="00021B80"/>
    <w:rsid w:val="00022213"/>
    <w:rsid w:val="000236AE"/>
    <w:rsid w:val="00025198"/>
    <w:rsid w:val="000260BB"/>
    <w:rsid w:val="00026D09"/>
    <w:rsid w:val="00027022"/>
    <w:rsid w:val="00027253"/>
    <w:rsid w:val="0002754D"/>
    <w:rsid w:val="00030549"/>
    <w:rsid w:val="00031064"/>
    <w:rsid w:val="00031CA5"/>
    <w:rsid w:val="00033F6E"/>
    <w:rsid w:val="00034B07"/>
    <w:rsid w:val="00034DA0"/>
    <w:rsid w:val="00035359"/>
    <w:rsid w:val="000357CB"/>
    <w:rsid w:val="0003668A"/>
    <w:rsid w:val="00036B7F"/>
    <w:rsid w:val="00036F3F"/>
    <w:rsid w:val="00037374"/>
    <w:rsid w:val="00037865"/>
    <w:rsid w:val="00037972"/>
    <w:rsid w:val="00037D86"/>
    <w:rsid w:val="0004031D"/>
    <w:rsid w:val="000416F7"/>
    <w:rsid w:val="00041E53"/>
    <w:rsid w:val="00045712"/>
    <w:rsid w:val="000459B8"/>
    <w:rsid w:val="00045A8D"/>
    <w:rsid w:val="00045BEA"/>
    <w:rsid w:val="000475B9"/>
    <w:rsid w:val="0004791D"/>
    <w:rsid w:val="00047C82"/>
    <w:rsid w:val="0005085C"/>
    <w:rsid w:val="00051BBA"/>
    <w:rsid w:val="00051E5F"/>
    <w:rsid w:val="0005345B"/>
    <w:rsid w:val="00054D31"/>
    <w:rsid w:val="00055EE6"/>
    <w:rsid w:val="00057522"/>
    <w:rsid w:val="00060337"/>
    <w:rsid w:val="00060E66"/>
    <w:rsid w:val="000619AA"/>
    <w:rsid w:val="00061C5D"/>
    <w:rsid w:val="00061F3E"/>
    <w:rsid w:val="000621E7"/>
    <w:rsid w:val="000628F3"/>
    <w:rsid w:val="000634E1"/>
    <w:rsid w:val="00063507"/>
    <w:rsid w:val="000642D6"/>
    <w:rsid w:val="0006512C"/>
    <w:rsid w:val="00065BEE"/>
    <w:rsid w:val="00066180"/>
    <w:rsid w:val="00066B06"/>
    <w:rsid w:val="000674D8"/>
    <w:rsid w:val="00067D26"/>
    <w:rsid w:val="00071AFF"/>
    <w:rsid w:val="00072634"/>
    <w:rsid w:val="00073570"/>
    <w:rsid w:val="00073EF5"/>
    <w:rsid w:val="00075317"/>
    <w:rsid w:val="0007597B"/>
    <w:rsid w:val="00075C01"/>
    <w:rsid w:val="0007647B"/>
    <w:rsid w:val="000775E5"/>
    <w:rsid w:val="00077CDD"/>
    <w:rsid w:val="00077F35"/>
    <w:rsid w:val="000807C9"/>
    <w:rsid w:val="0008135E"/>
    <w:rsid w:val="00081427"/>
    <w:rsid w:val="00081E15"/>
    <w:rsid w:val="00081F1F"/>
    <w:rsid w:val="0008203F"/>
    <w:rsid w:val="00082A6C"/>
    <w:rsid w:val="00082AD5"/>
    <w:rsid w:val="00083045"/>
    <w:rsid w:val="000845E8"/>
    <w:rsid w:val="000848C9"/>
    <w:rsid w:val="00084B54"/>
    <w:rsid w:val="0008572C"/>
    <w:rsid w:val="00085760"/>
    <w:rsid w:val="00091A52"/>
    <w:rsid w:val="0009219F"/>
    <w:rsid w:val="0009270D"/>
    <w:rsid w:val="00093473"/>
    <w:rsid w:val="000947E5"/>
    <w:rsid w:val="00094B06"/>
    <w:rsid w:val="00094D9E"/>
    <w:rsid w:val="00094DF8"/>
    <w:rsid w:val="000974BA"/>
    <w:rsid w:val="000A1688"/>
    <w:rsid w:val="000A1FE6"/>
    <w:rsid w:val="000A28BF"/>
    <w:rsid w:val="000A32EC"/>
    <w:rsid w:val="000A54ED"/>
    <w:rsid w:val="000A55A4"/>
    <w:rsid w:val="000A55B0"/>
    <w:rsid w:val="000A7A47"/>
    <w:rsid w:val="000B1806"/>
    <w:rsid w:val="000B1BFF"/>
    <w:rsid w:val="000B4A85"/>
    <w:rsid w:val="000B5CD9"/>
    <w:rsid w:val="000B5DE0"/>
    <w:rsid w:val="000B6E05"/>
    <w:rsid w:val="000B7433"/>
    <w:rsid w:val="000B77B0"/>
    <w:rsid w:val="000B7CB2"/>
    <w:rsid w:val="000C081C"/>
    <w:rsid w:val="000C1AD5"/>
    <w:rsid w:val="000C2E11"/>
    <w:rsid w:val="000C446E"/>
    <w:rsid w:val="000C4AF0"/>
    <w:rsid w:val="000C4BE4"/>
    <w:rsid w:val="000C558A"/>
    <w:rsid w:val="000C71F4"/>
    <w:rsid w:val="000D063A"/>
    <w:rsid w:val="000D06C2"/>
    <w:rsid w:val="000D0802"/>
    <w:rsid w:val="000D0DA1"/>
    <w:rsid w:val="000D0EFC"/>
    <w:rsid w:val="000D12B4"/>
    <w:rsid w:val="000D168A"/>
    <w:rsid w:val="000D3148"/>
    <w:rsid w:val="000D3BFC"/>
    <w:rsid w:val="000D4D2B"/>
    <w:rsid w:val="000D6B8E"/>
    <w:rsid w:val="000E1C69"/>
    <w:rsid w:val="000E24EB"/>
    <w:rsid w:val="000E491E"/>
    <w:rsid w:val="000E4AC8"/>
    <w:rsid w:val="000E5E43"/>
    <w:rsid w:val="000E6640"/>
    <w:rsid w:val="000E7348"/>
    <w:rsid w:val="000F1570"/>
    <w:rsid w:val="000F1968"/>
    <w:rsid w:val="000F2A4E"/>
    <w:rsid w:val="000F34DD"/>
    <w:rsid w:val="000F47B9"/>
    <w:rsid w:val="000F5995"/>
    <w:rsid w:val="000F5B0B"/>
    <w:rsid w:val="000F5C9D"/>
    <w:rsid w:val="000F66BE"/>
    <w:rsid w:val="000F6DAA"/>
    <w:rsid w:val="000F7149"/>
    <w:rsid w:val="000F793B"/>
    <w:rsid w:val="00100398"/>
    <w:rsid w:val="00100F1D"/>
    <w:rsid w:val="00101D53"/>
    <w:rsid w:val="001039FC"/>
    <w:rsid w:val="00104BFE"/>
    <w:rsid w:val="00107116"/>
    <w:rsid w:val="00107138"/>
    <w:rsid w:val="0010720F"/>
    <w:rsid w:val="0010761D"/>
    <w:rsid w:val="0010790B"/>
    <w:rsid w:val="00107935"/>
    <w:rsid w:val="00110802"/>
    <w:rsid w:val="001109A5"/>
    <w:rsid w:val="00111230"/>
    <w:rsid w:val="00111374"/>
    <w:rsid w:val="00111685"/>
    <w:rsid w:val="0011286E"/>
    <w:rsid w:val="00112DE7"/>
    <w:rsid w:val="001171D5"/>
    <w:rsid w:val="00121FBE"/>
    <w:rsid w:val="001221B2"/>
    <w:rsid w:val="00123DFC"/>
    <w:rsid w:val="00124665"/>
    <w:rsid w:val="00124C78"/>
    <w:rsid w:val="001257C4"/>
    <w:rsid w:val="00127A56"/>
    <w:rsid w:val="001307AD"/>
    <w:rsid w:val="00130B5B"/>
    <w:rsid w:val="001327FB"/>
    <w:rsid w:val="00133741"/>
    <w:rsid w:val="00134117"/>
    <w:rsid w:val="00135BA9"/>
    <w:rsid w:val="00135F08"/>
    <w:rsid w:val="00135F76"/>
    <w:rsid w:val="00135F88"/>
    <w:rsid w:val="00136367"/>
    <w:rsid w:val="00136996"/>
    <w:rsid w:val="00140DB4"/>
    <w:rsid w:val="00141D27"/>
    <w:rsid w:val="00142441"/>
    <w:rsid w:val="00142FFF"/>
    <w:rsid w:val="00143157"/>
    <w:rsid w:val="00143C90"/>
    <w:rsid w:val="001440AF"/>
    <w:rsid w:val="001445F7"/>
    <w:rsid w:val="00146AF2"/>
    <w:rsid w:val="00147047"/>
    <w:rsid w:val="001472DD"/>
    <w:rsid w:val="001509AA"/>
    <w:rsid w:val="00150B3C"/>
    <w:rsid w:val="00151B25"/>
    <w:rsid w:val="00152161"/>
    <w:rsid w:val="00153781"/>
    <w:rsid w:val="0015433A"/>
    <w:rsid w:val="001556E5"/>
    <w:rsid w:val="00156591"/>
    <w:rsid w:val="00157491"/>
    <w:rsid w:val="00157AD0"/>
    <w:rsid w:val="00157FFA"/>
    <w:rsid w:val="00162453"/>
    <w:rsid w:val="00162EDC"/>
    <w:rsid w:val="00162FB5"/>
    <w:rsid w:val="00163196"/>
    <w:rsid w:val="00166507"/>
    <w:rsid w:val="001665E3"/>
    <w:rsid w:val="0016767C"/>
    <w:rsid w:val="00167839"/>
    <w:rsid w:val="00167ED4"/>
    <w:rsid w:val="00170404"/>
    <w:rsid w:val="001720B9"/>
    <w:rsid w:val="00172883"/>
    <w:rsid w:val="00173FDC"/>
    <w:rsid w:val="0017498C"/>
    <w:rsid w:val="00174DDB"/>
    <w:rsid w:val="00175334"/>
    <w:rsid w:val="001759A9"/>
    <w:rsid w:val="00176498"/>
    <w:rsid w:val="001771F6"/>
    <w:rsid w:val="00180AFB"/>
    <w:rsid w:val="00182970"/>
    <w:rsid w:val="00183247"/>
    <w:rsid w:val="00183E35"/>
    <w:rsid w:val="00184172"/>
    <w:rsid w:val="001851C9"/>
    <w:rsid w:val="00186C5A"/>
    <w:rsid w:val="001904CC"/>
    <w:rsid w:val="001910C4"/>
    <w:rsid w:val="0019176B"/>
    <w:rsid w:val="00191974"/>
    <w:rsid w:val="00191A1E"/>
    <w:rsid w:val="0019287A"/>
    <w:rsid w:val="00193F42"/>
    <w:rsid w:val="0019506C"/>
    <w:rsid w:val="00196341"/>
    <w:rsid w:val="00196795"/>
    <w:rsid w:val="001A0F41"/>
    <w:rsid w:val="001A1371"/>
    <w:rsid w:val="001A1991"/>
    <w:rsid w:val="001A2029"/>
    <w:rsid w:val="001A252F"/>
    <w:rsid w:val="001A2712"/>
    <w:rsid w:val="001A27A2"/>
    <w:rsid w:val="001A2D41"/>
    <w:rsid w:val="001A410E"/>
    <w:rsid w:val="001A4121"/>
    <w:rsid w:val="001A4EC9"/>
    <w:rsid w:val="001A5463"/>
    <w:rsid w:val="001A5813"/>
    <w:rsid w:val="001A6B60"/>
    <w:rsid w:val="001A7F5C"/>
    <w:rsid w:val="001B05E0"/>
    <w:rsid w:val="001B18F9"/>
    <w:rsid w:val="001B27C7"/>
    <w:rsid w:val="001B3A87"/>
    <w:rsid w:val="001B4C3B"/>
    <w:rsid w:val="001B4E2C"/>
    <w:rsid w:val="001B4FB1"/>
    <w:rsid w:val="001B5316"/>
    <w:rsid w:val="001B6998"/>
    <w:rsid w:val="001B69B5"/>
    <w:rsid w:val="001B6FF0"/>
    <w:rsid w:val="001B772F"/>
    <w:rsid w:val="001C099A"/>
    <w:rsid w:val="001C0F21"/>
    <w:rsid w:val="001C166A"/>
    <w:rsid w:val="001C2B68"/>
    <w:rsid w:val="001C38F7"/>
    <w:rsid w:val="001C391A"/>
    <w:rsid w:val="001C43FF"/>
    <w:rsid w:val="001C49F3"/>
    <w:rsid w:val="001C576F"/>
    <w:rsid w:val="001C5DD5"/>
    <w:rsid w:val="001C63D5"/>
    <w:rsid w:val="001C7155"/>
    <w:rsid w:val="001C7AB7"/>
    <w:rsid w:val="001D22A4"/>
    <w:rsid w:val="001D2448"/>
    <w:rsid w:val="001D301F"/>
    <w:rsid w:val="001D39C5"/>
    <w:rsid w:val="001D3C37"/>
    <w:rsid w:val="001D408B"/>
    <w:rsid w:val="001D459B"/>
    <w:rsid w:val="001D5A27"/>
    <w:rsid w:val="001D5ACB"/>
    <w:rsid w:val="001D62DF"/>
    <w:rsid w:val="001D69A4"/>
    <w:rsid w:val="001D77C1"/>
    <w:rsid w:val="001D7845"/>
    <w:rsid w:val="001D78F2"/>
    <w:rsid w:val="001D7E2F"/>
    <w:rsid w:val="001E0412"/>
    <w:rsid w:val="001E0CD0"/>
    <w:rsid w:val="001E30D4"/>
    <w:rsid w:val="001E347D"/>
    <w:rsid w:val="001E71AA"/>
    <w:rsid w:val="001E755B"/>
    <w:rsid w:val="001E7E21"/>
    <w:rsid w:val="001E7EA1"/>
    <w:rsid w:val="001F1601"/>
    <w:rsid w:val="001F1A71"/>
    <w:rsid w:val="001F3218"/>
    <w:rsid w:val="001F38BD"/>
    <w:rsid w:val="001F58FF"/>
    <w:rsid w:val="001F7356"/>
    <w:rsid w:val="00200104"/>
    <w:rsid w:val="00200B2F"/>
    <w:rsid w:val="002012A5"/>
    <w:rsid w:val="00201F11"/>
    <w:rsid w:val="0020234C"/>
    <w:rsid w:val="0020235E"/>
    <w:rsid w:val="002023F8"/>
    <w:rsid w:val="00204EBD"/>
    <w:rsid w:val="002055E9"/>
    <w:rsid w:val="002063B8"/>
    <w:rsid w:val="00206E88"/>
    <w:rsid w:val="002074A3"/>
    <w:rsid w:val="00212A7B"/>
    <w:rsid w:val="00213B98"/>
    <w:rsid w:val="002144BD"/>
    <w:rsid w:val="00215BE1"/>
    <w:rsid w:val="00216100"/>
    <w:rsid w:val="0021692D"/>
    <w:rsid w:val="00217062"/>
    <w:rsid w:val="0022091A"/>
    <w:rsid w:val="00222B5E"/>
    <w:rsid w:val="002233C9"/>
    <w:rsid w:val="0022349E"/>
    <w:rsid w:val="0022629B"/>
    <w:rsid w:val="00230717"/>
    <w:rsid w:val="00231351"/>
    <w:rsid w:val="002333C3"/>
    <w:rsid w:val="00234115"/>
    <w:rsid w:val="00234F0A"/>
    <w:rsid w:val="00236E76"/>
    <w:rsid w:val="00236F1D"/>
    <w:rsid w:val="00237A44"/>
    <w:rsid w:val="002404A9"/>
    <w:rsid w:val="002407AC"/>
    <w:rsid w:val="0024137A"/>
    <w:rsid w:val="002431AC"/>
    <w:rsid w:val="00244E64"/>
    <w:rsid w:val="002466C7"/>
    <w:rsid w:val="002476F1"/>
    <w:rsid w:val="002477C8"/>
    <w:rsid w:val="00247F93"/>
    <w:rsid w:val="00253B3E"/>
    <w:rsid w:val="00254FB0"/>
    <w:rsid w:val="00255157"/>
    <w:rsid w:val="002551C0"/>
    <w:rsid w:val="0025603F"/>
    <w:rsid w:val="002576BF"/>
    <w:rsid w:val="00257C09"/>
    <w:rsid w:val="00260F41"/>
    <w:rsid w:val="002614D7"/>
    <w:rsid w:val="00262D0C"/>
    <w:rsid w:val="002644CE"/>
    <w:rsid w:val="002646CA"/>
    <w:rsid w:val="00264AA4"/>
    <w:rsid w:val="002658DD"/>
    <w:rsid w:val="00265E3C"/>
    <w:rsid w:val="0026607D"/>
    <w:rsid w:val="00266CC2"/>
    <w:rsid w:val="00270051"/>
    <w:rsid w:val="00270585"/>
    <w:rsid w:val="00270F21"/>
    <w:rsid w:val="00270FD4"/>
    <w:rsid w:val="00273A7A"/>
    <w:rsid w:val="00273CAB"/>
    <w:rsid w:val="00275E81"/>
    <w:rsid w:val="0027635C"/>
    <w:rsid w:val="00276790"/>
    <w:rsid w:val="002771ED"/>
    <w:rsid w:val="0027792B"/>
    <w:rsid w:val="002814D7"/>
    <w:rsid w:val="002823AB"/>
    <w:rsid w:val="00282BAD"/>
    <w:rsid w:val="00282F9A"/>
    <w:rsid w:val="00283631"/>
    <w:rsid w:val="0028384B"/>
    <w:rsid w:val="002846A4"/>
    <w:rsid w:val="0028472B"/>
    <w:rsid w:val="00284B9D"/>
    <w:rsid w:val="0029446F"/>
    <w:rsid w:val="002947A1"/>
    <w:rsid w:val="002955C2"/>
    <w:rsid w:val="00295769"/>
    <w:rsid w:val="00295979"/>
    <w:rsid w:val="002959DB"/>
    <w:rsid w:val="00295B92"/>
    <w:rsid w:val="00295D9D"/>
    <w:rsid w:val="00296BCC"/>
    <w:rsid w:val="002A0993"/>
    <w:rsid w:val="002A185C"/>
    <w:rsid w:val="002A1D52"/>
    <w:rsid w:val="002A2A66"/>
    <w:rsid w:val="002A5ED2"/>
    <w:rsid w:val="002A61B2"/>
    <w:rsid w:val="002A7209"/>
    <w:rsid w:val="002B0056"/>
    <w:rsid w:val="002B0A04"/>
    <w:rsid w:val="002B2EFC"/>
    <w:rsid w:val="002B2F41"/>
    <w:rsid w:val="002B3EE6"/>
    <w:rsid w:val="002B41CB"/>
    <w:rsid w:val="002B4D00"/>
    <w:rsid w:val="002B607A"/>
    <w:rsid w:val="002B7F24"/>
    <w:rsid w:val="002C1573"/>
    <w:rsid w:val="002C1678"/>
    <w:rsid w:val="002C1EAA"/>
    <w:rsid w:val="002C273C"/>
    <w:rsid w:val="002C2C7B"/>
    <w:rsid w:val="002C30E2"/>
    <w:rsid w:val="002C3F29"/>
    <w:rsid w:val="002C43E4"/>
    <w:rsid w:val="002C4E3E"/>
    <w:rsid w:val="002C6713"/>
    <w:rsid w:val="002C6CEC"/>
    <w:rsid w:val="002C6E6B"/>
    <w:rsid w:val="002C74D9"/>
    <w:rsid w:val="002D0262"/>
    <w:rsid w:val="002D02EB"/>
    <w:rsid w:val="002D0DB9"/>
    <w:rsid w:val="002D1797"/>
    <w:rsid w:val="002D1E2B"/>
    <w:rsid w:val="002D2916"/>
    <w:rsid w:val="002D3A22"/>
    <w:rsid w:val="002D3BFF"/>
    <w:rsid w:val="002D4439"/>
    <w:rsid w:val="002D4947"/>
    <w:rsid w:val="002D4A2C"/>
    <w:rsid w:val="002D4D3C"/>
    <w:rsid w:val="002D5A6A"/>
    <w:rsid w:val="002D5F68"/>
    <w:rsid w:val="002D6D5A"/>
    <w:rsid w:val="002D7946"/>
    <w:rsid w:val="002E0709"/>
    <w:rsid w:val="002E0F3C"/>
    <w:rsid w:val="002E1AA5"/>
    <w:rsid w:val="002E2560"/>
    <w:rsid w:val="002E4B37"/>
    <w:rsid w:val="002E5291"/>
    <w:rsid w:val="002E6778"/>
    <w:rsid w:val="002E7A6E"/>
    <w:rsid w:val="002F18CF"/>
    <w:rsid w:val="002F193A"/>
    <w:rsid w:val="002F44AD"/>
    <w:rsid w:val="002F47E6"/>
    <w:rsid w:val="002F5878"/>
    <w:rsid w:val="002F5D98"/>
    <w:rsid w:val="0030008E"/>
    <w:rsid w:val="00301195"/>
    <w:rsid w:val="003029ED"/>
    <w:rsid w:val="00303C4D"/>
    <w:rsid w:val="003052CA"/>
    <w:rsid w:val="003060E6"/>
    <w:rsid w:val="0030610B"/>
    <w:rsid w:val="0030621E"/>
    <w:rsid w:val="00306DE9"/>
    <w:rsid w:val="0031124E"/>
    <w:rsid w:val="0031278A"/>
    <w:rsid w:val="0031624D"/>
    <w:rsid w:val="00316294"/>
    <w:rsid w:val="00316AA8"/>
    <w:rsid w:val="00316C42"/>
    <w:rsid w:val="003174EC"/>
    <w:rsid w:val="00317704"/>
    <w:rsid w:val="0032036F"/>
    <w:rsid w:val="003203EB"/>
    <w:rsid w:val="00322410"/>
    <w:rsid w:val="00323843"/>
    <w:rsid w:val="0032429A"/>
    <w:rsid w:val="00324A14"/>
    <w:rsid w:val="00325609"/>
    <w:rsid w:val="00325680"/>
    <w:rsid w:val="00326833"/>
    <w:rsid w:val="003273B0"/>
    <w:rsid w:val="00330ADF"/>
    <w:rsid w:val="00331120"/>
    <w:rsid w:val="00331480"/>
    <w:rsid w:val="003318E9"/>
    <w:rsid w:val="00331B41"/>
    <w:rsid w:val="003328E3"/>
    <w:rsid w:val="00332988"/>
    <w:rsid w:val="00334062"/>
    <w:rsid w:val="00334F3A"/>
    <w:rsid w:val="003360A0"/>
    <w:rsid w:val="00341A29"/>
    <w:rsid w:val="003426FE"/>
    <w:rsid w:val="00343F56"/>
    <w:rsid w:val="003446BC"/>
    <w:rsid w:val="00345489"/>
    <w:rsid w:val="00345DCF"/>
    <w:rsid w:val="003463BB"/>
    <w:rsid w:val="00346C47"/>
    <w:rsid w:val="00346D43"/>
    <w:rsid w:val="003471AD"/>
    <w:rsid w:val="003477C9"/>
    <w:rsid w:val="00347806"/>
    <w:rsid w:val="0034798F"/>
    <w:rsid w:val="00347BE7"/>
    <w:rsid w:val="00351882"/>
    <w:rsid w:val="003523AA"/>
    <w:rsid w:val="00353185"/>
    <w:rsid w:val="0035395D"/>
    <w:rsid w:val="00353B8E"/>
    <w:rsid w:val="003540BF"/>
    <w:rsid w:val="00354FC7"/>
    <w:rsid w:val="00355391"/>
    <w:rsid w:val="00355FFF"/>
    <w:rsid w:val="003565FB"/>
    <w:rsid w:val="003606CD"/>
    <w:rsid w:val="0036099D"/>
    <w:rsid w:val="003629F7"/>
    <w:rsid w:val="003631C6"/>
    <w:rsid w:val="00363F5D"/>
    <w:rsid w:val="003646D7"/>
    <w:rsid w:val="00365260"/>
    <w:rsid w:val="003657BE"/>
    <w:rsid w:val="00366985"/>
    <w:rsid w:val="00367419"/>
    <w:rsid w:val="0037017A"/>
    <w:rsid w:val="003706EC"/>
    <w:rsid w:val="00370A65"/>
    <w:rsid w:val="00370E70"/>
    <w:rsid w:val="003721D9"/>
    <w:rsid w:val="00372509"/>
    <w:rsid w:val="0037253D"/>
    <w:rsid w:val="00374024"/>
    <w:rsid w:val="00376B26"/>
    <w:rsid w:val="00376EA0"/>
    <w:rsid w:val="003826FB"/>
    <w:rsid w:val="00382772"/>
    <w:rsid w:val="003827B4"/>
    <w:rsid w:val="003840E6"/>
    <w:rsid w:val="0038517C"/>
    <w:rsid w:val="003853B9"/>
    <w:rsid w:val="00385B62"/>
    <w:rsid w:val="003863CC"/>
    <w:rsid w:val="00386D44"/>
    <w:rsid w:val="00387214"/>
    <w:rsid w:val="0038773A"/>
    <w:rsid w:val="00387AB1"/>
    <w:rsid w:val="00394FB7"/>
    <w:rsid w:val="0039517A"/>
    <w:rsid w:val="00395591"/>
    <w:rsid w:val="00395944"/>
    <w:rsid w:val="00396E39"/>
    <w:rsid w:val="0039737A"/>
    <w:rsid w:val="003A0402"/>
    <w:rsid w:val="003A0976"/>
    <w:rsid w:val="003A098E"/>
    <w:rsid w:val="003A13BC"/>
    <w:rsid w:val="003A18CD"/>
    <w:rsid w:val="003A262D"/>
    <w:rsid w:val="003A2A9F"/>
    <w:rsid w:val="003A2AA1"/>
    <w:rsid w:val="003A2F00"/>
    <w:rsid w:val="003A3551"/>
    <w:rsid w:val="003A4EDA"/>
    <w:rsid w:val="003A53D8"/>
    <w:rsid w:val="003A53F7"/>
    <w:rsid w:val="003A6A84"/>
    <w:rsid w:val="003A6F92"/>
    <w:rsid w:val="003A7034"/>
    <w:rsid w:val="003A7E28"/>
    <w:rsid w:val="003A7E80"/>
    <w:rsid w:val="003A7F85"/>
    <w:rsid w:val="003B004E"/>
    <w:rsid w:val="003B03C0"/>
    <w:rsid w:val="003B0A3B"/>
    <w:rsid w:val="003B0E51"/>
    <w:rsid w:val="003B0FFA"/>
    <w:rsid w:val="003B2D8B"/>
    <w:rsid w:val="003B4793"/>
    <w:rsid w:val="003B48B7"/>
    <w:rsid w:val="003B5289"/>
    <w:rsid w:val="003B697C"/>
    <w:rsid w:val="003B6DAD"/>
    <w:rsid w:val="003B72AF"/>
    <w:rsid w:val="003C0272"/>
    <w:rsid w:val="003C0C48"/>
    <w:rsid w:val="003C0DBF"/>
    <w:rsid w:val="003C126D"/>
    <w:rsid w:val="003C1AB8"/>
    <w:rsid w:val="003C36A9"/>
    <w:rsid w:val="003C3843"/>
    <w:rsid w:val="003C3A46"/>
    <w:rsid w:val="003C4075"/>
    <w:rsid w:val="003C42CF"/>
    <w:rsid w:val="003C4B4E"/>
    <w:rsid w:val="003C4B96"/>
    <w:rsid w:val="003C5474"/>
    <w:rsid w:val="003C6186"/>
    <w:rsid w:val="003C78DB"/>
    <w:rsid w:val="003D1242"/>
    <w:rsid w:val="003D26D7"/>
    <w:rsid w:val="003D270B"/>
    <w:rsid w:val="003D2823"/>
    <w:rsid w:val="003D2A7C"/>
    <w:rsid w:val="003D3190"/>
    <w:rsid w:val="003D42B0"/>
    <w:rsid w:val="003D4E06"/>
    <w:rsid w:val="003E0E49"/>
    <w:rsid w:val="003E16E6"/>
    <w:rsid w:val="003E2427"/>
    <w:rsid w:val="003E2FAD"/>
    <w:rsid w:val="003E3188"/>
    <w:rsid w:val="003E3508"/>
    <w:rsid w:val="003E371C"/>
    <w:rsid w:val="003E4BF3"/>
    <w:rsid w:val="003E4FC1"/>
    <w:rsid w:val="003E6D60"/>
    <w:rsid w:val="003E70BC"/>
    <w:rsid w:val="003F0372"/>
    <w:rsid w:val="003F21FC"/>
    <w:rsid w:val="003F274F"/>
    <w:rsid w:val="003F3BF1"/>
    <w:rsid w:val="003F5C36"/>
    <w:rsid w:val="004003B1"/>
    <w:rsid w:val="00400DA3"/>
    <w:rsid w:val="004025FA"/>
    <w:rsid w:val="00402CE9"/>
    <w:rsid w:val="004040A3"/>
    <w:rsid w:val="00404433"/>
    <w:rsid w:val="0040443F"/>
    <w:rsid w:val="00404FD1"/>
    <w:rsid w:val="00405D4D"/>
    <w:rsid w:val="004065D3"/>
    <w:rsid w:val="00406DF4"/>
    <w:rsid w:val="00407808"/>
    <w:rsid w:val="004079E4"/>
    <w:rsid w:val="004107A5"/>
    <w:rsid w:val="00414511"/>
    <w:rsid w:val="00415164"/>
    <w:rsid w:val="00415916"/>
    <w:rsid w:val="00415EF0"/>
    <w:rsid w:val="004177BD"/>
    <w:rsid w:val="00417B9E"/>
    <w:rsid w:val="00420C99"/>
    <w:rsid w:val="00422057"/>
    <w:rsid w:val="004224F6"/>
    <w:rsid w:val="00424064"/>
    <w:rsid w:val="00424CA4"/>
    <w:rsid w:val="00425B22"/>
    <w:rsid w:val="00425F31"/>
    <w:rsid w:val="00426A7C"/>
    <w:rsid w:val="00430799"/>
    <w:rsid w:val="00431335"/>
    <w:rsid w:val="0043157D"/>
    <w:rsid w:val="00432433"/>
    <w:rsid w:val="00433BA7"/>
    <w:rsid w:val="004348E1"/>
    <w:rsid w:val="0043510B"/>
    <w:rsid w:val="00435DF6"/>
    <w:rsid w:val="00436029"/>
    <w:rsid w:val="00436857"/>
    <w:rsid w:val="00436D68"/>
    <w:rsid w:val="004377BA"/>
    <w:rsid w:val="00437930"/>
    <w:rsid w:val="00440B24"/>
    <w:rsid w:val="00441236"/>
    <w:rsid w:val="00442113"/>
    <w:rsid w:val="0044296A"/>
    <w:rsid w:val="0044348F"/>
    <w:rsid w:val="004435AA"/>
    <w:rsid w:val="0044405A"/>
    <w:rsid w:val="00444768"/>
    <w:rsid w:val="00444CEA"/>
    <w:rsid w:val="00444FD9"/>
    <w:rsid w:val="0044554B"/>
    <w:rsid w:val="0044657E"/>
    <w:rsid w:val="00450165"/>
    <w:rsid w:val="0045122F"/>
    <w:rsid w:val="00452BC8"/>
    <w:rsid w:val="004544E1"/>
    <w:rsid w:val="004555EE"/>
    <w:rsid w:val="00455882"/>
    <w:rsid w:val="00455937"/>
    <w:rsid w:val="0045602C"/>
    <w:rsid w:val="004607A7"/>
    <w:rsid w:val="0046202D"/>
    <w:rsid w:val="004621A4"/>
    <w:rsid w:val="004627B5"/>
    <w:rsid w:val="0046475A"/>
    <w:rsid w:val="00464A96"/>
    <w:rsid w:val="00464C62"/>
    <w:rsid w:val="00465AC7"/>
    <w:rsid w:val="00467853"/>
    <w:rsid w:val="00471C88"/>
    <w:rsid w:val="00472378"/>
    <w:rsid w:val="0047294F"/>
    <w:rsid w:val="00472CB4"/>
    <w:rsid w:val="00473172"/>
    <w:rsid w:val="00474898"/>
    <w:rsid w:val="00475A1D"/>
    <w:rsid w:val="00475CA4"/>
    <w:rsid w:val="004762CC"/>
    <w:rsid w:val="00476EB5"/>
    <w:rsid w:val="00477C18"/>
    <w:rsid w:val="00480775"/>
    <w:rsid w:val="00480959"/>
    <w:rsid w:val="00480BC6"/>
    <w:rsid w:val="00481414"/>
    <w:rsid w:val="004816B0"/>
    <w:rsid w:val="00483775"/>
    <w:rsid w:val="00484C9D"/>
    <w:rsid w:val="0049010E"/>
    <w:rsid w:val="00490336"/>
    <w:rsid w:val="00492192"/>
    <w:rsid w:val="004924A7"/>
    <w:rsid w:val="00493090"/>
    <w:rsid w:val="0049370C"/>
    <w:rsid w:val="00493B5D"/>
    <w:rsid w:val="00493D7C"/>
    <w:rsid w:val="00493E3C"/>
    <w:rsid w:val="00493F9E"/>
    <w:rsid w:val="00494418"/>
    <w:rsid w:val="004944F0"/>
    <w:rsid w:val="00494EC2"/>
    <w:rsid w:val="004957B6"/>
    <w:rsid w:val="00495AA4"/>
    <w:rsid w:val="00496B7F"/>
    <w:rsid w:val="00496E2B"/>
    <w:rsid w:val="004978F4"/>
    <w:rsid w:val="004A113E"/>
    <w:rsid w:val="004A1428"/>
    <w:rsid w:val="004A328B"/>
    <w:rsid w:val="004A34F4"/>
    <w:rsid w:val="004A3D8F"/>
    <w:rsid w:val="004A41F9"/>
    <w:rsid w:val="004A4966"/>
    <w:rsid w:val="004A4BA9"/>
    <w:rsid w:val="004A4CC4"/>
    <w:rsid w:val="004A5313"/>
    <w:rsid w:val="004A6F62"/>
    <w:rsid w:val="004B079A"/>
    <w:rsid w:val="004B3C85"/>
    <w:rsid w:val="004B400E"/>
    <w:rsid w:val="004B4642"/>
    <w:rsid w:val="004B4888"/>
    <w:rsid w:val="004B54D3"/>
    <w:rsid w:val="004B5C44"/>
    <w:rsid w:val="004B5F88"/>
    <w:rsid w:val="004B7304"/>
    <w:rsid w:val="004B768E"/>
    <w:rsid w:val="004C133F"/>
    <w:rsid w:val="004C162B"/>
    <w:rsid w:val="004C1C0F"/>
    <w:rsid w:val="004C2B35"/>
    <w:rsid w:val="004C35D1"/>
    <w:rsid w:val="004C40CF"/>
    <w:rsid w:val="004C4516"/>
    <w:rsid w:val="004C5459"/>
    <w:rsid w:val="004C5C0A"/>
    <w:rsid w:val="004C6860"/>
    <w:rsid w:val="004C6B41"/>
    <w:rsid w:val="004D0172"/>
    <w:rsid w:val="004D0DCB"/>
    <w:rsid w:val="004D137F"/>
    <w:rsid w:val="004D3546"/>
    <w:rsid w:val="004D4931"/>
    <w:rsid w:val="004D63DE"/>
    <w:rsid w:val="004D7F1C"/>
    <w:rsid w:val="004D7FF5"/>
    <w:rsid w:val="004E03BD"/>
    <w:rsid w:val="004E19B7"/>
    <w:rsid w:val="004E1F58"/>
    <w:rsid w:val="004E202F"/>
    <w:rsid w:val="004E39F6"/>
    <w:rsid w:val="004E3C65"/>
    <w:rsid w:val="004E51B3"/>
    <w:rsid w:val="004E6D97"/>
    <w:rsid w:val="004F0658"/>
    <w:rsid w:val="004F2658"/>
    <w:rsid w:val="004F3F98"/>
    <w:rsid w:val="004F4D2F"/>
    <w:rsid w:val="004F5FD8"/>
    <w:rsid w:val="004F655B"/>
    <w:rsid w:val="004F74C7"/>
    <w:rsid w:val="004F7DDF"/>
    <w:rsid w:val="00500A49"/>
    <w:rsid w:val="005012FE"/>
    <w:rsid w:val="00501D19"/>
    <w:rsid w:val="00503EA2"/>
    <w:rsid w:val="00504F96"/>
    <w:rsid w:val="005053A8"/>
    <w:rsid w:val="00506448"/>
    <w:rsid w:val="005105CE"/>
    <w:rsid w:val="00511638"/>
    <w:rsid w:val="005120A0"/>
    <w:rsid w:val="005139F8"/>
    <w:rsid w:val="00514112"/>
    <w:rsid w:val="005174CD"/>
    <w:rsid w:val="00520278"/>
    <w:rsid w:val="00520889"/>
    <w:rsid w:val="005215F0"/>
    <w:rsid w:val="00521E70"/>
    <w:rsid w:val="005231E9"/>
    <w:rsid w:val="005234FB"/>
    <w:rsid w:val="00525564"/>
    <w:rsid w:val="0052565A"/>
    <w:rsid w:val="00525980"/>
    <w:rsid w:val="00525D42"/>
    <w:rsid w:val="0052605B"/>
    <w:rsid w:val="0052674C"/>
    <w:rsid w:val="005271D0"/>
    <w:rsid w:val="00527DA2"/>
    <w:rsid w:val="00530015"/>
    <w:rsid w:val="00530D2D"/>
    <w:rsid w:val="005320F9"/>
    <w:rsid w:val="005324F7"/>
    <w:rsid w:val="00532AB5"/>
    <w:rsid w:val="005334D6"/>
    <w:rsid w:val="00533E09"/>
    <w:rsid w:val="00534E34"/>
    <w:rsid w:val="00535285"/>
    <w:rsid w:val="00535608"/>
    <w:rsid w:val="00535681"/>
    <w:rsid w:val="00535745"/>
    <w:rsid w:val="005375F3"/>
    <w:rsid w:val="0053792C"/>
    <w:rsid w:val="00537D63"/>
    <w:rsid w:val="00540C5F"/>
    <w:rsid w:val="00540C63"/>
    <w:rsid w:val="005412D7"/>
    <w:rsid w:val="005413DF"/>
    <w:rsid w:val="00541A8C"/>
    <w:rsid w:val="00541B59"/>
    <w:rsid w:val="00542703"/>
    <w:rsid w:val="005442F1"/>
    <w:rsid w:val="005449A4"/>
    <w:rsid w:val="00544F58"/>
    <w:rsid w:val="005461A7"/>
    <w:rsid w:val="00546AC0"/>
    <w:rsid w:val="005479FF"/>
    <w:rsid w:val="00547D56"/>
    <w:rsid w:val="0055071E"/>
    <w:rsid w:val="00550925"/>
    <w:rsid w:val="0055131C"/>
    <w:rsid w:val="00551832"/>
    <w:rsid w:val="00551B73"/>
    <w:rsid w:val="00552706"/>
    <w:rsid w:val="005531D7"/>
    <w:rsid w:val="005538F0"/>
    <w:rsid w:val="0055394E"/>
    <w:rsid w:val="00554C4E"/>
    <w:rsid w:val="00554EBF"/>
    <w:rsid w:val="005554A2"/>
    <w:rsid w:val="0055583A"/>
    <w:rsid w:val="005559B1"/>
    <w:rsid w:val="005577E9"/>
    <w:rsid w:val="00557E83"/>
    <w:rsid w:val="005611B0"/>
    <w:rsid w:val="005611FA"/>
    <w:rsid w:val="005616DC"/>
    <w:rsid w:val="005627EE"/>
    <w:rsid w:val="00564774"/>
    <w:rsid w:val="00564DA6"/>
    <w:rsid w:val="00571537"/>
    <w:rsid w:val="0057167B"/>
    <w:rsid w:val="00573B27"/>
    <w:rsid w:val="005748A3"/>
    <w:rsid w:val="0057497D"/>
    <w:rsid w:val="005751F2"/>
    <w:rsid w:val="00577429"/>
    <w:rsid w:val="0057747B"/>
    <w:rsid w:val="00580D58"/>
    <w:rsid w:val="00581970"/>
    <w:rsid w:val="00581971"/>
    <w:rsid w:val="0058231F"/>
    <w:rsid w:val="0058480D"/>
    <w:rsid w:val="005850A0"/>
    <w:rsid w:val="0058518B"/>
    <w:rsid w:val="00586F8F"/>
    <w:rsid w:val="005877F3"/>
    <w:rsid w:val="005879BB"/>
    <w:rsid w:val="00587C97"/>
    <w:rsid w:val="0059114B"/>
    <w:rsid w:val="005917CD"/>
    <w:rsid w:val="00591841"/>
    <w:rsid w:val="005927F3"/>
    <w:rsid w:val="00594906"/>
    <w:rsid w:val="005949DE"/>
    <w:rsid w:val="0059516A"/>
    <w:rsid w:val="005955FA"/>
    <w:rsid w:val="00595EB9"/>
    <w:rsid w:val="00596397"/>
    <w:rsid w:val="00596790"/>
    <w:rsid w:val="00596C23"/>
    <w:rsid w:val="0059792E"/>
    <w:rsid w:val="005A054A"/>
    <w:rsid w:val="005A16B0"/>
    <w:rsid w:val="005A1D5E"/>
    <w:rsid w:val="005A2927"/>
    <w:rsid w:val="005A2DD2"/>
    <w:rsid w:val="005A4264"/>
    <w:rsid w:val="005A4820"/>
    <w:rsid w:val="005A55BA"/>
    <w:rsid w:val="005A5611"/>
    <w:rsid w:val="005A5B97"/>
    <w:rsid w:val="005A6C7B"/>
    <w:rsid w:val="005A764A"/>
    <w:rsid w:val="005A7EFD"/>
    <w:rsid w:val="005B2E0B"/>
    <w:rsid w:val="005B303E"/>
    <w:rsid w:val="005B3F33"/>
    <w:rsid w:val="005B4A00"/>
    <w:rsid w:val="005B5B1D"/>
    <w:rsid w:val="005B64CC"/>
    <w:rsid w:val="005B6576"/>
    <w:rsid w:val="005B6D6A"/>
    <w:rsid w:val="005C063F"/>
    <w:rsid w:val="005C06E4"/>
    <w:rsid w:val="005C0B33"/>
    <w:rsid w:val="005C3824"/>
    <w:rsid w:val="005C5F05"/>
    <w:rsid w:val="005C6156"/>
    <w:rsid w:val="005C79C4"/>
    <w:rsid w:val="005C7E6A"/>
    <w:rsid w:val="005D1B1E"/>
    <w:rsid w:val="005D1CFD"/>
    <w:rsid w:val="005D2582"/>
    <w:rsid w:val="005D33FD"/>
    <w:rsid w:val="005D3842"/>
    <w:rsid w:val="005D4808"/>
    <w:rsid w:val="005D4B18"/>
    <w:rsid w:val="005D51FC"/>
    <w:rsid w:val="005D5C7B"/>
    <w:rsid w:val="005D7361"/>
    <w:rsid w:val="005E0215"/>
    <w:rsid w:val="005E10F2"/>
    <w:rsid w:val="005E11CA"/>
    <w:rsid w:val="005E21FC"/>
    <w:rsid w:val="005E2768"/>
    <w:rsid w:val="005E6ABB"/>
    <w:rsid w:val="005E77CC"/>
    <w:rsid w:val="005E79E1"/>
    <w:rsid w:val="005F0A2B"/>
    <w:rsid w:val="005F2085"/>
    <w:rsid w:val="005F285B"/>
    <w:rsid w:val="005F39AC"/>
    <w:rsid w:val="005F3B9D"/>
    <w:rsid w:val="005F4163"/>
    <w:rsid w:val="005F4E1C"/>
    <w:rsid w:val="005F5CFC"/>
    <w:rsid w:val="005F6E6B"/>
    <w:rsid w:val="005F6ECB"/>
    <w:rsid w:val="005F73E3"/>
    <w:rsid w:val="005F7FBF"/>
    <w:rsid w:val="005F7FD0"/>
    <w:rsid w:val="00600EFB"/>
    <w:rsid w:val="00602BF0"/>
    <w:rsid w:val="006037E6"/>
    <w:rsid w:val="00603B44"/>
    <w:rsid w:val="00603E84"/>
    <w:rsid w:val="00605FB5"/>
    <w:rsid w:val="006065C0"/>
    <w:rsid w:val="00607617"/>
    <w:rsid w:val="00607C6C"/>
    <w:rsid w:val="00610C63"/>
    <w:rsid w:val="00610CF1"/>
    <w:rsid w:val="0061175A"/>
    <w:rsid w:val="006119FD"/>
    <w:rsid w:val="00612C29"/>
    <w:rsid w:val="00613114"/>
    <w:rsid w:val="00614E74"/>
    <w:rsid w:val="0061755C"/>
    <w:rsid w:val="006220F0"/>
    <w:rsid w:val="00623B5F"/>
    <w:rsid w:val="006250A7"/>
    <w:rsid w:val="006261EE"/>
    <w:rsid w:val="00626B96"/>
    <w:rsid w:val="006279E7"/>
    <w:rsid w:val="00627D35"/>
    <w:rsid w:val="0063092C"/>
    <w:rsid w:val="0063149A"/>
    <w:rsid w:val="00633A54"/>
    <w:rsid w:val="00634335"/>
    <w:rsid w:val="0063497D"/>
    <w:rsid w:val="00635B34"/>
    <w:rsid w:val="00640765"/>
    <w:rsid w:val="00642178"/>
    <w:rsid w:val="006425F1"/>
    <w:rsid w:val="006436F1"/>
    <w:rsid w:val="00644261"/>
    <w:rsid w:val="00644D21"/>
    <w:rsid w:val="00645155"/>
    <w:rsid w:val="006456DC"/>
    <w:rsid w:val="00645A3A"/>
    <w:rsid w:val="00645DCF"/>
    <w:rsid w:val="00646BEA"/>
    <w:rsid w:val="006476CA"/>
    <w:rsid w:val="00647840"/>
    <w:rsid w:val="00647D26"/>
    <w:rsid w:val="00647DCA"/>
    <w:rsid w:val="006509CB"/>
    <w:rsid w:val="00651E50"/>
    <w:rsid w:val="00652873"/>
    <w:rsid w:val="00652B61"/>
    <w:rsid w:val="00653AE7"/>
    <w:rsid w:val="00653BD8"/>
    <w:rsid w:val="00655094"/>
    <w:rsid w:val="00660F91"/>
    <w:rsid w:val="00661330"/>
    <w:rsid w:val="006624C8"/>
    <w:rsid w:val="006625B8"/>
    <w:rsid w:val="006651AB"/>
    <w:rsid w:val="006651BE"/>
    <w:rsid w:val="0066572F"/>
    <w:rsid w:val="0066618B"/>
    <w:rsid w:val="00670739"/>
    <w:rsid w:val="006709F0"/>
    <w:rsid w:val="00670F62"/>
    <w:rsid w:val="00672025"/>
    <w:rsid w:val="0067246F"/>
    <w:rsid w:val="00672999"/>
    <w:rsid w:val="00673175"/>
    <w:rsid w:val="00673959"/>
    <w:rsid w:val="0067453E"/>
    <w:rsid w:val="00674C08"/>
    <w:rsid w:val="00675717"/>
    <w:rsid w:val="006814F8"/>
    <w:rsid w:val="0068174C"/>
    <w:rsid w:val="006817D4"/>
    <w:rsid w:val="00682E0A"/>
    <w:rsid w:val="006838DB"/>
    <w:rsid w:val="00683EE1"/>
    <w:rsid w:val="0068546C"/>
    <w:rsid w:val="0068548B"/>
    <w:rsid w:val="006854F1"/>
    <w:rsid w:val="00685A4F"/>
    <w:rsid w:val="00686987"/>
    <w:rsid w:val="00687490"/>
    <w:rsid w:val="00687A61"/>
    <w:rsid w:val="00690219"/>
    <w:rsid w:val="006907AE"/>
    <w:rsid w:val="006937AB"/>
    <w:rsid w:val="0069384B"/>
    <w:rsid w:val="00693F2E"/>
    <w:rsid w:val="006942CE"/>
    <w:rsid w:val="006954D0"/>
    <w:rsid w:val="006959A6"/>
    <w:rsid w:val="00695DF4"/>
    <w:rsid w:val="006A0B49"/>
    <w:rsid w:val="006A0DB2"/>
    <w:rsid w:val="006A15EF"/>
    <w:rsid w:val="006A1A27"/>
    <w:rsid w:val="006A62E4"/>
    <w:rsid w:val="006A6498"/>
    <w:rsid w:val="006A7C9E"/>
    <w:rsid w:val="006B0321"/>
    <w:rsid w:val="006B05D8"/>
    <w:rsid w:val="006B3ABC"/>
    <w:rsid w:val="006B3B2D"/>
    <w:rsid w:val="006B3CF8"/>
    <w:rsid w:val="006B3DA3"/>
    <w:rsid w:val="006B4840"/>
    <w:rsid w:val="006B4C94"/>
    <w:rsid w:val="006B4D18"/>
    <w:rsid w:val="006B4E72"/>
    <w:rsid w:val="006B69C3"/>
    <w:rsid w:val="006B7016"/>
    <w:rsid w:val="006C0120"/>
    <w:rsid w:val="006C04F8"/>
    <w:rsid w:val="006C0603"/>
    <w:rsid w:val="006C18C8"/>
    <w:rsid w:val="006C3294"/>
    <w:rsid w:val="006C35AF"/>
    <w:rsid w:val="006C3C7D"/>
    <w:rsid w:val="006C5216"/>
    <w:rsid w:val="006C6E9A"/>
    <w:rsid w:val="006D0AA0"/>
    <w:rsid w:val="006D1BA7"/>
    <w:rsid w:val="006D1BFD"/>
    <w:rsid w:val="006D27B1"/>
    <w:rsid w:val="006D2DED"/>
    <w:rsid w:val="006D3ABE"/>
    <w:rsid w:val="006D4537"/>
    <w:rsid w:val="006D5963"/>
    <w:rsid w:val="006D7624"/>
    <w:rsid w:val="006D7EF3"/>
    <w:rsid w:val="006E0107"/>
    <w:rsid w:val="006E04D6"/>
    <w:rsid w:val="006E1541"/>
    <w:rsid w:val="006E3555"/>
    <w:rsid w:val="006E3E0E"/>
    <w:rsid w:val="006E5268"/>
    <w:rsid w:val="006E7ABA"/>
    <w:rsid w:val="006E7BDD"/>
    <w:rsid w:val="006F11B0"/>
    <w:rsid w:val="006F20AD"/>
    <w:rsid w:val="006F68E7"/>
    <w:rsid w:val="007007B0"/>
    <w:rsid w:val="00700AA4"/>
    <w:rsid w:val="00701873"/>
    <w:rsid w:val="007024B0"/>
    <w:rsid w:val="00702CAF"/>
    <w:rsid w:val="00702D74"/>
    <w:rsid w:val="007034D4"/>
    <w:rsid w:val="00703561"/>
    <w:rsid w:val="00703CBD"/>
    <w:rsid w:val="0070440F"/>
    <w:rsid w:val="00704A55"/>
    <w:rsid w:val="00704AD3"/>
    <w:rsid w:val="00705205"/>
    <w:rsid w:val="00705207"/>
    <w:rsid w:val="00706881"/>
    <w:rsid w:val="00711758"/>
    <w:rsid w:val="0071291B"/>
    <w:rsid w:val="007134B3"/>
    <w:rsid w:val="0071524E"/>
    <w:rsid w:val="0071531B"/>
    <w:rsid w:val="007154CC"/>
    <w:rsid w:val="00715816"/>
    <w:rsid w:val="007217DA"/>
    <w:rsid w:val="00721F10"/>
    <w:rsid w:val="007226D2"/>
    <w:rsid w:val="00723333"/>
    <w:rsid w:val="0072362D"/>
    <w:rsid w:val="00724A54"/>
    <w:rsid w:val="00724E0B"/>
    <w:rsid w:val="00725EE8"/>
    <w:rsid w:val="00726877"/>
    <w:rsid w:val="007269ED"/>
    <w:rsid w:val="007274A5"/>
    <w:rsid w:val="0073136E"/>
    <w:rsid w:val="0073183F"/>
    <w:rsid w:val="00731F91"/>
    <w:rsid w:val="00733A81"/>
    <w:rsid w:val="007341A6"/>
    <w:rsid w:val="00734882"/>
    <w:rsid w:val="007351DE"/>
    <w:rsid w:val="00735DFF"/>
    <w:rsid w:val="007361AB"/>
    <w:rsid w:val="007366A5"/>
    <w:rsid w:val="00737393"/>
    <w:rsid w:val="00737EAB"/>
    <w:rsid w:val="007402D4"/>
    <w:rsid w:val="0074063B"/>
    <w:rsid w:val="007407DB"/>
    <w:rsid w:val="00740F23"/>
    <w:rsid w:val="00741095"/>
    <w:rsid w:val="007412F3"/>
    <w:rsid w:val="00741BEF"/>
    <w:rsid w:val="007423C0"/>
    <w:rsid w:val="00742A52"/>
    <w:rsid w:val="0074331A"/>
    <w:rsid w:val="00743FF8"/>
    <w:rsid w:val="00744598"/>
    <w:rsid w:val="00745E0F"/>
    <w:rsid w:val="0074783A"/>
    <w:rsid w:val="00750193"/>
    <w:rsid w:val="00750265"/>
    <w:rsid w:val="0075040F"/>
    <w:rsid w:val="00750497"/>
    <w:rsid w:val="007528FB"/>
    <w:rsid w:val="007536FF"/>
    <w:rsid w:val="00753CD6"/>
    <w:rsid w:val="0075681B"/>
    <w:rsid w:val="0075695A"/>
    <w:rsid w:val="00756ADD"/>
    <w:rsid w:val="00760BB5"/>
    <w:rsid w:val="007628F3"/>
    <w:rsid w:val="00762F11"/>
    <w:rsid w:val="00763CFE"/>
    <w:rsid w:val="0076489D"/>
    <w:rsid w:val="00765D5D"/>
    <w:rsid w:val="00765EF9"/>
    <w:rsid w:val="00767D1C"/>
    <w:rsid w:val="00770BC3"/>
    <w:rsid w:val="00771028"/>
    <w:rsid w:val="00771DD5"/>
    <w:rsid w:val="00772514"/>
    <w:rsid w:val="00772E52"/>
    <w:rsid w:val="0077340A"/>
    <w:rsid w:val="007749C2"/>
    <w:rsid w:val="0077517E"/>
    <w:rsid w:val="00775C1F"/>
    <w:rsid w:val="00776A85"/>
    <w:rsid w:val="00777340"/>
    <w:rsid w:val="0077764D"/>
    <w:rsid w:val="00780ED1"/>
    <w:rsid w:val="00781BD8"/>
    <w:rsid w:val="00781CDF"/>
    <w:rsid w:val="00783D8F"/>
    <w:rsid w:val="00785528"/>
    <w:rsid w:val="00787E55"/>
    <w:rsid w:val="007914D1"/>
    <w:rsid w:val="00792F34"/>
    <w:rsid w:val="007931C1"/>
    <w:rsid w:val="0079341E"/>
    <w:rsid w:val="0079348A"/>
    <w:rsid w:val="00794107"/>
    <w:rsid w:val="00794359"/>
    <w:rsid w:val="007947A4"/>
    <w:rsid w:val="00794E39"/>
    <w:rsid w:val="0079555D"/>
    <w:rsid w:val="00796B1F"/>
    <w:rsid w:val="00796DA9"/>
    <w:rsid w:val="00797135"/>
    <w:rsid w:val="007A053A"/>
    <w:rsid w:val="007A0EDD"/>
    <w:rsid w:val="007A24B7"/>
    <w:rsid w:val="007A2782"/>
    <w:rsid w:val="007A2DA7"/>
    <w:rsid w:val="007A2E83"/>
    <w:rsid w:val="007A4146"/>
    <w:rsid w:val="007A4C06"/>
    <w:rsid w:val="007A4D2C"/>
    <w:rsid w:val="007A4E24"/>
    <w:rsid w:val="007A6FCF"/>
    <w:rsid w:val="007B11C5"/>
    <w:rsid w:val="007B199D"/>
    <w:rsid w:val="007B2234"/>
    <w:rsid w:val="007B2594"/>
    <w:rsid w:val="007B346C"/>
    <w:rsid w:val="007B6607"/>
    <w:rsid w:val="007B738C"/>
    <w:rsid w:val="007B7568"/>
    <w:rsid w:val="007C01E7"/>
    <w:rsid w:val="007C0476"/>
    <w:rsid w:val="007C19C0"/>
    <w:rsid w:val="007C4158"/>
    <w:rsid w:val="007C4586"/>
    <w:rsid w:val="007C45DF"/>
    <w:rsid w:val="007C4D57"/>
    <w:rsid w:val="007C5D27"/>
    <w:rsid w:val="007C6BFE"/>
    <w:rsid w:val="007C7251"/>
    <w:rsid w:val="007C7533"/>
    <w:rsid w:val="007D18A8"/>
    <w:rsid w:val="007D66AB"/>
    <w:rsid w:val="007D6A69"/>
    <w:rsid w:val="007D715E"/>
    <w:rsid w:val="007E052C"/>
    <w:rsid w:val="007E14A7"/>
    <w:rsid w:val="007E1A7E"/>
    <w:rsid w:val="007E1B19"/>
    <w:rsid w:val="007E20C6"/>
    <w:rsid w:val="007E24C2"/>
    <w:rsid w:val="007E5BAA"/>
    <w:rsid w:val="007E62FD"/>
    <w:rsid w:val="007F051F"/>
    <w:rsid w:val="007F143B"/>
    <w:rsid w:val="007F2933"/>
    <w:rsid w:val="007F2A97"/>
    <w:rsid w:val="007F34DE"/>
    <w:rsid w:val="007F44FD"/>
    <w:rsid w:val="007F4AA7"/>
    <w:rsid w:val="007F57C6"/>
    <w:rsid w:val="007F662A"/>
    <w:rsid w:val="007F7EDB"/>
    <w:rsid w:val="0080153D"/>
    <w:rsid w:val="0080160B"/>
    <w:rsid w:val="00801A75"/>
    <w:rsid w:val="00801B3F"/>
    <w:rsid w:val="00801ED5"/>
    <w:rsid w:val="008061F6"/>
    <w:rsid w:val="00806E61"/>
    <w:rsid w:val="00810141"/>
    <w:rsid w:val="00811489"/>
    <w:rsid w:val="00811CAC"/>
    <w:rsid w:val="00811DE5"/>
    <w:rsid w:val="00811F6A"/>
    <w:rsid w:val="00811F7C"/>
    <w:rsid w:val="00812C06"/>
    <w:rsid w:val="00812EDC"/>
    <w:rsid w:val="00812EF5"/>
    <w:rsid w:val="00812F60"/>
    <w:rsid w:val="00813048"/>
    <w:rsid w:val="008159A5"/>
    <w:rsid w:val="008160F8"/>
    <w:rsid w:val="008168F1"/>
    <w:rsid w:val="00816D5C"/>
    <w:rsid w:val="0082157C"/>
    <w:rsid w:val="008262BD"/>
    <w:rsid w:val="00826CF8"/>
    <w:rsid w:val="008273F0"/>
    <w:rsid w:val="00827447"/>
    <w:rsid w:val="00827D0B"/>
    <w:rsid w:val="00831E78"/>
    <w:rsid w:val="00832FA7"/>
    <w:rsid w:val="0083363D"/>
    <w:rsid w:val="008348CA"/>
    <w:rsid w:val="008350C8"/>
    <w:rsid w:val="008350DA"/>
    <w:rsid w:val="008353FC"/>
    <w:rsid w:val="008368ED"/>
    <w:rsid w:val="008408C2"/>
    <w:rsid w:val="008430FE"/>
    <w:rsid w:val="0084346B"/>
    <w:rsid w:val="00844319"/>
    <w:rsid w:val="0084520B"/>
    <w:rsid w:val="0084546A"/>
    <w:rsid w:val="00846107"/>
    <w:rsid w:val="00846C97"/>
    <w:rsid w:val="00847087"/>
    <w:rsid w:val="00847469"/>
    <w:rsid w:val="00847EE1"/>
    <w:rsid w:val="00850F2B"/>
    <w:rsid w:val="00853558"/>
    <w:rsid w:val="008544BD"/>
    <w:rsid w:val="0085653D"/>
    <w:rsid w:val="00856CB9"/>
    <w:rsid w:val="00857543"/>
    <w:rsid w:val="00857D07"/>
    <w:rsid w:val="008611F3"/>
    <w:rsid w:val="0086238E"/>
    <w:rsid w:val="00862905"/>
    <w:rsid w:val="00863EF2"/>
    <w:rsid w:val="00864AD1"/>
    <w:rsid w:val="00864BC7"/>
    <w:rsid w:val="0086542D"/>
    <w:rsid w:val="0086733D"/>
    <w:rsid w:val="008674A7"/>
    <w:rsid w:val="00867FCB"/>
    <w:rsid w:val="00870560"/>
    <w:rsid w:val="0087142D"/>
    <w:rsid w:val="008727AF"/>
    <w:rsid w:val="008730DA"/>
    <w:rsid w:val="008734C9"/>
    <w:rsid w:val="00874D3D"/>
    <w:rsid w:val="0087588A"/>
    <w:rsid w:val="00875950"/>
    <w:rsid w:val="008760AB"/>
    <w:rsid w:val="008765D3"/>
    <w:rsid w:val="00877F28"/>
    <w:rsid w:val="00880766"/>
    <w:rsid w:val="00880863"/>
    <w:rsid w:val="00880E22"/>
    <w:rsid w:val="00881169"/>
    <w:rsid w:val="008812F0"/>
    <w:rsid w:val="00882646"/>
    <w:rsid w:val="00882802"/>
    <w:rsid w:val="008855F5"/>
    <w:rsid w:val="00886E28"/>
    <w:rsid w:val="00886F8F"/>
    <w:rsid w:val="00891539"/>
    <w:rsid w:val="00891E4C"/>
    <w:rsid w:val="00893BDA"/>
    <w:rsid w:val="00894B00"/>
    <w:rsid w:val="008957E2"/>
    <w:rsid w:val="008966A9"/>
    <w:rsid w:val="00897017"/>
    <w:rsid w:val="008977C5"/>
    <w:rsid w:val="008A0543"/>
    <w:rsid w:val="008A1F0C"/>
    <w:rsid w:val="008A2040"/>
    <w:rsid w:val="008A4269"/>
    <w:rsid w:val="008A5A7A"/>
    <w:rsid w:val="008A731F"/>
    <w:rsid w:val="008B023B"/>
    <w:rsid w:val="008B215F"/>
    <w:rsid w:val="008B38E2"/>
    <w:rsid w:val="008B3CE7"/>
    <w:rsid w:val="008B440B"/>
    <w:rsid w:val="008B56BD"/>
    <w:rsid w:val="008B68F5"/>
    <w:rsid w:val="008C1BB8"/>
    <w:rsid w:val="008C2AD3"/>
    <w:rsid w:val="008C2B2A"/>
    <w:rsid w:val="008C32DB"/>
    <w:rsid w:val="008C3A74"/>
    <w:rsid w:val="008C3C4F"/>
    <w:rsid w:val="008C43E6"/>
    <w:rsid w:val="008C5DC4"/>
    <w:rsid w:val="008C78BD"/>
    <w:rsid w:val="008D096B"/>
    <w:rsid w:val="008D0EAD"/>
    <w:rsid w:val="008D10D3"/>
    <w:rsid w:val="008D1915"/>
    <w:rsid w:val="008D1A30"/>
    <w:rsid w:val="008D2297"/>
    <w:rsid w:val="008D2F44"/>
    <w:rsid w:val="008D4350"/>
    <w:rsid w:val="008D4CE3"/>
    <w:rsid w:val="008D4ECD"/>
    <w:rsid w:val="008D5AD9"/>
    <w:rsid w:val="008D7255"/>
    <w:rsid w:val="008D739D"/>
    <w:rsid w:val="008D74A9"/>
    <w:rsid w:val="008D78F2"/>
    <w:rsid w:val="008E0786"/>
    <w:rsid w:val="008E1726"/>
    <w:rsid w:val="008E18D9"/>
    <w:rsid w:val="008E1CE1"/>
    <w:rsid w:val="008E2EB5"/>
    <w:rsid w:val="008E3A78"/>
    <w:rsid w:val="008E45AF"/>
    <w:rsid w:val="008E4A66"/>
    <w:rsid w:val="008E4E7E"/>
    <w:rsid w:val="008E6218"/>
    <w:rsid w:val="008E6790"/>
    <w:rsid w:val="008E6E33"/>
    <w:rsid w:val="008E74F8"/>
    <w:rsid w:val="008E7CF5"/>
    <w:rsid w:val="008F1CF9"/>
    <w:rsid w:val="008F2F0F"/>
    <w:rsid w:val="008F3720"/>
    <w:rsid w:val="008F491E"/>
    <w:rsid w:val="008F67A9"/>
    <w:rsid w:val="00901B36"/>
    <w:rsid w:val="00901C87"/>
    <w:rsid w:val="00901F38"/>
    <w:rsid w:val="009025F1"/>
    <w:rsid w:val="00902915"/>
    <w:rsid w:val="00905B39"/>
    <w:rsid w:val="00906B6C"/>
    <w:rsid w:val="00906EF5"/>
    <w:rsid w:val="0090729C"/>
    <w:rsid w:val="00907BC2"/>
    <w:rsid w:val="00907F64"/>
    <w:rsid w:val="009100C7"/>
    <w:rsid w:val="00910D4E"/>
    <w:rsid w:val="00912FAD"/>
    <w:rsid w:val="009145E5"/>
    <w:rsid w:val="009161A4"/>
    <w:rsid w:val="009203FB"/>
    <w:rsid w:val="00920729"/>
    <w:rsid w:val="00920A95"/>
    <w:rsid w:val="00920DBD"/>
    <w:rsid w:val="009219AF"/>
    <w:rsid w:val="009269D7"/>
    <w:rsid w:val="00926DDC"/>
    <w:rsid w:val="00930BD0"/>
    <w:rsid w:val="009312D2"/>
    <w:rsid w:val="009319FD"/>
    <w:rsid w:val="00933368"/>
    <w:rsid w:val="009361C3"/>
    <w:rsid w:val="00936F28"/>
    <w:rsid w:val="00937D01"/>
    <w:rsid w:val="00940CEF"/>
    <w:rsid w:val="0094120C"/>
    <w:rsid w:val="00943910"/>
    <w:rsid w:val="00944F25"/>
    <w:rsid w:val="009451F7"/>
    <w:rsid w:val="0094557E"/>
    <w:rsid w:val="0094567A"/>
    <w:rsid w:val="00945C70"/>
    <w:rsid w:val="0094623E"/>
    <w:rsid w:val="0094652F"/>
    <w:rsid w:val="009466E0"/>
    <w:rsid w:val="009475F2"/>
    <w:rsid w:val="0094761A"/>
    <w:rsid w:val="009478C1"/>
    <w:rsid w:val="00950848"/>
    <w:rsid w:val="00950950"/>
    <w:rsid w:val="00950CE8"/>
    <w:rsid w:val="009542B8"/>
    <w:rsid w:val="0095467F"/>
    <w:rsid w:val="009604A3"/>
    <w:rsid w:val="009615A3"/>
    <w:rsid w:val="00965043"/>
    <w:rsid w:val="00965381"/>
    <w:rsid w:val="009657D5"/>
    <w:rsid w:val="00965CF1"/>
    <w:rsid w:val="00966956"/>
    <w:rsid w:val="00970A75"/>
    <w:rsid w:val="00972045"/>
    <w:rsid w:val="00972CD0"/>
    <w:rsid w:val="00973672"/>
    <w:rsid w:val="00975435"/>
    <w:rsid w:val="00975822"/>
    <w:rsid w:val="00975AC5"/>
    <w:rsid w:val="00975E82"/>
    <w:rsid w:val="00977924"/>
    <w:rsid w:val="00980732"/>
    <w:rsid w:val="00981897"/>
    <w:rsid w:val="00981EF3"/>
    <w:rsid w:val="00982FD7"/>
    <w:rsid w:val="00983786"/>
    <w:rsid w:val="009841A6"/>
    <w:rsid w:val="00984C9F"/>
    <w:rsid w:val="00987A74"/>
    <w:rsid w:val="0099092F"/>
    <w:rsid w:val="0099096E"/>
    <w:rsid w:val="0099163F"/>
    <w:rsid w:val="00991679"/>
    <w:rsid w:val="009918BA"/>
    <w:rsid w:val="0099384E"/>
    <w:rsid w:val="00993852"/>
    <w:rsid w:val="009951BD"/>
    <w:rsid w:val="009954A3"/>
    <w:rsid w:val="00995A30"/>
    <w:rsid w:val="00995C82"/>
    <w:rsid w:val="00995F9A"/>
    <w:rsid w:val="0099747E"/>
    <w:rsid w:val="009A0B25"/>
    <w:rsid w:val="009A11AF"/>
    <w:rsid w:val="009A2E8A"/>
    <w:rsid w:val="009A442C"/>
    <w:rsid w:val="009A4C20"/>
    <w:rsid w:val="009A4FDC"/>
    <w:rsid w:val="009A50E4"/>
    <w:rsid w:val="009A594B"/>
    <w:rsid w:val="009A6F07"/>
    <w:rsid w:val="009A76CB"/>
    <w:rsid w:val="009B04E3"/>
    <w:rsid w:val="009B07D4"/>
    <w:rsid w:val="009B3AA3"/>
    <w:rsid w:val="009B3BA3"/>
    <w:rsid w:val="009B3BEB"/>
    <w:rsid w:val="009B3D24"/>
    <w:rsid w:val="009B3F85"/>
    <w:rsid w:val="009B4481"/>
    <w:rsid w:val="009B4AB9"/>
    <w:rsid w:val="009B53A6"/>
    <w:rsid w:val="009B5916"/>
    <w:rsid w:val="009B5927"/>
    <w:rsid w:val="009B5D63"/>
    <w:rsid w:val="009B5DF5"/>
    <w:rsid w:val="009B5FBA"/>
    <w:rsid w:val="009B6B9A"/>
    <w:rsid w:val="009B6EC8"/>
    <w:rsid w:val="009B6FDF"/>
    <w:rsid w:val="009C0096"/>
    <w:rsid w:val="009C15BF"/>
    <w:rsid w:val="009C227E"/>
    <w:rsid w:val="009C2F4A"/>
    <w:rsid w:val="009C5330"/>
    <w:rsid w:val="009C5B62"/>
    <w:rsid w:val="009C7045"/>
    <w:rsid w:val="009D024C"/>
    <w:rsid w:val="009D1535"/>
    <w:rsid w:val="009D319B"/>
    <w:rsid w:val="009D3A30"/>
    <w:rsid w:val="009D47D3"/>
    <w:rsid w:val="009D4B58"/>
    <w:rsid w:val="009D647B"/>
    <w:rsid w:val="009D6CD9"/>
    <w:rsid w:val="009D7020"/>
    <w:rsid w:val="009D742D"/>
    <w:rsid w:val="009D770A"/>
    <w:rsid w:val="009D779F"/>
    <w:rsid w:val="009E0142"/>
    <w:rsid w:val="009E0151"/>
    <w:rsid w:val="009E0347"/>
    <w:rsid w:val="009E05AD"/>
    <w:rsid w:val="009E2DD1"/>
    <w:rsid w:val="009E48BB"/>
    <w:rsid w:val="009E4A9D"/>
    <w:rsid w:val="009E4BFB"/>
    <w:rsid w:val="009E580E"/>
    <w:rsid w:val="009E6393"/>
    <w:rsid w:val="009E7073"/>
    <w:rsid w:val="009E70DB"/>
    <w:rsid w:val="009E764F"/>
    <w:rsid w:val="009E7DB1"/>
    <w:rsid w:val="009F0550"/>
    <w:rsid w:val="009F0DF9"/>
    <w:rsid w:val="009F2527"/>
    <w:rsid w:val="009F2564"/>
    <w:rsid w:val="009F30BD"/>
    <w:rsid w:val="009F36A9"/>
    <w:rsid w:val="009F3E1C"/>
    <w:rsid w:val="009F48EF"/>
    <w:rsid w:val="009F4980"/>
    <w:rsid w:val="009F584D"/>
    <w:rsid w:val="009F75F1"/>
    <w:rsid w:val="009F7B2B"/>
    <w:rsid w:val="00A0029B"/>
    <w:rsid w:val="00A02BE0"/>
    <w:rsid w:val="00A03207"/>
    <w:rsid w:val="00A03875"/>
    <w:rsid w:val="00A03AE5"/>
    <w:rsid w:val="00A03B31"/>
    <w:rsid w:val="00A03E1E"/>
    <w:rsid w:val="00A04194"/>
    <w:rsid w:val="00A04DC7"/>
    <w:rsid w:val="00A0558B"/>
    <w:rsid w:val="00A057C9"/>
    <w:rsid w:val="00A05A07"/>
    <w:rsid w:val="00A06665"/>
    <w:rsid w:val="00A06C1C"/>
    <w:rsid w:val="00A10F16"/>
    <w:rsid w:val="00A11354"/>
    <w:rsid w:val="00A122BE"/>
    <w:rsid w:val="00A126A9"/>
    <w:rsid w:val="00A12AB4"/>
    <w:rsid w:val="00A13135"/>
    <w:rsid w:val="00A13858"/>
    <w:rsid w:val="00A14915"/>
    <w:rsid w:val="00A16D7E"/>
    <w:rsid w:val="00A172FA"/>
    <w:rsid w:val="00A17B64"/>
    <w:rsid w:val="00A21040"/>
    <w:rsid w:val="00A21F0A"/>
    <w:rsid w:val="00A2318B"/>
    <w:rsid w:val="00A24321"/>
    <w:rsid w:val="00A24A82"/>
    <w:rsid w:val="00A251C7"/>
    <w:rsid w:val="00A27304"/>
    <w:rsid w:val="00A27F8D"/>
    <w:rsid w:val="00A30B4E"/>
    <w:rsid w:val="00A30E48"/>
    <w:rsid w:val="00A31344"/>
    <w:rsid w:val="00A321BE"/>
    <w:rsid w:val="00A32326"/>
    <w:rsid w:val="00A32820"/>
    <w:rsid w:val="00A329CC"/>
    <w:rsid w:val="00A331AA"/>
    <w:rsid w:val="00A33B26"/>
    <w:rsid w:val="00A34A80"/>
    <w:rsid w:val="00A36A78"/>
    <w:rsid w:val="00A37F35"/>
    <w:rsid w:val="00A404E4"/>
    <w:rsid w:val="00A40D1B"/>
    <w:rsid w:val="00A413E4"/>
    <w:rsid w:val="00A422EB"/>
    <w:rsid w:val="00A427A5"/>
    <w:rsid w:val="00A42E41"/>
    <w:rsid w:val="00A42F7B"/>
    <w:rsid w:val="00A43161"/>
    <w:rsid w:val="00A438B2"/>
    <w:rsid w:val="00A44B18"/>
    <w:rsid w:val="00A4510D"/>
    <w:rsid w:val="00A45302"/>
    <w:rsid w:val="00A45DE5"/>
    <w:rsid w:val="00A45FB2"/>
    <w:rsid w:val="00A4646C"/>
    <w:rsid w:val="00A4692F"/>
    <w:rsid w:val="00A47F33"/>
    <w:rsid w:val="00A52B75"/>
    <w:rsid w:val="00A52CB3"/>
    <w:rsid w:val="00A52E31"/>
    <w:rsid w:val="00A52E59"/>
    <w:rsid w:val="00A5313E"/>
    <w:rsid w:val="00A531A2"/>
    <w:rsid w:val="00A53364"/>
    <w:rsid w:val="00A533A8"/>
    <w:rsid w:val="00A55C73"/>
    <w:rsid w:val="00A55D46"/>
    <w:rsid w:val="00A5662E"/>
    <w:rsid w:val="00A57539"/>
    <w:rsid w:val="00A60087"/>
    <w:rsid w:val="00A60864"/>
    <w:rsid w:val="00A60CF5"/>
    <w:rsid w:val="00A641EA"/>
    <w:rsid w:val="00A6707A"/>
    <w:rsid w:val="00A67C99"/>
    <w:rsid w:val="00A67CFE"/>
    <w:rsid w:val="00A70183"/>
    <w:rsid w:val="00A7038E"/>
    <w:rsid w:val="00A71CE5"/>
    <w:rsid w:val="00A721E1"/>
    <w:rsid w:val="00A72D17"/>
    <w:rsid w:val="00A75141"/>
    <w:rsid w:val="00A75223"/>
    <w:rsid w:val="00A75922"/>
    <w:rsid w:val="00A75ED2"/>
    <w:rsid w:val="00A7686E"/>
    <w:rsid w:val="00A771B7"/>
    <w:rsid w:val="00A773B4"/>
    <w:rsid w:val="00A82AA1"/>
    <w:rsid w:val="00A839DB"/>
    <w:rsid w:val="00A84951"/>
    <w:rsid w:val="00A84A5E"/>
    <w:rsid w:val="00A85D94"/>
    <w:rsid w:val="00A85E3D"/>
    <w:rsid w:val="00A86070"/>
    <w:rsid w:val="00A86DEB"/>
    <w:rsid w:val="00A87760"/>
    <w:rsid w:val="00A87E9D"/>
    <w:rsid w:val="00A87F8B"/>
    <w:rsid w:val="00A91036"/>
    <w:rsid w:val="00A9119A"/>
    <w:rsid w:val="00A9143B"/>
    <w:rsid w:val="00A938FB"/>
    <w:rsid w:val="00A94FEC"/>
    <w:rsid w:val="00A95006"/>
    <w:rsid w:val="00A96333"/>
    <w:rsid w:val="00A9637B"/>
    <w:rsid w:val="00A96C98"/>
    <w:rsid w:val="00A96FB7"/>
    <w:rsid w:val="00AA0523"/>
    <w:rsid w:val="00AA08D2"/>
    <w:rsid w:val="00AA2FCB"/>
    <w:rsid w:val="00AA340E"/>
    <w:rsid w:val="00AA4405"/>
    <w:rsid w:val="00AA58F6"/>
    <w:rsid w:val="00AA642A"/>
    <w:rsid w:val="00AA7A6F"/>
    <w:rsid w:val="00AB0437"/>
    <w:rsid w:val="00AB1478"/>
    <w:rsid w:val="00AB14EE"/>
    <w:rsid w:val="00AB1D23"/>
    <w:rsid w:val="00AB3A9A"/>
    <w:rsid w:val="00AB48A8"/>
    <w:rsid w:val="00AB4C1F"/>
    <w:rsid w:val="00AB5004"/>
    <w:rsid w:val="00AB6184"/>
    <w:rsid w:val="00AB7039"/>
    <w:rsid w:val="00AC01B6"/>
    <w:rsid w:val="00AC0B8C"/>
    <w:rsid w:val="00AC1977"/>
    <w:rsid w:val="00AC2C71"/>
    <w:rsid w:val="00AC3A6D"/>
    <w:rsid w:val="00AC3AC9"/>
    <w:rsid w:val="00AC4A1A"/>
    <w:rsid w:val="00AC5359"/>
    <w:rsid w:val="00AC53B7"/>
    <w:rsid w:val="00AC5D2B"/>
    <w:rsid w:val="00AC62F5"/>
    <w:rsid w:val="00AC6754"/>
    <w:rsid w:val="00AC6AE2"/>
    <w:rsid w:val="00AC75CC"/>
    <w:rsid w:val="00AD0302"/>
    <w:rsid w:val="00AD1127"/>
    <w:rsid w:val="00AD2E05"/>
    <w:rsid w:val="00AD3280"/>
    <w:rsid w:val="00AD4736"/>
    <w:rsid w:val="00AD4E51"/>
    <w:rsid w:val="00AD516E"/>
    <w:rsid w:val="00AD54E2"/>
    <w:rsid w:val="00AD5532"/>
    <w:rsid w:val="00AD627E"/>
    <w:rsid w:val="00AD6AD0"/>
    <w:rsid w:val="00AE1334"/>
    <w:rsid w:val="00AE168A"/>
    <w:rsid w:val="00AE32D0"/>
    <w:rsid w:val="00AE3642"/>
    <w:rsid w:val="00AE484F"/>
    <w:rsid w:val="00AE56DA"/>
    <w:rsid w:val="00AE58C1"/>
    <w:rsid w:val="00AE6BF6"/>
    <w:rsid w:val="00AE7048"/>
    <w:rsid w:val="00AE73CF"/>
    <w:rsid w:val="00AE7943"/>
    <w:rsid w:val="00AF00B8"/>
    <w:rsid w:val="00AF1EC1"/>
    <w:rsid w:val="00AF2580"/>
    <w:rsid w:val="00AF27C3"/>
    <w:rsid w:val="00AF2AF4"/>
    <w:rsid w:val="00AF3C3D"/>
    <w:rsid w:val="00AF678B"/>
    <w:rsid w:val="00AF6D85"/>
    <w:rsid w:val="00AF7E54"/>
    <w:rsid w:val="00B00404"/>
    <w:rsid w:val="00B00B13"/>
    <w:rsid w:val="00B017A4"/>
    <w:rsid w:val="00B027EF"/>
    <w:rsid w:val="00B0361A"/>
    <w:rsid w:val="00B04BBE"/>
    <w:rsid w:val="00B04E9F"/>
    <w:rsid w:val="00B04F44"/>
    <w:rsid w:val="00B05E6A"/>
    <w:rsid w:val="00B07498"/>
    <w:rsid w:val="00B07C8E"/>
    <w:rsid w:val="00B118DD"/>
    <w:rsid w:val="00B11EED"/>
    <w:rsid w:val="00B120F7"/>
    <w:rsid w:val="00B12442"/>
    <w:rsid w:val="00B12EBB"/>
    <w:rsid w:val="00B140F6"/>
    <w:rsid w:val="00B148F9"/>
    <w:rsid w:val="00B16481"/>
    <w:rsid w:val="00B16BEA"/>
    <w:rsid w:val="00B16FA9"/>
    <w:rsid w:val="00B17597"/>
    <w:rsid w:val="00B201B1"/>
    <w:rsid w:val="00B20F7E"/>
    <w:rsid w:val="00B22301"/>
    <w:rsid w:val="00B23712"/>
    <w:rsid w:val="00B243CE"/>
    <w:rsid w:val="00B24BFE"/>
    <w:rsid w:val="00B253C3"/>
    <w:rsid w:val="00B25985"/>
    <w:rsid w:val="00B25C90"/>
    <w:rsid w:val="00B26BB6"/>
    <w:rsid w:val="00B30627"/>
    <w:rsid w:val="00B30C3E"/>
    <w:rsid w:val="00B340B2"/>
    <w:rsid w:val="00B34C04"/>
    <w:rsid w:val="00B34E35"/>
    <w:rsid w:val="00B35143"/>
    <w:rsid w:val="00B355D0"/>
    <w:rsid w:val="00B3567F"/>
    <w:rsid w:val="00B3619A"/>
    <w:rsid w:val="00B364CB"/>
    <w:rsid w:val="00B405C7"/>
    <w:rsid w:val="00B40B0B"/>
    <w:rsid w:val="00B416BA"/>
    <w:rsid w:val="00B42187"/>
    <w:rsid w:val="00B43151"/>
    <w:rsid w:val="00B43161"/>
    <w:rsid w:val="00B43394"/>
    <w:rsid w:val="00B43739"/>
    <w:rsid w:val="00B4587B"/>
    <w:rsid w:val="00B460C1"/>
    <w:rsid w:val="00B461EE"/>
    <w:rsid w:val="00B466ED"/>
    <w:rsid w:val="00B5022D"/>
    <w:rsid w:val="00B505CD"/>
    <w:rsid w:val="00B51C8C"/>
    <w:rsid w:val="00B51F85"/>
    <w:rsid w:val="00B5291E"/>
    <w:rsid w:val="00B539AB"/>
    <w:rsid w:val="00B539EB"/>
    <w:rsid w:val="00B54F6F"/>
    <w:rsid w:val="00B5585B"/>
    <w:rsid w:val="00B6060A"/>
    <w:rsid w:val="00B60A55"/>
    <w:rsid w:val="00B6182F"/>
    <w:rsid w:val="00B619C8"/>
    <w:rsid w:val="00B61B5A"/>
    <w:rsid w:val="00B61EA4"/>
    <w:rsid w:val="00B62D14"/>
    <w:rsid w:val="00B63701"/>
    <w:rsid w:val="00B646E2"/>
    <w:rsid w:val="00B64BD4"/>
    <w:rsid w:val="00B65490"/>
    <w:rsid w:val="00B6592A"/>
    <w:rsid w:val="00B6644E"/>
    <w:rsid w:val="00B66725"/>
    <w:rsid w:val="00B66A01"/>
    <w:rsid w:val="00B70441"/>
    <w:rsid w:val="00B70F39"/>
    <w:rsid w:val="00B75FCD"/>
    <w:rsid w:val="00B76CE3"/>
    <w:rsid w:val="00B76EF4"/>
    <w:rsid w:val="00B805B3"/>
    <w:rsid w:val="00B80920"/>
    <w:rsid w:val="00B812C3"/>
    <w:rsid w:val="00B8131D"/>
    <w:rsid w:val="00B81832"/>
    <w:rsid w:val="00B819AF"/>
    <w:rsid w:val="00B83DBA"/>
    <w:rsid w:val="00B84954"/>
    <w:rsid w:val="00B84FE4"/>
    <w:rsid w:val="00B85668"/>
    <w:rsid w:val="00B85C70"/>
    <w:rsid w:val="00B85C9A"/>
    <w:rsid w:val="00B90DDF"/>
    <w:rsid w:val="00B90F33"/>
    <w:rsid w:val="00B91A6A"/>
    <w:rsid w:val="00B91DE8"/>
    <w:rsid w:val="00B9412C"/>
    <w:rsid w:val="00B94F17"/>
    <w:rsid w:val="00B95233"/>
    <w:rsid w:val="00B95315"/>
    <w:rsid w:val="00B9609E"/>
    <w:rsid w:val="00B967AF"/>
    <w:rsid w:val="00B976E8"/>
    <w:rsid w:val="00B978AC"/>
    <w:rsid w:val="00B97A62"/>
    <w:rsid w:val="00B97A7F"/>
    <w:rsid w:val="00BA1914"/>
    <w:rsid w:val="00BA1EFE"/>
    <w:rsid w:val="00BA2F58"/>
    <w:rsid w:val="00BA557A"/>
    <w:rsid w:val="00BA5C9D"/>
    <w:rsid w:val="00BB0D9D"/>
    <w:rsid w:val="00BB113E"/>
    <w:rsid w:val="00BB203C"/>
    <w:rsid w:val="00BB2199"/>
    <w:rsid w:val="00BB2E96"/>
    <w:rsid w:val="00BB3924"/>
    <w:rsid w:val="00BB46DC"/>
    <w:rsid w:val="00BB4A5B"/>
    <w:rsid w:val="00BB6256"/>
    <w:rsid w:val="00BB625D"/>
    <w:rsid w:val="00BB6809"/>
    <w:rsid w:val="00BB6B97"/>
    <w:rsid w:val="00BB7799"/>
    <w:rsid w:val="00BC0EBD"/>
    <w:rsid w:val="00BC1183"/>
    <w:rsid w:val="00BC1800"/>
    <w:rsid w:val="00BC30C0"/>
    <w:rsid w:val="00BC311B"/>
    <w:rsid w:val="00BC33E4"/>
    <w:rsid w:val="00BC55D7"/>
    <w:rsid w:val="00BC62D2"/>
    <w:rsid w:val="00BC69FE"/>
    <w:rsid w:val="00BC7C1A"/>
    <w:rsid w:val="00BD11B9"/>
    <w:rsid w:val="00BD22A0"/>
    <w:rsid w:val="00BD243C"/>
    <w:rsid w:val="00BD2A16"/>
    <w:rsid w:val="00BD4401"/>
    <w:rsid w:val="00BD445E"/>
    <w:rsid w:val="00BD4604"/>
    <w:rsid w:val="00BD6B86"/>
    <w:rsid w:val="00BD6F47"/>
    <w:rsid w:val="00BD7C32"/>
    <w:rsid w:val="00BD7E1E"/>
    <w:rsid w:val="00BE0F85"/>
    <w:rsid w:val="00BE3A18"/>
    <w:rsid w:val="00BE4E7E"/>
    <w:rsid w:val="00BE5B22"/>
    <w:rsid w:val="00BE659C"/>
    <w:rsid w:val="00BE6693"/>
    <w:rsid w:val="00BE737D"/>
    <w:rsid w:val="00BE73BC"/>
    <w:rsid w:val="00BE7606"/>
    <w:rsid w:val="00BF00B2"/>
    <w:rsid w:val="00BF1325"/>
    <w:rsid w:val="00BF2961"/>
    <w:rsid w:val="00BF3A38"/>
    <w:rsid w:val="00BF50BD"/>
    <w:rsid w:val="00BF5DF5"/>
    <w:rsid w:val="00BF6224"/>
    <w:rsid w:val="00C013B5"/>
    <w:rsid w:val="00C0140E"/>
    <w:rsid w:val="00C01EE7"/>
    <w:rsid w:val="00C024FD"/>
    <w:rsid w:val="00C0267B"/>
    <w:rsid w:val="00C0425A"/>
    <w:rsid w:val="00C0481A"/>
    <w:rsid w:val="00C04CD2"/>
    <w:rsid w:val="00C06046"/>
    <w:rsid w:val="00C0674A"/>
    <w:rsid w:val="00C07DEE"/>
    <w:rsid w:val="00C10F03"/>
    <w:rsid w:val="00C11D35"/>
    <w:rsid w:val="00C15780"/>
    <w:rsid w:val="00C15885"/>
    <w:rsid w:val="00C159C9"/>
    <w:rsid w:val="00C1669E"/>
    <w:rsid w:val="00C176D6"/>
    <w:rsid w:val="00C17DEC"/>
    <w:rsid w:val="00C21538"/>
    <w:rsid w:val="00C220E4"/>
    <w:rsid w:val="00C236E2"/>
    <w:rsid w:val="00C24328"/>
    <w:rsid w:val="00C24332"/>
    <w:rsid w:val="00C26548"/>
    <w:rsid w:val="00C26B17"/>
    <w:rsid w:val="00C26CD1"/>
    <w:rsid w:val="00C27506"/>
    <w:rsid w:val="00C30E24"/>
    <w:rsid w:val="00C32DAC"/>
    <w:rsid w:val="00C334C8"/>
    <w:rsid w:val="00C33F0C"/>
    <w:rsid w:val="00C3460F"/>
    <w:rsid w:val="00C34A9C"/>
    <w:rsid w:val="00C34EF9"/>
    <w:rsid w:val="00C367CD"/>
    <w:rsid w:val="00C36A85"/>
    <w:rsid w:val="00C36E30"/>
    <w:rsid w:val="00C37BEE"/>
    <w:rsid w:val="00C37DB1"/>
    <w:rsid w:val="00C40BC1"/>
    <w:rsid w:val="00C4102C"/>
    <w:rsid w:val="00C4195F"/>
    <w:rsid w:val="00C42245"/>
    <w:rsid w:val="00C424AA"/>
    <w:rsid w:val="00C42945"/>
    <w:rsid w:val="00C434CF"/>
    <w:rsid w:val="00C43D43"/>
    <w:rsid w:val="00C44170"/>
    <w:rsid w:val="00C44738"/>
    <w:rsid w:val="00C4511A"/>
    <w:rsid w:val="00C46390"/>
    <w:rsid w:val="00C46ED8"/>
    <w:rsid w:val="00C47350"/>
    <w:rsid w:val="00C473CC"/>
    <w:rsid w:val="00C473DD"/>
    <w:rsid w:val="00C4796E"/>
    <w:rsid w:val="00C479C2"/>
    <w:rsid w:val="00C47CA9"/>
    <w:rsid w:val="00C47E1E"/>
    <w:rsid w:val="00C50D80"/>
    <w:rsid w:val="00C515D9"/>
    <w:rsid w:val="00C51827"/>
    <w:rsid w:val="00C51FEE"/>
    <w:rsid w:val="00C52053"/>
    <w:rsid w:val="00C530F1"/>
    <w:rsid w:val="00C5443B"/>
    <w:rsid w:val="00C55004"/>
    <w:rsid w:val="00C56702"/>
    <w:rsid w:val="00C56D85"/>
    <w:rsid w:val="00C57711"/>
    <w:rsid w:val="00C5781D"/>
    <w:rsid w:val="00C5797E"/>
    <w:rsid w:val="00C6019D"/>
    <w:rsid w:val="00C60CDD"/>
    <w:rsid w:val="00C618AF"/>
    <w:rsid w:val="00C61B69"/>
    <w:rsid w:val="00C61C07"/>
    <w:rsid w:val="00C61E04"/>
    <w:rsid w:val="00C62F3F"/>
    <w:rsid w:val="00C64000"/>
    <w:rsid w:val="00C66CAD"/>
    <w:rsid w:val="00C71405"/>
    <w:rsid w:val="00C720D2"/>
    <w:rsid w:val="00C7430A"/>
    <w:rsid w:val="00C7690B"/>
    <w:rsid w:val="00C76D71"/>
    <w:rsid w:val="00C77C4F"/>
    <w:rsid w:val="00C803ED"/>
    <w:rsid w:val="00C80486"/>
    <w:rsid w:val="00C811AB"/>
    <w:rsid w:val="00C815AC"/>
    <w:rsid w:val="00C81F69"/>
    <w:rsid w:val="00C820D3"/>
    <w:rsid w:val="00C831E1"/>
    <w:rsid w:val="00C83D8D"/>
    <w:rsid w:val="00C84A5A"/>
    <w:rsid w:val="00C85023"/>
    <w:rsid w:val="00C85FBC"/>
    <w:rsid w:val="00C863BC"/>
    <w:rsid w:val="00C870BA"/>
    <w:rsid w:val="00C876C7"/>
    <w:rsid w:val="00C87976"/>
    <w:rsid w:val="00C908F8"/>
    <w:rsid w:val="00C91A87"/>
    <w:rsid w:val="00C91B0F"/>
    <w:rsid w:val="00C91E06"/>
    <w:rsid w:val="00C91E4D"/>
    <w:rsid w:val="00C92530"/>
    <w:rsid w:val="00C925D8"/>
    <w:rsid w:val="00C92B7E"/>
    <w:rsid w:val="00C93FF0"/>
    <w:rsid w:val="00C9486F"/>
    <w:rsid w:val="00C95517"/>
    <w:rsid w:val="00C95B52"/>
    <w:rsid w:val="00C96CE8"/>
    <w:rsid w:val="00C96D0F"/>
    <w:rsid w:val="00C971FD"/>
    <w:rsid w:val="00C97F28"/>
    <w:rsid w:val="00CA13F2"/>
    <w:rsid w:val="00CA1597"/>
    <w:rsid w:val="00CA2B86"/>
    <w:rsid w:val="00CA2E53"/>
    <w:rsid w:val="00CA442A"/>
    <w:rsid w:val="00CA4496"/>
    <w:rsid w:val="00CA471F"/>
    <w:rsid w:val="00CA4F81"/>
    <w:rsid w:val="00CA5E86"/>
    <w:rsid w:val="00CA64DF"/>
    <w:rsid w:val="00CB0B3D"/>
    <w:rsid w:val="00CB2838"/>
    <w:rsid w:val="00CB29E6"/>
    <w:rsid w:val="00CB386C"/>
    <w:rsid w:val="00CB397D"/>
    <w:rsid w:val="00CB3D6B"/>
    <w:rsid w:val="00CB4CF0"/>
    <w:rsid w:val="00CB72FD"/>
    <w:rsid w:val="00CC0B7E"/>
    <w:rsid w:val="00CC224A"/>
    <w:rsid w:val="00CC276D"/>
    <w:rsid w:val="00CC2C70"/>
    <w:rsid w:val="00CC3323"/>
    <w:rsid w:val="00CC39AB"/>
    <w:rsid w:val="00CC4731"/>
    <w:rsid w:val="00CC5212"/>
    <w:rsid w:val="00CC6483"/>
    <w:rsid w:val="00CC65A6"/>
    <w:rsid w:val="00CC6E08"/>
    <w:rsid w:val="00CD0588"/>
    <w:rsid w:val="00CD3471"/>
    <w:rsid w:val="00CD3C0C"/>
    <w:rsid w:val="00CD597D"/>
    <w:rsid w:val="00CD5D6B"/>
    <w:rsid w:val="00CD7373"/>
    <w:rsid w:val="00CD7D92"/>
    <w:rsid w:val="00CE25A7"/>
    <w:rsid w:val="00CE2BEB"/>
    <w:rsid w:val="00CE353E"/>
    <w:rsid w:val="00CE7D7F"/>
    <w:rsid w:val="00CF0C36"/>
    <w:rsid w:val="00CF0D64"/>
    <w:rsid w:val="00CF0FC9"/>
    <w:rsid w:val="00CF12C5"/>
    <w:rsid w:val="00CF1DF9"/>
    <w:rsid w:val="00CF228B"/>
    <w:rsid w:val="00CF2FC1"/>
    <w:rsid w:val="00CF5612"/>
    <w:rsid w:val="00CF731B"/>
    <w:rsid w:val="00D0169D"/>
    <w:rsid w:val="00D02C4A"/>
    <w:rsid w:val="00D035E0"/>
    <w:rsid w:val="00D03830"/>
    <w:rsid w:val="00D03982"/>
    <w:rsid w:val="00D03BFB"/>
    <w:rsid w:val="00D0571B"/>
    <w:rsid w:val="00D06B47"/>
    <w:rsid w:val="00D10CCA"/>
    <w:rsid w:val="00D13341"/>
    <w:rsid w:val="00D140E0"/>
    <w:rsid w:val="00D14CB4"/>
    <w:rsid w:val="00D160AE"/>
    <w:rsid w:val="00D1712C"/>
    <w:rsid w:val="00D17489"/>
    <w:rsid w:val="00D2209C"/>
    <w:rsid w:val="00D23649"/>
    <w:rsid w:val="00D2660B"/>
    <w:rsid w:val="00D26E19"/>
    <w:rsid w:val="00D27AD1"/>
    <w:rsid w:val="00D30457"/>
    <w:rsid w:val="00D3166A"/>
    <w:rsid w:val="00D319A6"/>
    <w:rsid w:val="00D31BAE"/>
    <w:rsid w:val="00D321F0"/>
    <w:rsid w:val="00D33B8B"/>
    <w:rsid w:val="00D33C2C"/>
    <w:rsid w:val="00D34CC7"/>
    <w:rsid w:val="00D34E8B"/>
    <w:rsid w:val="00D353F5"/>
    <w:rsid w:val="00D35547"/>
    <w:rsid w:val="00D378E1"/>
    <w:rsid w:val="00D40C01"/>
    <w:rsid w:val="00D416C4"/>
    <w:rsid w:val="00D42E34"/>
    <w:rsid w:val="00D43C2D"/>
    <w:rsid w:val="00D454A4"/>
    <w:rsid w:val="00D464FC"/>
    <w:rsid w:val="00D47D24"/>
    <w:rsid w:val="00D502F6"/>
    <w:rsid w:val="00D50532"/>
    <w:rsid w:val="00D5109A"/>
    <w:rsid w:val="00D51C91"/>
    <w:rsid w:val="00D53065"/>
    <w:rsid w:val="00D5344F"/>
    <w:rsid w:val="00D535BD"/>
    <w:rsid w:val="00D53C77"/>
    <w:rsid w:val="00D54211"/>
    <w:rsid w:val="00D5500A"/>
    <w:rsid w:val="00D55098"/>
    <w:rsid w:val="00D55A00"/>
    <w:rsid w:val="00D55A8D"/>
    <w:rsid w:val="00D55D83"/>
    <w:rsid w:val="00D5690B"/>
    <w:rsid w:val="00D56AB7"/>
    <w:rsid w:val="00D60984"/>
    <w:rsid w:val="00D611B9"/>
    <w:rsid w:val="00D61C5B"/>
    <w:rsid w:val="00D62EA0"/>
    <w:rsid w:val="00D65308"/>
    <w:rsid w:val="00D65602"/>
    <w:rsid w:val="00D66641"/>
    <w:rsid w:val="00D670CE"/>
    <w:rsid w:val="00D674C6"/>
    <w:rsid w:val="00D73E49"/>
    <w:rsid w:val="00D74364"/>
    <w:rsid w:val="00D75BD4"/>
    <w:rsid w:val="00D76543"/>
    <w:rsid w:val="00D800D8"/>
    <w:rsid w:val="00D81EEB"/>
    <w:rsid w:val="00D84C15"/>
    <w:rsid w:val="00D84EA8"/>
    <w:rsid w:val="00D857BC"/>
    <w:rsid w:val="00D86377"/>
    <w:rsid w:val="00D86A2D"/>
    <w:rsid w:val="00D86CC5"/>
    <w:rsid w:val="00D90DD3"/>
    <w:rsid w:val="00D92276"/>
    <w:rsid w:val="00D92A26"/>
    <w:rsid w:val="00D94CFB"/>
    <w:rsid w:val="00D95550"/>
    <w:rsid w:val="00D965D5"/>
    <w:rsid w:val="00D96674"/>
    <w:rsid w:val="00D96B23"/>
    <w:rsid w:val="00D97412"/>
    <w:rsid w:val="00D974D7"/>
    <w:rsid w:val="00DA099C"/>
    <w:rsid w:val="00DA2666"/>
    <w:rsid w:val="00DA269D"/>
    <w:rsid w:val="00DA3CB5"/>
    <w:rsid w:val="00DA462C"/>
    <w:rsid w:val="00DA4DC6"/>
    <w:rsid w:val="00DA5041"/>
    <w:rsid w:val="00DA52FC"/>
    <w:rsid w:val="00DA5968"/>
    <w:rsid w:val="00DA67B2"/>
    <w:rsid w:val="00DA71F6"/>
    <w:rsid w:val="00DA775E"/>
    <w:rsid w:val="00DA77C3"/>
    <w:rsid w:val="00DB11B9"/>
    <w:rsid w:val="00DB26EA"/>
    <w:rsid w:val="00DB33B4"/>
    <w:rsid w:val="00DB3797"/>
    <w:rsid w:val="00DB3B84"/>
    <w:rsid w:val="00DB4913"/>
    <w:rsid w:val="00DB69C9"/>
    <w:rsid w:val="00DB6E70"/>
    <w:rsid w:val="00DB7971"/>
    <w:rsid w:val="00DB7C04"/>
    <w:rsid w:val="00DC0809"/>
    <w:rsid w:val="00DC0974"/>
    <w:rsid w:val="00DC451B"/>
    <w:rsid w:val="00DC6525"/>
    <w:rsid w:val="00DC65D7"/>
    <w:rsid w:val="00DC66C7"/>
    <w:rsid w:val="00DC6CAB"/>
    <w:rsid w:val="00DC7B5E"/>
    <w:rsid w:val="00DD0D8D"/>
    <w:rsid w:val="00DD0E20"/>
    <w:rsid w:val="00DD1D4B"/>
    <w:rsid w:val="00DD2005"/>
    <w:rsid w:val="00DD3285"/>
    <w:rsid w:val="00DD39A8"/>
    <w:rsid w:val="00DD4AD3"/>
    <w:rsid w:val="00DD5528"/>
    <w:rsid w:val="00DE051D"/>
    <w:rsid w:val="00DE08E5"/>
    <w:rsid w:val="00DE1C19"/>
    <w:rsid w:val="00DE1ED2"/>
    <w:rsid w:val="00DE2089"/>
    <w:rsid w:val="00DE24D6"/>
    <w:rsid w:val="00DE28C5"/>
    <w:rsid w:val="00DE29CA"/>
    <w:rsid w:val="00DE2EF1"/>
    <w:rsid w:val="00DE562B"/>
    <w:rsid w:val="00DE5806"/>
    <w:rsid w:val="00DE59D4"/>
    <w:rsid w:val="00DE5A64"/>
    <w:rsid w:val="00DE6ED5"/>
    <w:rsid w:val="00DE7AA0"/>
    <w:rsid w:val="00DF0827"/>
    <w:rsid w:val="00DF149B"/>
    <w:rsid w:val="00DF1EBB"/>
    <w:rsid w:val="00DF1FAE"/>
    <w:rsid w:val="00DF20FF"/>
    <w:rsid w:val="00DF4674"/>
    <w:rsid w:val="00DF55AA"/>
    <w:rsid w:val="00DF7D16"/>
    <w:rsid w:val="00E02E3B"/>
    <w:rsid w:val="00E03084"/>
    <w:rsid w:val="00E0430C"/>
    <w:rsid w:val="00E04F55"/>
    <w:rsid w:val="00E0500E"/>
    <w:rsid w:val="00E11384"/>
    <w:rsid w:val="00E12030"/>
    <w:rsid w:val="00E12D60"/>
    <w:rsid w:val="00E139D5"/>
    <w:rsid w:val="00E13B7B"/>
    <w:rsid w:val="00E15F7F"/>
    <w:rsid w:val="00E16186"/>
    <w:rsid w:val="00E17E1C"/>
    <w:rsid w:val="00E20047"/>
    <w:rsid w:val="00E2013C"/>
    <w:rsid w:val="00E20BB9"/>
    <w:rsid w:val="00E20FF6"/>
    <w:rsid w:val="00E21263"/>
    <w:rsid w:val="00E21A5F"/>
    <w:rsid w:val="00E22D67"/>
    <w:rsid w:val="00E23331"/>
    <w:rsid w:val="00E23478"/>
    <w:rsid w:val="00E2375C"/>
    <w:rsid w:val="00E24676"/>
    <w:rsid w:val="00E25844"/>
    <w:rsid w:val="00E2781B"/>
    <w:rsid w:val="00E2799C"/>
    <w:rsid w:val="00E3057A"/>
    <w:rsid w:val="00E319C0"/>
    <w:rsid w:val="00E32F90"/>
    <w:rsid w:val="00E33CC0"/>
    <w:rsid w:val="00E33E02"/>
    <w:rsid w:val="00E342CB"/>
    <w:rsid w:val="00E3478D"/>
    <w:rsid w:val="00E34D9F"/>
    <w:rsid w:val="00E358BA"/>
    <w:rsid w:val="00E36F7E"/>
    <w:rsid w:val="00E37F95"/>
    <w:rsid w:val="00E4105F"/>
    <w:rsid w:val="00E41590"/>
    <w:rsid w:val="00E422DF"/>
    <w:rsid w:val="00E47108"/>
    <w:rsid w:val="00E4771E"/>
    <w:rsid w:val="00E47E2B"/>
    <w:rsid w:val="00E5175B"/>
    <w:rsid w:val="00E51DE0"/>
    <w:rsid w:val="00E52925"/>
    <w:rsid w:val="00E535AA"/>
    <w:rsid w:val="00E53C7E"/>
    <w:rsid w:val="00E53E33"/>
    <w:rsid w:val="00E545F1"/>
    <w:rsid w:val="00E55058"/>
    <w:rsid w:val="00E55CC0"/>
    <w:rsid w:val="00E573C9"/>
    <w:rsid w:val="00E60213"/>
    <w:rsid w:val="00E605A3"/>
    <w:rsid w:val="00E60A08"/>
    <w:rsid w:val="00E612A9"/>
    <w:rsid w:val="00E61B4C"/>
    <w:rsid w:val="00E61D43"/>
    <w:rsid w:val="00E62208"/>
    <w:rsid w:val="00E6237F"/>
    <w:rsid w:val="00E6320C"/>
    <w:rsid w:val="00E637D1"/>
    <w:rsid w:val="00E6571A"/>
    <w:rsid w:val="00E657DC"/>
    <w:rsid w:val="00E66F05"/>
    <w:rsid w:val="00E677AA"/>
    <w:rsid w:val="00E70935"/>
    <w:rsid w:val="00E70E52"/>
    <w:rsid w:val="00E71527"/>
    <w:rsid w:val="00E7174A"/>
    <w:rsid w:val="00E72189"/>
    <w:rsid w:val="00E727DC"/>
    <w:rsid w:val="00E747EC"/>
    <w:rsid w:val="00E753F7"/>
    <w:rsid w:val="00E770E7"/>
    <w:rsid w:val="00E80478"/>
    <w:rsid w:val="00E809A1"/>
    <w:rsid w:val="00E80E44"/>
    <w:rsid w:val="00E81FD0"/>
    <w:rsid w:val="00E82924"/>
    <w:rsid w:val="00E83B42"/>
    <w:rsid w:val="00E9074A"/>
    <w:rsid w:val="00E9192A"/>
    <w:rsid w:val="00E92B36"/>
    <w:rsid w:val="00E938D9"/>
    <w:rsid w:val="00E9400B"/>
    <w:rsid w:val="00E941A9"/>
    <w:rsid w:val="00E94E50"/>
    <w:rsid w:val="00E96451"/>
    <w:rsid w:val="00E96B57"/>
    <w:rsid w:val="00E97DCA"/>
    <w:rsid w:val="00EA07C1"/>
    <w:rsid w:val="00EA0B90"/>
    <w:rsid w:val="00EA0E6F"/>
    <w:rsid w:val="00EA1928"/>
    <w:rsid w:val="00EA3FE6"/>
    <w:rsid w:val="00EA514A"/>
    <w:rsid w:val="00EA5A28"/>
    <w:rsid w:val="00EA5EC4"/>
    <w:rsid w:val="00EA602B"/>
    <w:rsid w:val="00EB1221"/>
    <w:rsid w:val="00EB1264"/>
    <w:rsid w:val="00EB461C"/>
    <w:rsid w:val="00EB4F89"/>
    <w:rsid w:val="00EB50B0"/>
    <w:rsid w:val="00EB5EA7"/>
    <w:rsid w:val="00EB5ECC"/>
    <w:rsid w:val="00EB735A"/>
    <w:rsid w:val="00EC14F9"/>
    <w:rsid w:val="00EC2048"/>
    <w:rsid w:val="00EC204F"/>
    <w:rsid w:val="00EC2CF9"/>
    <w:rsid w:val="00EC38FC"/>
    <w:rsid w:val="00EC5639"/>
    <w:rsid w:val="00EC5679"/>
    <w:rsid w:val="00EC6957"/>
    <w:rsid w:val="00EC7B0B"/>
    <w:rsid w:val="00EC7F98"/>
    <w:rsid w:val="00ED1471"/>
    <w:rsid w:val="00ED150E"/>
    <w:rsid w:val="00ED1688"/>
    <w:rsid w:val="00ED2921"/>
    <w:rsid w:val="00ED2F0D"/>
    <w:rsid w:val="00ED3798"/>
    <w:rsid w:val="00ED5064"/>
    <w:rsid w:val="00ED6A65"/>
    <w:rsid w:val="00ED7559"/>
    <w:rsid w:val="00ED75E4"/>
    <w:rsid w:val="00ED7F40"/>
    <w:rsid w:val="00EE1176"/>
    <w:rsid w:val="00EE27C0"/>
    <w:rsid w:val="00EE2ED9"/>
    <w:rsid w:val="00EE6D3A"/>
    <w:rsid w:val="00EE7C49"/>
    <w:rsid w:val="00EF0F95"/>
    <w:rsid w:val="00EF12EE"/>
    <w:rsid w:val="00EF17FB"/>
    <w:rsid w:val="00EF4C12"/>
    <w:rsid w:val="00EF5C11"/>
    <w:rsid w:val="00EF61F2"/>
    <w:rsid w:val="00EF7256"/>
    <w:rsid w:val="00EF7EB8"/>
    <w:rsid w:val="00F00852"/>
    <w:rsid w:val="00F0085D"/>
    <w:rsid w:val="00F01DCE"/>
    <w:rsid w:val="00F02442"/>
    <w:rsid w:val="00F033D4"/>
    <w:rsid w:val="00F034BD"/>
    <w:rsid w:val="00F044A0"/>
    <w:rsid w:val="00F0488D"/>
    <w:rsid w:val="00F049EE"/>
    <w:rsid w:val="00F05060"/>
    <w:rsid w:val="00F05DF5"/>
    <w:rsid w:val="00F06570"/>
    <w:rsid w:val="00F067EB"/>
    <w:rsid w:val="00F06833"/>
    <w:rsid w:val="00F072EE"/>
    <w:rsid w:val="00F07B17"/>
    <w:rsid w:val="00F07F9A"/>
    <w:rsid w:val="00F11113"/>
    <w:rsid w:val="00F117EC"/>
    <w:rsid w:val="00F13AF8"/>
    <w:rsid w:val="00F14AF0"/>
    <w:rsid w:val="00F15AD7"/>
    <w:rsid w:val="00F15BAC"/>
    <w:rsid w:val="00F15E04"/>
    <w:rsid w:val="00F16D25"/>
    <w:rsid w:val="00F1772A"/>
    <w:rsid w:val="00F20100"/>
    <w:rsid w:val="00F210F7"/>
    <w:rsid w:val="00F22283"/>
    <w:rsid w:val="00F22553"/>
    <w:rsid w:val="00F229F6"/>
    <w:rsid w:val="00F22EAA"/>
    <w:rsid w:val="00F22F27"/>
    <w:rsid w:val="00F231F1"/>
    <w:rsid w:val="00F2360A"/>
    <w:rsid w:val="00F239F5"/>
    <w:rsid w:val="00F23D53"/>
    <w:rsid w:val="00F23FEB"/>
    <w:rsid w:val="00F24420"/>
    <w:rsid w:val="00F26EA3"/>
    <w:rsid w:val="00F27579"/>
    <w:rsid w:val="00F30DD7"/>
    <w:rsid w:val="00F31BFF"/>
    <w:rsid w:val="00F32354"/>
    <w:rsid w:val="00F32709"/>
    <w:rsid w:val="00F33E0D"/>
    <w:rsid w:val="00F346C4"/>
    <w:rsid w:val="00F347A4"/>
    <w:rsid w:val="00F3496C"/>
    <w:rsid w:val="00F351CE"/>
    <w:rsid w:val="00F353E9"/>
    <w:rsid w:val="00F35F22"/>
    <w:rsid w:val="00F36CBE"/>
    <w:rsid w:val="00F406A9"/>
    <w:rsid w:val="00F40BB8"/>
    <w:rsid w:val="00F40CD2"/>
    <w:rsid w:val="00F413EF"/>
    <w:rsid w:val="00F41445"/>
    <w:rsid w:val="00F43803"/>
    <w:rsid w:val="00F43A63"/>
    <w:rsid w:val="00F455B1"/>
    <w:rsid w:val="00F46CE6"/>
    <w:rsid w:val="00F50361"/>
    <w:rsid w:val="00F513A0"/>
    <w:rsid w:val="00F51DB3"/>
    <w:rsid w:val="00F51FEE"/>
    <w:rsid w:val="00F52FC1"/>
    <w:rsid w:val="00F531ED"/>
    <w:rsid w:val="00F5369C"/>
    <w:rsid w:val="00F54132"/>
    <w:rsid w:val="00F54222"/>
    <w:rsid w:val="00F551BE"/>
    <w:rsid w:val="00F55268"/>
    <w:rsid w:val="00F5534C"/>
    <w:rsid w:val="00F56CC5"/>
    <w:rsid w:val="00F611D6"/>
    <w:rsid w:val="00F640D0"/>
    <w:rsid w:val="00F64248"/>
    <w:rsid w:val="00F64B9E"/>
    <w:rsid w:val="00F64D03"/>
    <w:rsid w:val="00F6600C"/>
    <w:rsid w:val="00F66384"/>
    <w:rsid w:val="00F66E68"/>
    <w:rsid w:val="00F675E7"/>
    <w:rsid w:val="00F70D3C"/>
    <w:rsid w:val="00F71A2B"/>
    <w:rsid w:val="00F71B15"/>
    <w:rsid w:val="00F72C5C"/>
    <w:rsid w:val="00F753B3"/>
    <w:rsid w:val="00F765A7"/>
    <w:rsid w:val="00F76696"/>
    <w:rsid w:val="00F77243"/>
    <w:rsid w:val="00F80B90"/>
    <w:rsid w:val="00F80CD8"/>
    <w:rsid w:val="00F813A7"/>
    <w:rsid w:val="00F843CA"/>
    <w:rsid w:val="00F848E6"/>
    <w:rsid w:val="00F8623B"/>
    <w:rsid w:val="00F86492"/>
    <w:rsid w:val="00F86F55"/>
    <w:rsid w:val="00F87024"/>
    <w:rsid w:val="00F879C2"/>
    <w:rsid w:val="00F903C3"/>
    <w:rsid w:val="00F91033"/>
    <w:rsid w:val="00F91B6D"/>
    <w:rsid w:val="00F91DDE"/>
    <w:rsid w:val="00F91FE6"/>
    <w:rsid w:val="00F921BF"/>
    <w:rsid w:val="00F923ED"/>
    <w:rsid w:val="00F92528"/>
    <w:rsid w:val="00F93510"/>
    <w:rsid w:val="00F93774"/>
    <w:rsid w:val="00F938A9"/>
    <w:rsid w:val="00F962E9"/>
    <w:rsid w:val="00F97CA9"/>
    <w:rsid w:val="00F97FEC"/>
    <w:rsid w:val="00FA3566"/>
    <w:rsid w:val="00FA3B77"/>
    <w:rsid w:val="00FA3F99"/>
    <w:rsid w:val="00FA4360"/>
    <w:rsid w:val="00FA44A4"/>
    <w:rsid w:val="00FA663D"/>
    <w:rsid w:val="00FA7EFD"/>
    <w:rsid w:val="00FB11AD"/>
    <w:rsid w:val="00FB142E"/>
    <w:rsid w:val="00FB1B19"/>
    <w:rsid w:val="00FB2A60"/>
    <w:rsid w:val="00FB2D48"/>
    <w:rsid w:val="00FB3781"/>
    <w:rsid w:val="00FB3868"/>
    <w:rsid w:val="00FB3EAD"/>
    <w:rsid w:val="00FB3EC9"/>
    <w:rsid w:val="00FB4477"/>
    <w:rsid w:val="00FB4A7D"/>
    <w:rsid w:val="00FB4EC2"/>
    <w:rsid w:val="00FB5937"/>
    <w:rsid w:val="00FB6481"/>
    <w:rsid w:val="00FB67FB"/>
    <w:rsid w:val="00FB73AD"/>
    <w:rsid w:val="00FB7BB1"/>
    <w:rsid w:val="00FB7DF7"/>
    <w:rsid w:val="00FC07E2"/>
    <w:rsid w:val="00FC1536"/>
    <w:rsid w:val="00FC1FB2"/>
    <w:rsid w:val="00FC254F"/>
    <w:rsid w:val="00FC2963"/>
    <w:rsid w:val="00FC3018"/>
    <w:rsid w:val="00FC4543"/>
    <w:rsid w:val="00FC47B2"/>
    <w:rsid w:val="00FC4F08"/>
    <w:rsid w:val="00FC657C"/>
    <w:rsid w:val="00FC76EF"/>
    <w:rsid w:val="00FC7A8E"/>
    <w:rsid w:val="00FC7FD3"/>
    <w:rsid w:val="00FD0A5C"/>
    <w:rsid w:val="00FD2B0E"/>
    <w:rsid w:val="00FD2D85"/>
    <w:rsid w:val="00FD39B1"/>
    <w:rsid w:val="00FD5684"/>
    <w:rsid w:val="00FD579C"/>
    <w:rsid w:val="00FD592C"/>
    <w:rsid w:val="00FE03FE"/>
    <w:rsid w:val="00FE0B21"/>
    <w:rsid w:val="00FE119A"/>
    <w:rsid w:val="00FE1A3B"/>
    <w:rsid w:val="00FE1D4D"/>
    <w:rsid w:val="00FE22D7"/>
    <w:rsid w:val="00FE2FA5"/>
    <w:rsid w:val="00FE3588"/>
    <w:rsid w:val="00FE4218"/>
    <w:rsid w:val="00FE45FA"/>
    <w:rsid w:val="00FE5E4C"/>
    <w:rsid w:val="00FF0C13"/>
    <w:rsid w:val="00FF0C1E"/>
    <w:rsid w:val="00FF2311"/>
    <w:rsid w:val="00FF250C"/>
    <w:rsid w:val="00FF41EE"/>
    <w:rsid w:val="00FF6529"/>
    <w:rsid w:val="00FF7B02"/>
    <w:rsid w:val="0140DE62"/>
    <w:rsid w:val="0438ADD9"/>
    <w:rsid w:val="04787F24"/>
    <w:rsid w:val="0480347E"/>
    <w:rsid w:val="049C2534"/>
    <w:rsid w:val="0511DD11"/>
    <w:rsid w:val="063F37B1"/>
    <w:rsid w:val="06798CB3"/>
    <w:rsid w:val="0684792E"/>
    <w:rsid w:val="06D20F34"/>
    <w:rsid w:val="07EA6268"/>
    <w:rsid w:val="080DB768"/>
    <w:rsid w:val="08C67745"/>
    <w:rsid w:val="09CA11A6"/>
    <w:rsid w:val="0B007F03"/>
    <w:rsid w:val="0BB4750B"/>
    <w:rsid w:val="0C5F56A2"/>
    <w:rsid w:val="0DB91E62"/>
    <w:rsid w:val="0F7CF417"/>
    <w:rsid w:val="10B69A6B"/>
    <w:rsid w:val="116C9DB9"/>
    <w:rsid w:val="12AB14B7"/>
    <w:rsid w:val="12BE7A9D"/>
    <w:rsid w:val="136FE0EF"/>
    <w:rsid w:val="13CFC5A8"/>
    <w:rsid w:val="148F41F5"/>
    <w:rsid w:val="14CA290D"/>
    <w:rsid w:val="16A2EE2A"/>
    <w:rsid w:val="16F6F4E1"/>
    <w:rsid w:val="17891724"/>
    <w:rsid w:val="19296603"/>
    <w:rsid w:val="1A4382F6"/>
    <w:rsid w:val="1A49B63E"/>
    <w:rsid w:val="1B2DDC89"/>
    <w:rsid w:val="1B7D1DE3"/>
    <w:rsid w:val="1C51915B"/>
    <w:rsid w:val="1C808816"/>
    <w:rsid w:val="1C96214C"/>
    <w:rsid w:val="1D6DFE17"/>
    <w:rsid w:val="1E2D18A4"/>
    <w:rsid w:val="1E93F7CC"/>
    <w:rsid w:val="1E9F2318"/>
    <w:rsid w:val="1ED4C241"/>
    <w:rsid w:val="1EEB6F1A"/>
    <w:rsid w:val="1F9FCAC4"/>
    <w:rsid w:val="20800D51"/>
    <w:rsid w:val="208BBB45"/>
    <w:rsid w:val="20B8063B"/>
    <w:rsid w:val="22DF263B"/>
    <w:rsid w:val="23000852"/>
    <w:rsid w:val="231D906A"/>
    <w:rsid w:val="238F6E19"/>
    <w:rsid w:val="23D33618"/>
    <w:rsid w:val="254CF289"/>
    <w:rsid w:val="262D2BD8"/>
    <w:rsid w:val="2638408C"/>
    <w:rsid w:val="2662AE58"/>
    <w:rsid w:val="27378677"/>
    <w:rsid w:val="27CFEDA0"/>
    <w:rsid w:val="27EED779"/>
    <w:rsid w:val="2922338B"/>
    <w:rsid w:val="29298DF9"/>
    <w:rsid w:val="2936A75C"/>
    <w:rsid w:val="297392CF"/>
    <w:rsid w:val="29871072"/>
    <w:rsid w:val="2A529B40"/>
    <w:rsid w:val="2AD9F968"/>
    <w:rsid w:val="2BF62656"/>
    <w:rsid w:val="2C847738"/>
    <w:rsid w:val="2DCBC135"/>
    <w:rsid w:val="2DF90945"/>
    <w:rsid w:val="2EE73C92"/>
    <w:rsid w:val="2F2C2919"/>
    <w:rsid w:val="303D99A0"/>
    <w:rsid w:val="31A62975"/>
    <w:rsid w:val="32C9B0D2"/>
    <w:rsid w:val="34D44F4D"/>
    <w:rsid w:val="358B08A7"/>
    <w:rsid w:val="35A92407"/>
    <w:rsid w:val="360C22C9"/>
    <w:rsid w:val="363799D9"/>
    <w:rsid w:val="36C87823"/>
    <w:rsid w:val="38BDAC10"/>
    <w:rsid w:val="39432C13"/>
    <w:rsid w:val="3991A41F"/>
    <w:rsid w:val="3A7CE214"/>
    <w:rsid w:val="3BDCBBED"/>
    <w:rsid w:val="3CB1E2EC"/>
    <w:rsid w:val="3CE02620"/>
    <w:rsid w:val="3E0E7DDA"/>
    <w:rsid w:val="3FEA978A"/>
    <w:rsid w:val="40B391A7"/>
    <w:rsid w:val="41318E15"/>
    <w:rsid w:val="4196F5C6"/>
    <w:rsid w:val="4267DB30"/>
    <w:rsid w:val="42E15785"/>
    <w:rsid w:val="42F70ACF"/>
    <w:rsid w:val="43F66231"/>
    <w:rsid w:val="43FCBB25"/>
    <w:rsid w:val="44BBECA4"/>
    <w:rsid w:val="44BC7EEE"/>
    <w:rsid w:val="46C98AB3"/>
    <w:rsid w:val="477310A4"/>
    <w:rsid w:val="47E4EE53"/>
    <w:rsid w:val="4816FAC5"/>
    <w:rsid w:val="4824D200"/>
    <w:rsid w:val="483AE7DC"/>
    <w:rsid w:val="4867F4B3"/>
    <w:rsid w:val="489403EA"/>
    <w:rsid w:val="491581E4"/>
    <w:rsid w:val="49D9A285"/>
    <w:rsid w:val="49F72A9D"/>
    <w:rsid w:val="4A08F579"/>
    <w:rsid w:val="4A9BA19E"/>
    <w:rsid w:val="4B72889E"/>
    <w:rsid w:val="4C474C10"/>
    <w:rsid w:val="4C62988A"/>
    <w:rsid w:val="4D114347"/>
    <w:rsid w:val="4DB1C8D1"/>
    <w:rsid w:val="4E16F766"/>
    <w:rsid w:val="4E42A71B"/>
    <w:rsid w:val="4E88EF23"/>
    <w:rsid w:val="5143E452"/>
    <w:rsid w:val="526A0EC1"/>
    <w:rsid w:val="52A4569E"/>
    <w:rsid w:val="56469AF9"/>
    <w:rsid w:val="56F10111"/>
    <w:rsid w:val="571D99EC"/>
    <w:rsid w:val="57CDF987"/>
    <w:rsid w:val="57DA13F7"/>
    <w:rsid w:val="5801066A"/>
    <w:rsid w:val="58B1E653"/>
    <w:rsid w:val="594AAD3E"/>
    <w:rsid w:val="5B6DA8F6"/>
    <w:rsid w:val="5C4AA16C"/>
    <w:rsid w:val="5CAEE6DB"/>
    <w:rsid w:val="5F1D3F42"/>
    <w:rsid w:val="619F31DC"/>
    <w:rsid w:val="61BE3372"/>
    <w:rsid w:val="63EB611F"/>
    <w:rsid w:val="63F2CEA8"/>
    <w:rsid w:val="6424EB96"/>
    <w:rsid w:val="65ACF16A"/>
    <w:rsid w:val="65B9717C"/>
    <w:rsid w:val="65DF4BC1"/>
    <w:rsid w:val="67D33774"/>
    <w:rsid w:val="6AAD600F"/>
    <w:rsid w:val="6ACB809A"/>
    <w:rsid w:val="6B19430A"/>
    <w:rsid w:val="6BA13E16"/>
    <w:rsid w:val="70AA487B"/>
    <w:rsid w:val="70FF53A4"/>
    <w:rsid w:val="715AA816"/>
    <w:rsid w:val="72FAD92D"/>
    <w:rsid w:val="73438EC2"/>
    <w:rsid w:val="73543CB9"/>
    <w:rsid w:val="74BCB6A4"/>
    <w:rsid w:val="75EBBC98"/>
    <w:rsid w:val="7627C2CF"/>
    <w:rsid w:val="772D7A38"/>
    <w:rsid w:val="77BFA9CC"/>
    <w:rsid w:val="79C42C93"/>
    <w:rsid w:val="7A0C9DD4"/>
    <w:rsid w:val="7A233120"/>
    <w:rsid w:val="7AB40F6A"/>
    <w:rsid w:val="7AE821AF"/>
    <w:rsid w:val="7B3513A3"/>
    <w:rsid w:val="7CE9653C"/>
    <w:rsid w:val="7D858C98"/>
    <w:rsid w:val="7E5E0944"/>
    <w:rsid w:val="7E698D37"/>
    <w:rsid w:val="7F66EB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B85CE"/>
  <w15:chartTrackingRefBased/>
  <w15:docId w15:val="{E9C15FD8-156B-4FB8-9938-A250D80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paragraph" w:styleId="Heading1">
    <w:name w:val="heading 1"/>
    <w:basedOn w:val="Normal"/>
    <w:next w:val="Normal"/>
    <w:link w:val="Heading1Char"/>
    <w:uiPriority w:val="9"/>
    <w:qFormat/>
    <w:rsid w:val="005A054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54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054A"/>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5A054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A054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A054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5A054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5A054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5A054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uiPriority w:val="1"/>
    <w:qFormat/>
    <w:rsid w:val="41318E15"/>
    <w:pPr>
      <w:widowControl w:val="0"/>
    </w:pPr>
    <w:rPr>
      <w:rFonts w:ascii="Arial" w:hAnsi="Arial" w:cs="Arial"/>
      <w:color w:val="000000" w:themeColor="text1"/>
      <w:sz w:val="24"/>
      <w:szCs w:val="24"/>
    </w:rPr>
  </w:style>
  <w:style w:type="paragraph" w:customStyle="1" w:styleId="STPR2Heading1">
    <w:name w:val="STPR2_Heading 1"/>
    <w:basedOn w:val="Normal"/>
    <w:uiPriority w:val="4"/>
    <w:qFormat/>
    <w:rsid w:val="003A2A9F"/>
    <w:pPr>
      <w:widowControl w:val="0"/>
      <w:numPr>
        <w:numId w:val="28"/>
      </w:numPr>
      <w:spacing w:after="240"/>
      <w:outlineLvl w:val="0"/>
    </w:pPr>
    <w:rPr>
      <w:rFonts w:ascii="Arial" w:hAnsi="Arial" w:cs="Arial"/>
      <w:b/>
      <w:bCs/>
      <w:color w:val="F38B33"/>
      <w:sz w:val="36"/>
      <w:szCs w:val="36"/>
    </w:rPr>
  </w:style>
  <w:style w:type="paragraph" w:customStyle="1" w:styleId="STPR2Heading2">
    <w:name w:val="STPR2_Heading 2"/>
    <w:basedOn w:val="STPR2Heading1"/>
    <w:link w:val="STPR2Heading2Char"/>
    <w:uiPriority w:val="5"/>
    <w:qFormat/>
    <w:rsid w:val="00BC69FE"/>
    <w:pPr>
      <w:numPr>
        <w:ilvl w:val="1"/>
      </w:numPr>
      <w:ind w:left="431" w:hanging="431"/>
      <w:outlineLvl w:val="1"/>
    </w:pPr>
    <w:rPr>
      <w:color w:val="626266"/>
      <w:sz w:val="28"/>
      <w:szCs w:val="28"/>
    </w:rPr>
  </w:style>
  <w:style w:type="paragraph" w:customStyle="1" w:styleId="STPR2Heading3">
    <w:name w:val="STPR2_Heading 3"/>
    <w:basedOn w:val="STPR2BodyText"/>
    <w:uiPriority w:val="6"/>
    <w:qFormat/>
    <w:rsid w:val="00081427"/>
    <w:pPr>
      <w:pBdr>
        <w:top w:val="single" w:sz="4" w:space="1" w:color="auto"/>
        <w:left w:val="single" w:sz="4" w:space="1" w:color="auto"/>
        <w:bottom w:val="single" w:sz="4" w:space="1" w:color="auto"/>
        <w:right w:val="single" w:sz="4" w:space="1" w:color="auto"/>
      </w:pBd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41318E15"/>
    <w:pPr>
      <w:spacing w:before="80" w:after="80"/>
    </w:p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41318E15"/>
    <w:pPr>
      <w:widowControl w:val="0"/>
      <w:spacing w:after="360"/>
      <w:jc w:val="center"/>
    </w:pPr>
    <w:rPr>
      <w:rFonts w:ascii="Arial" w:hAnsi="Arial" w:cs="Arial"/>
      <w:b/>
      <w:bCs/>
      <w:color w:val="626266"/>
      <w:sz w:val="36"/>
      <w:szCs w:val="36"/>
      <w:lang w:val="en-US"/>
    </w:rPr>
  </w:style>
  <w:style w:type="paragraph" w:styleId="NormalWeb">
    <w:name w:val="Normal (Web)"/>
    <w:basedOn w:val="Normal"/>
    <w:uiPriority w:val="99"/>
    <w:unhideWhenUsed/>
    <w:rsid w:val="41318E15"/>
    <w:pPr>
      <w:spacing w:beforeAutospacing="1" w:afterAutospacing="1"/>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41318E15"/>
    <w:pPr>
      <w:tabs>
        <w:tab w:val="center" w:pos="4513"/>
        <w:tab w:val="right" w:pos="9026"/>
      </w:tabs>
      <w:spacing w:after="0"/>
    </w:pPr>
    <w:rPr>
      <w:rFonts w:ascii="Arial" w:hAnsi="Arial" w:cs="Arial"/>
      <w:b/>
      <w:bCs/>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bCs/>
      <w:color w:val="626266"/>
      <w:sz w:val="18"/>
      <w:szCs w:val="18"/>
      <w:lang w:eastAsia="en-GB"/>
    </w:rPr>
  </w:style>
  <w:style w:type="paragraph" w:styleId="Footer">
    <w:name w:val="footer"/>
    <w:basedOn w:val="Normal"/>
    <w:link w:val="FooterChar"/>
    <w:uiPriority w:val="99"/>
    <w:unhideWhenUsed/>
    <w:rsid w:val="41318E15"/>
    <w:pPr>
      <w:tabs>
        <w:tab w:val="center" w:pos="4513"/>
        <w:tab w:val="right" w:pos="9026"/>
      </w:tabs>
      <w:spacing w:after="0"/>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41318E15"/>
    <w:pPr>
      <w:widowControl w:val="0"/>
      <w:spacing w:after="0"/>
      <w:jc w:val="center"/>
    </w:pPr>
    <w:rPr>
      <w:rFonts w:ascii="Arial" w:hAnsi="Arial" w:cs="Arial"/>
      <w:b/>
      <w:bCs/>
      <w:color w:val="626266"/>
      <w:sz w:val="28"/>
      <w:szCs w:val="28"/>
      <w:lang w:val="en-US"/>
    </w:rPr>
  </w:style>
  <w:style w:type="paragraph" w:styleId="ListParagraph">
    <w:name w:val="List Paragraph"/>
    <w:basedOn w:val="Normal"/>
    <w:uiPriority w:val="34"/>
    <w:qFormat/>
    <w:rsid w:val="41318E15"/>
    <w:pPr>
      <w:spacing w:after="200"/>
      <w:ind w:left="720"/>
      <w:contextualSpacing/>
    </w:pPr>
    <w:rPr>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41318E15"/>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41318E15"/>
    <w:pPr>
      <w:numPr>
        <w:numId w:val="3"/>
      </w:numPr>
      <w:spacing w:after="120" w:line="240" w:lineRule="atLeast"/>
    </w:pPr>
    <w:rPr>
      <w:sz w:val="18"/>
      <w:szCs w:val="18"/>
      <w:lang w:eastAsia="en-US"/>
    </w:rPr>
  </w:style>
  <w:style w:type="paragraph" w:styleId="ListBullet2">
    <w:name w:val="List Bullet 2"/>
    <w:basedOn w:val="Normal"/>
    <w:uiPriority w:val="9"/>
    <w:qFormat/>
    <w:rsid w:val="41318E15"/>
    <w:pPr>
      <w:tabs>
        <w:tab w:val="num" w:pos="425"/>
        <w:tab w:val="num" w:pos="851"/>
      </w:tabs>
      <w:spacing w:after="120" w:line="240" w:lineRule="atLeast"/>
      <w:ind w:left="850" w:hanging="425"/>
    </w:pPr>
    <w:rPr>
      <w:sz w:val="18"/>
      <w:szCs w:val="18"/>
      <w:lang w:eastAsia="en-US"/>
    </w:rPr>
  </w:style>
  <w:style w:type="paragraph" w:styleId="ListBullet3">
    <w:name w:val="List Bullet 3"/>
    <w:basedOn w:val="Normal"/>
    <w:uiPriority w:val="10"/>
    <w:qFormat/>
    <w:rsid w:val="41318E15"/>
    <w:pPr>
      <w:tabs>
        <w:tab w:val="num" w:pos="425"/>
        <w:tab w:val="num" w:pos="1276"/>
      </w:tabs>
      <w:spacing w:after="120" w:line="240" w:lineRule="atLeast"/>
      <w:ind w:left="1275" w:hanging="425"/>
    </w:pPr>
    <w:rPr>
      <w:sz w:val="18"/>
      <w:szCs w:val="18"/>
      <w:lang w:eastAsia="en-US"/>
    </w:rPr>
  </w:style>
  <w:style w:type="paragraph" w:styleId="EndnoteText">
    <w:name w:val="endnote text"/>
    <w:basedOn w:val="Normal"/>
    <w:link w:val="EndnoteTextChar"/>
    <w:uiPriority w:val="99"/>
    <w:unhideWhenUsed/>
    <w:rsid w:val="41318E15"/>
    <w:pPr>
      <w:spacing w:after="0"/>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BC69FE"/>
    <w:rPr>
      <w:rFonts w:ascii="Arial" w:eastAsiaTheme="minorEastAsia" w:hAnsi="Arial" w:cs="Arial"/>
      <w:b/>
      <w:bCs/>
      <w:color w:val="626266"/>
      <w:sz w:val="28"/>
      <w:szCs w:val="28"/>
      <w:lang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uiPriority w:val="99"/>
    <w:semiHidden/>
    <w:rsid w:val="41318E15"/>
    <w:pPr>
      <w:spacing w:after="0"/>
    </w:pPr>
    <w:rPr>
      <w:rFonts w:eastAsiaTheme="minorEastAsia"/>
      <w:lang w:eastAsia="en-GB"/>
    </w:rPr>
  </w:style>
  <w:style w:type="paragraph" w:styleId="BodyText">
    <w:name w:val="Body Text"/>
    <w:basedOn w:val="Normal"/>
    <w:link w:val="BodyTextChar"/>
    <w:uiPriority w:val="99"/>
    <w:unhideWhenUsed/>
    <w:rsid w:val="41318E15"/>
    <w:pPr>
      <w:spacing w:after="120"/>
    </w:pPr>
    <w:rPr>
      <w:lang w:eastAsia="en-US"/>
    </w:rPr>
  </w:style>
  <w:style w:type="character" w:customStyle="1" w:styleId="BodyTextChar">
    <w:name w:val="Body Text Char"/>
    <w:basedOn w:val="DefaultParagraphFont"/>
    <w:link w:val="BodyText"/>
    <w:uiPriority w:val="99"/>
    <w:rsid w:val="004079E4"/>
    <w:rPr>
      <w:rFonts w:eastAsiaTheme="minorEastAsia"/>
    </w:rPr>
  </w:style>
  <w:style w:type="character" w:customStyle="1" w:styleId="normaltextrun">
    <w:name w:val="normaltextrun"/>
    <w:basedOn w:val="DefaultParagraphFont"/>
    <w:rsid w:val="002F18CF"/>
  </w:style>
  <w:style w:type="character" w:customStyle="1" w:styleId="eop">
    <w:name w:val="eop"/>
    <w:basedOn w:val="DefaultParagraphFont"/>
    <w:rsid w:val="002F18CF"/>
  </w:style>
  <w:style w:type="character" w:customStyle="1" w:styleId="Heading1Char">
    <w:name w:val="Heading 1 Char"/>
    <w:basedOn w:val="DefaultParagraphFont"/>
    <w:link w:val="Heading1"/>
    <w:uiPriority w:val="9"/>
    <w:rsid w:val="005A054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A054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A054A"/>
    <w:rPr>
      <w:rFonts w:asciiTheme="majorHAnsi" w:eastAsiaTheme="majorEastAsia" w:hAnsiTheme="majorHAnsi" w:cstheme="majorBidi"/>
      <w:color w:val="1F3763"/>
      <w:sz w:val="24"/>
      <w:szCs w:val="24"/>
      <w:lang w:eastAsia="en-GB"/>
    </w:rPr>
  </w:style>
  <w:style w:type="character" w:customStyle="1" w:styleId="Heading4Char">
    <w:name w:val="Heading 4 Char"/>
    <w:basedOn w:val="DefaultParagraphFont"/>
    <w:link w:val="Heading4"/>
    <w:uiPriority w:val="9"/>
    <w:rsid w:val="005A054A"/>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5A054A"/>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rsid w:val="005A054A"/>
    <w:rPr>
      <w:rFonts w:asciiTheme="majorHAnsi" w:eastAsiaTheme="majorEastAsia" w:hAnsiTheme="majorHAnsi" w:cstheme="majorBidi"/>
      <w:color w:val="1F3763"/>
      <w:lang w:eastAsia="en-GB"/>
    </w:rPr>
  </w:style>
  <w:style w:type="character" w:customStyle="1" w:styleId="Heading7Char">
    <w:name w:val="Heading 7 Char"/>
    <w:basedOn w:val="DefaultParagraphFont"/>
    <w:link w:val="Heading7"/>
    <w:uiPriority w:val="9"/>
    <w:rsid w:val="005A054A"/>
    <w:rPr>
      <w:rFonts w:asciiTheme="majorHAnsi" w:eastAsiaTheme="majorEastAsia" w:hAnsiTheme="majorHAnsi" w:cstheme="majorBidi"/>
      <w:i/>
      <w:iCs/>
      <w:color w:val="1F3763"/>
      <w:lang w:eastAsia="en-GB"/>
    </w:rPr>
  </w:style>
  <w:style w:type="character" w:customStyle="1" w:styleId="Heading8Char">
    <w:name w:val="Heading 8 Char"/>
    <w:basedOn w:val="DefaultParagraphFont"/>
    <w:link w:val="Heading8"/>
    <w:uiPriority w:val="9"/>
    <w:rsid w:val="005A054A"/>
    <w:rPr>
      <w:rFonts w:asciiTheme="majorHAnsi" w:eastAsiaTheme="majorEastAsia" w:hAnsiTheme="majorHAnsi" w:cstheme="majorBidi"/>
      <w:color w:val="272727"/>
      <w:sz w:val="21"/>
      <w:szCs w:val="21"/>
      <w:lang w:eastAsia="en-GB"/>
    </w:rPr>
  </w:style>
  <w:style w:type="character" w:customStyle="1" w:styleId="Heading9Char">
    <w:name w:val="Heading 9 Char"/>
    <w:basedOn w:val="DefaultParagraphFont"/>
    <w:link w:val="Heading9"/>
    <w:uiPriority w:val="9"/>
    <w:rsid w:val="005A054A"/>
    <w:rPr>
      <w:rFonts w:asciiTheme="majorHAnsi" w:eastAsiaTheme="majorEastAsia" w:hAnsiTheme="majorHAnsi" w:cstheme="majorBidi"/>
      <w:i/>
      <w:iCs/>
      <w:color w:val="272727"/>
      <w:sz w:val="21"/>
      <w:szCs w:val="21"/>
      <w:lang w:eastAsia="en-GB"/>
    </w:rPr>
  </w:style>
  <w:style w:type="character" w:customStyle="1" w:styleId="UnresolvedMention1">
    <w:name w:val="Unresolved Mention1"/>
    <w:basedOn w:val="DefaultParagraphFont"/>
    <w:uiPriority w:val="99"/>
    <w:semiHidden/>
    <w:unhideWhenUsed/>
    <w:rsid w:val="005A054A"/>
    <w:rPr>
      <w:color w:val="605E5C"/>
      <w:shd w:val="clear" w:color="auto" w:fill="E1DFDD"/>
    </w:rPr>
  </w:style>
  <w:style w:type="character" w:styleId="FollowedHyperlink">
    <w:name w:val="FollowedHyperlink"/>
    <w:basedOn w:val="DefaultParagraphFont"/>
    <w:uiPriority w:val="99"/>
    <w:semiHidden/>
    <w:unhideWhenUsed/>
    <w:rsid w:val="005A054A"/>
    <w:rPr>
      <w:color w:val="954F72" w:themeColor="followedHyperlink"/>
      <w:u w:val="single"/>
    </w:rPr>
  </w:style>
  <w:style w:type="paragraph" w:styleId="Title">
    <w:name w:val="Title"/>
    <w:basedOn w:val="Normal"/>
    <w:next w:val="Normal"/>
    <w:link w:val="TitleChar"/>
    <w:uiPriority w:val="10"/>
    <w:qFormat/>
    <w:rsid w:val="005A054A"/>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054A"/>
    <w:rPr>
      <w:rFonts w:asciiTheme="majorHAnsi" w:eastAsiaTheme="majorEastAsia" w:hAnsiTheme="majorHAnsi" w:cstheme="majorBidi"/>
      <w:sz w:val="56"/>
      <w:szCs w:val="56"/>
      <w:lang w:eastAsia="en-GB"/>
    </w:rPr>
  </w:style>
  <w:style w:type="paragraph" w:styleId="Subtitle">
    <w:name w:val="Subtitle"/>
    <w:basedOn w:val="Normal"/>
    <w:next w:val="Normal"/>
    <w:link w:val="SubtitleChar"/>
    <w:uiPriority w:val="11"/>
    <w:qFormat/>
    <w:rsid w:val="005A054A"/>
    <w:rPr>
      <w:color w:val="5A5A5A"/>
    </w:rPr>
  </w:style>
  <w:style w:type="character" w:customStyle="1" w:styleId="SubtitleChar">
    <w:name w:val="Subtitle Char"/>
    <w:basedOn w:val="DefaultParagraphFont"/>
    <w:link w:val="Subtitle"/>
    <w:uiPriority w:val="11"/>
    <w:rsid w:val="005A054A"/>
    <w:rPr>
      <w:rFonts w:eastAsiaTheme="minorEastAsia"/>
      <w:color w:val="5A5A5A"/>
      <w:lang w:eastAsia="en-GB"/>
    </w:rPr>
  </w:style>
  <w:style w:type="paragraph" w:styleId="Quote">
    <w:name w:val="Quote"/>
    <w:basedOn w:val="Normal"/>
    <w:next w:val="Normal"/>
    <w:link w:val="QuoteChar"/>
    <w:uiPriority w:val="29"/>
    <w:qFormat/>
    <w:rsid w:val="005A054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054A"/>
    <w:rPr>
      <w:rFonts w:eastAsiaTheme="minorEastAsia"/>
      <w:i/>
      <w:iCs/>
      <w:color w:val="404040" w:themeColor="text1" w:themeTint="BF"/>
      <w:lang w:eastAsia="en-GB"/>
    </w:rPr>
  </w:style>
  <w:style w:type="paragraph" w:styleId="IntenseQuote">
    <w:name w:val="Intense Quote"/>
    <w:basedOn w:val="Normal"/>
    <w:next w:val="Normal"/>
    <w:link w:val="IntenseQuoteChar"/>
    <w:uiPriority w:val="30"/>
    <w:qFormat/>
    <w:rsid w:val="005A054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054A"/>
    <w:rPr>
      <w:rFonts w:eastAsiaTheme="minorEastAsia"/>
      <w:i/>
      <w:iCs/>
      <w:color w:val="4472C4" w:themeColor="accent1"/>
      <w:lang w:eastAsia="en-GB"/>
    </w:rPr>
  </w:style>
  <w:style w:type="paragraph" w:styleId="TOC1">
    <w:name w:val="toc 1"/>
    <w:basedOn w:val="Normal"/>
    <w:next w:val="Normal"/>
    <w:uiPriority w:val="39"/>
    <w:unhideWhenUsed/>
    <w:rsid w:val="005A054A"/>
    <w:pPr>
      <w:spacing w:after="100"/>
    </w:pPr>
  </w:style>
  <w:style w:type="paragraph" w:styleId="TOC2">
    <w:name w:val="toc 2"/>
    <w:basedOn w:val="Normal"/>
    <w:next w:val="Normal"/>
    <w:uiPriority w:val="39"/>
    <w:unhideWhenUsed/>
    <w:rsid w:val="005A054A"/>
    <w:pPr>
      <w:spacing w:after="100"/>
      <w:ind w:left="220"/>
    </w:pPr>
  </w:style>
  <w:style w:type="paragraph" w:styleId="TOC3">
    <w:name w:val="toc 3"/>
    <w:basedOn w:val="Normal"/>
    <w:next w:val="Normal"/>
    <w:uiPriority w:val="39"/>
    <w:unhideWhenUsed/>
    <w:rsid w:val="005A054A"/>
    <w:pPr>
      <w:spacing w:after="100"/>
      <w:ind w:left="440"/>
    </w:pPr>
  </w:style>
  <w:style w:type="paragraph" w:styleId="TOC4">
    <w:name w:val="toc 4"/>
    <w:basedOn w:val="Normal"/>
    <w:next w:val="Normal"/>
    <w:uiPriority w:val="39"/>
    <w:unhideWhenUsed/>
    <w:rsid w:val="005A054A"/>
    <w:pPr>
      <w:spacing w:after="100"/>
      <w:ind w:left="660"/>
    </w:pPr>
  </w:style>
  <w:style w:type="paragraph" w:styleId="TOC5">
    <w:name w:val="toc 5"/>
    <w:basedOn w:val="Normal"/>
    <w:next w:val="Normal"/>
    <w:uiPriority w:val="39"/>
    <w:unhideWhenUsed/>
    <w:rsid w:val="005A054A"/>
    <w:pPr>
      <w:spacing w:after="100"/>
      <w:ind w:left="880"/>
    </w:pPr>
  </w:style>
  <w:style w:type="paragraph" w:styleId="TOC6">
    <w:name w:val="toc 6"/>
    <w:basedOn w:val="Normal"/>
    <w:next w:val="Normal"/>
    <w:uiPriority w:val="39"/>
    <w:unhideWhenUsed/>
    <w:rsid w:val="005A054A"/>
    <w:pPr>
      <w:spacing w:after="100"/>
      <w:ind w:left="1100"/>
    </w:pPr>
  </w:style>
  <w:style w:type="paragraph" w:styleId="TOC7">
    <w:name w:val="toc 7"/>
    <w:basedOn w:val="Normal"/>
    <w:next w:val="Normal"/>
    <w:uiPriority w:val="39"/>
    <w:unhideWhenUsed/>
    <w:rsid w:val="005A054A"/>
    <w:pPr>
      <w:spacing w:after="100"/>
      <w:ind w:left="1320"/>
    </w:pPr>
  </w:style>
  <w:style w:type="paragraph" w:styleId="TOC8">
    <w:name w:val="toc 8"/>
    <w:basedOn w:val="Normal"/>
    <w:next w:val="Normal"/>
    <w:uiPriority w:val="39"/>
    <w:unhideWhenUsed/>
    <w:rsid w:val="005A054A"/>
    <w:pPr>
      <w:spacing w:after="100"/>
      <w:ind w:left="1540"/>
    </w:pPr>
  </w:style>
  <w:style w:type="paragraph" w:styleId="TOC9">
    <w:name w:val="toc 9"/>
    <w:basedOn w:val="Normal"/>
    <w:next w:val="Normal"/>
    <w:uiPriority w:val="39"/>
    <w:unhideWhenUsed/>
    <w:rsid w:val="005A054A"/>
    <w:pPr>
      <w:spacing w:after="100"/>
      <w:ind w:left="1760"/>
    </w:pPr>
  </w:style>
  <w:style w:type="paragraph" w:styleId="FootnoteText">
    <w:name w:val="footnote text"/>
    <w:basedOn w:val="Normal"/>
    <w:link w:val="FootnoteTextChar"/>
    <w:uiPriority w:val="99"/>
    <w:semiHidden/>
    <w:unhideWhenUsed/>
    <w:rsid w:val="005A054A"/>
    <w:pPr>
      <w:spacing w:after="0"/>
    </w:pPr>
    <w:rPr>
      <w:sz w:val="20"/>
      <w:szCs w:val="20"/>
    </w:rPr>
  </w:style>
  <w:style w:type="character" w:customStyle="1" w:styleId="FootnoteTextChar">
    <w:name w:val="Footnote Text Char"/>
    <w:basedOn w:val="DefaultParagraphFont"/>
    <w:link w:val="FootnoteText"/>
    <w:uiPriority w:val="99"/>
    <w:semiHidden/>
    <w:rsid w:val="005A054A"/>
    <w:rPr>
      <w:rFonts w:eastAsiaTheme="minorEastAsia"/>
      <w:sz w:val="20"/>
      <w:szCs w:val="20"/>
      <w:lang w:eastAsia="en-GB"/>
    </w:rPr>
  </w:style>
  <w:style w:type="paragraph" w:styleId="NoSpacing">
    <w:name w:val="No Spacing"/>
    <w:uiPriority w:val="1"/>
    <w:qFormat/>
    <w:rsid w:val="006651BE"/>
    <w:pPr>
      <w:spacing w:after="0" w:line="240" w:lineRule="auto"/>
    </w:pPr>
    <w:rPr>
      <w:rFonts w:eastAsiaTheme="minorEastAsia"/>
      <w:lang w:eastAsia="en-GB"/>
    </w:rPr>
  </w:style>
  <w:style w:type="character" w:customStyle="1" w:styleId="superscript">
    <w:name w:val="superscript"/>
    <w:basedOn w:val="DefaultParagraphFont"/>
    <w:rsid w:val="003827B4"/>
  </w:style>
  <w:style w:type="paragraph" w:styleId="ListNumber">
    <w:name w:val="List Number"/>
    <w:basedOn w:val="Normal"/>
    <w:uiPriority w:val="99"/>
    <w:unhideWhenUsed/>
    <w:rsid w:val="00E677AA"/>
    <w:pPr>
      <w:numPr>
        <w:numId w:val="44"/>
      </w:numPr>
      <w:contextualSpacing/>
    </w:pPr>
  </w:style>
  <w:style w:type="paragraph" w:styleId="ListNumber2">
    <w:name w:val="List Number 2"/>
    <w:basedOn w:val="Normal"/>
    <w:uiPriority w:val="99"/>
    <w:unhideWhenUsed/>
    <w:rsid w:val="00E677AA"/>
    <w:pPr>
      <w:numPr>
        <w:numId w:val="45"/>
      </w:numPr>
      <w:contextualSpacing/>
    </w:pPr>
  </w:style>
  <w:style w:type="paragraph" w:styleId="ListNumber3">
    <w:name w:val="List Number 3"/>
    <w:basedOn w:val="Normal"/>
    <w:uiPriority w:val="99"/>
    <w:unhideWhenUsed/>
    <w:rsid w:val="00E677AA"/>
    <w:pPr>
      <w:numPr>
        <w:numId w:val="46"/>
      </w:numPr>
      <w:contextualSpacing/>
    </w:pPr>
  </w:style>
  <w:style w:type="character" w:styleId="FootnoteReference">
    <w:name w:val="footnote reference"/>
    <w:basedOn w:val="DefaultParagraphFont"/>
    <w:uiPriority w:val="99"/>
    <w:semiHidden/>
    <w:unhideWhenUsed/>
    <w:qFormat/>
    <w:rsid w:val="008C2AD3"/>
    <w:rPr>
      <w:rFonts w:asciiTheme="majorHAnsi" w:hAnsiTheme="majorHAnsi" w:cs="Arial" w:hint="default"/>
      <w:color w:val="ED7D31" w:themeColor="accent2"/>
      <w:vertAlign w:val="superscript"/>
    </w:rPr>
  </w:style>
  <w:style w:type="paragraph" w:styleId="BalloonText">
    <w:name w:val="Balloon Text"/>
    <w:basedOn w:val="Normal"/>
    <w:link w:val="BalloonTextChar"/>
    <w:uiPriority w:val="99"/>
    <w:semiHidden/>
    <w:unhideWhenUsed/>
    <w:rsid w:val="00D27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AD1"/>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semiHidden/>
    <w:unhideWhenUsed/>
    <w:rsid w:val="006A15EF"/>
    <w:rPr>
      <w:color w:val="605E5C"/>
      <w:shd w:val="clear" w:color="auto" w:fill="E1DFDD"/>
    </w:rPr>
  </w:style>
  <w:style w:type="character" w:styleId="UnresolvedMention">
    <w:name w:val="Unresolved Mention"/>
    <w:basedOn w:val="DefaultParagraphFont"/>
    <w:uiPriority w:val="99"/>
    <w:semiHidden/>
    <w:unhideWhenUsed/>
    <w:rsid w:val="000B1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9273">
      <w:bodyDiv w:val="1"/>
      <w:marLeft w:val="0"/>
      <w:marRight w:val="0"/>
      <w:marTop w:val="0"/>
      <w:marBottom w:val="0"/>
      <w:divBdr>
        <w:top w:val="none" w:sz="0" w:space="0" w:color="auto"/>
        <w:left w:val="none" w:sz="0" w:space="0" w:color="auto"/>
        <w:bottom w:val="none" w:sz="0" w:space="0" w:color="auto"/>
        <w:right w:val="none" w:sz="0" w:space="0" w:color="auto"/>
      </w:divBdr>
    </w:div>
    <w:div w:id="147479106">
      <w:bodyDiv w:val="1"/>
      <w:marLeft w:val="0"/>
      <w:marRight w:val="0"/>
      <w:marTop w:val="0"/>
      <w:marBottom w:val="0"/>
      <w:divBdr>
        <w:top w:val="none" w:sz="0" w:space="0" w:color="auto"/>
        <w:left w:val="none" w:sz="0" w:space="0" w:color="auto"/>
        <w:bottom w:val="none" w:sz="0" w:space="0" w:color="auto"/>
        <w:right w:val="none" w:sz="0" w:space="0" w:color="auto"/>
      </w:divBdr>
    </w:div>
    <w:div w:id="151793749">
      <w:bodyDiv w:val="1"/>
      <w:marLeft w:val="0"/>
      <w:marRight w:val="0"/>
      <w:marTop w:val="0"/>
      <w:marBottom w:val="0"/>
      <w:divBdr>
        <w:top w:val="none" w:sz="0" w:space="0" w:color="auto"/>
        <w:left w:val="none" w:sz="0" w:space="0" w:color="auto"/>
        <w:bottom w:val="none" w:sz="0" w:space="0" w:color="auto"/>
        <w:right w:val="none" w:sz="0" w:space="0" w:color="auto"/>
      </w:divBdr>
    </w:div>
    <w:div w:id="208806263">
      <w:bodyDiv w:val="1"/>
      <w:marLeft w:val="0"/>
      <w:marRight w:val="0"/>
      <w:marTop w:val="0"/>
      <w:marBottom w:val="0"/>
      <w:divBdr>
        <w:top w:val="none" w:sz="0" w:space="0" w:color="auto"/>
        <w:left w:val="none" w:sz="0" w:space="0" w:color="auto"/>
        <w:bottom w:val="none" w:sz="0" w:space="0" w:color="auto"/>
        <w:right w:val="none" w:sz="0" w:space="0" w:color="auto"/>
      </w:divBdr>
    </w:div>
    <w:div w:id="224948514">
      <w:bodyDiv w:val="1"/>
      <w:marLeft w:val="0"/>
      <w:marRight w:val="0"/>
      <w:marTop w:val="0"/>
      <w:marBottom w:val="0"/>
      <w:divBdr>
        <w:top w:val="none" w:sz="0" w:space="0" w:color="auto"/>
        <w:left w:val="none" w:sz="0" w:space="0" w:color="auto"/>
        <w:bottom w:val="none" w:sz="0" w:space="0" w:color="auto"/>
        <w:right w:val="none" w:sz="0" w:space="0" w:color="auto"/>
      </w:divBdr>
    </w:div>
    <w:div w:id="234321973">
      <w:bodyDiv w:val="1"/>
      <w:marLeft w:val="0"/>
      <w:marRight w:val="0"/>
      <w:marTop w:val="0"/>
      <w:marBottom w:val="0"/>
      <w:divBdr>
        <w:top w:val="none" w:sz="0" w:space="0" w:color="auto"/>
        <w:left w:val="none" w:sz="0" w:space="0" w:color="auto"/>
        <w:bottom w:val="none" w:sz="0" w:space="0" w:color="auto"/>
        <w:right w:val="none" w:sz="0" w:space="0" w:color="auto"/>
      </w:divBdr>
    </w:div>
    <w:div w:id="256326278">
      <w:bodyDiv w:val="1"/>
      <w:marLeft w:val="0"/>
      <w:marRight w:val="0"/>
      <w:marTop w:val="0"/>
      <w:marBottom w:val="0"/>
      <w:divBdr>
        <w:top w:val="none" w:sz="0" w:space="0" w:color="auto"/>
        <w:left w:val="none" w:sz="0" w:space="0" w:color="auto"/>
        <w:bottom w:val="none" w:sz="0" w:space="0" w:color="auto"/>
        <w:right w:val="none" w:sz="0" w:space="0" w:color="auto"/>
      </w:divBdr>
    </w:div>
    <w:div w:id="299530555">
      <w:bodyDiv w:val="1"/>
      <w:marLeft w:val="0"/>
      <w:marRight w:val="0"/>
      <w:marTop w:val="0"/>
      <w:marBottom w:val="0"/>
      <w:divBdr>
        <w:top w:val="none" w:sz="0" w:space="0" w:color="auto"/>
        <w:left w:val="none" w:sz="0" w:space="0" w:color="auto"/>
        <w:bottom w:val="none" w:sz="0" w:space="0" w:color="auto"/>
        <w:right w:val="none" w:sz="0" w:space="0" w:color="auto"/>
      </w:divBdr>
    </w:div>
    <w:div w:id="310914656">
      <w:bodyDiv w:val="1"/>
      <w:marLeft w:val="0"/>
      <w:marRight w:val="0"/>
      <w:marTop w:val="0"/>
      <w:marBottom w:val="0"/>
      <w:divBdr>
        <w:top w:val="none" w:sz="0" w:space="0" w:color="auto"/>
        <w:left w:val="none" w:sz="0" w:space="0" w:color="auto"/>
        <w:bottom w:val="none" w:sz="0" w:space="0" w:color="auto"/>
        <w:right w:val="none" w:sz="0" w:space="0" w:color="auto"/>
      </w:divBdr>
    </w:div>
    <w:div w:id="347099770">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80846989">
      <w:bodyDiv w:val="1"/>
      <w:marLeft w:val="0"/>
      <w:marRight w:val="0"/>
      <w:marTop w:val="0"/>
      <w:marBottom w:val="0"/>
      <w:divBdr>
        <w:top w:val="none" w:sz="0" w:space="0" w:color="auto"/>
        <w:left w:val="none" w:sz="0" w:space="0" w:color="auto"/>
        <w:bottom w:val="none" w:sz="0" w:space="0" w:color="auto"/>
        <w:right w:val="none" w:sz="0" w:space="0" w:color="auto"/>
      </w:divBdr>
    </w:div>
    <w:div w:id="551580916">
      <w:bodyDiv w:val="1"/>
      <w:marLeft w:val="0"/>
      <w:marRight w:val="0"/>
      <w:marTop w:val="0"/>
      <w:marBottom w:val="0"/>
      <w:divBdr>
        <w:top w:val="none" w:sz="0" w:space="0" w:color="auto"/>
        <w:left w:val="none" w:sz="0" w:space="0" w:color="auto"/>
        <w:bottom w:val="none" w:sz="0" w:space="0" w:color="auto"/>
        <w:right w:val="none" w:sz="0" w:space="0" w:color="auto"/>
      </w:divBdr>
      <w:divsChild>
        <w:div w:id="374352018">
          <w:marLeft w:val="0"/>
          <w:marRight w:val="0"/>
          <w:marTop w:val="0"/>
          <w:marBottom w:val="0"/>
          <w:divBdr>
            <w:top w:val="none" w:sz="0" w:space="0" w:color="auto"/>
            <w:left w:val="none" w:sz="0" w:space="0" w:color="auto"/>
            <w:bottom w:val="none" w:sz="0" w:space="0" w:color="auto"/>
            <w:right w:val="none" w:sz="0" w:space="0" w:color="auto"/>
          </w:divBdr>
        </w:div>
      </w:divsChild>
    </w:div>
    <w:div w:id="753091682">
      <w:bodyDiv w:val="1"/>
      <w:marLeft w:val="0"/>
      <w:marRight w:val="0"/>
      <w:marTop w:val="0"/>
      <w:marBottom w:val="0"/>
      <w:divBdr>
        <w:top w:val="none" w:sz="0" w:space="0" w:color="auto"/>
        <w:left w:val="none" w:sz="0" w:space="0" w:color="auto"/>
        <w:bottom w:val="none" w:sz="0" w:space="0" w:color="auto"/>
        <w:right w:val="none" w:sz="0" w:space="0" w:color="auto"/>
      </w:divBdr>
    </w:div>
    <w:div w:id="758797675">
      <w:bodyDiv w:val="1"/>
      <w:marLeft w:val="0"/>
      <w:marRight w:val="0"/>
      <w:marTop w:val="0"/>
      <w:marBottom w:val="0"/>
      <w:divBdr>
        <w:top w:val="none" w:sz="0" w:space="0" w:color="auto"/>
        <w:left w:val="none" w:sz="0" w:space="0" w:color="auto"/>
        <w:bottom w:val="none" w:sz="0" w:space="0" w:color="auto"/>
        <w:right w:val="none" w:sz="0" w:space="0" w:color="auto"/>
      </w:divBdr>
    </w:div>
    <w:div w:id="796610250">
      <w:bodyDiv w:val="1"/>
      <w:marLeft w:val="0"/>
      <w:marRight w:val="0"/>
      <w:marTop w:val="0"/>
      <w:marBottom w:val="0"/>
      <w:divBdr>
        <w:top w:val="none" w:sz="0" w:space="0" w:color="auto"/>
        <w:left w:val="none" w:sz="0" w:space="0" w:color="auto"/>
        <w:bottom w:val="none" w:sz="0" w:space="0" w:color="auto"/>
        <w:right w:val="none" w:sz="0" w:space="0" w:color="auto"/>
      </w:divBdr>
    </w:div>
    <w:div w:id="860432656">
      <w:bodyDiv w:val="1"/>
      <w:marLeft w:val="0"/>
      <w:marRight w:val="0"/>
      <w:marTop w:val="0"/>
      <w:marBottom w:val="0"/>
      <w:divBdr>
        <w:top w:val="none" w:sz="0" w:space="0" w:color="auto"/>
        <w:left w:val="none" w:sz="0" w:space="0" w:color="auto"/>
        <w:bottom w:val="none" w:sz="0" w:space="0" w:color="auto"/>
        <w:right w:val="none" w:sz="0" w:space="0" w:color="auto"/>
      </w:divBdr>
      <w:divsChild>
        <w:div w:id="1153065106">
          <w:marLeft w:val="0"/>
          <w:marRight w:val="0"/>
          <w:marTop w:val="0"/>
          <w:marBottom w:val="0"/>
          <w:divBdr>
            <w:top w:val="none" w:sz="0" w:space="0" w:color="auto"/>
            <w:left w:val="none" w:sz="0" w:space="0" w:color="auto"/>
            <w:bottom w:val="none" w:sz="0" w:space="0" w:color="auto"/>
            <w:right w:val="none" w:sz="0" w:space="0" w:color="auto"/>
          </w:divBdr>
        </w:div>
        <w:div w:id="1621910246">
          <w:marLeft w:val="0"/>
          <w:marRight w:val="0"/>
          <w:marTop w:val="0"/>
          <w:marBottom w:val="0"/>
          <w:divBdr>
            <w:top w:val="none" w:sz="0" w:space="0" w:color="auto"/>
            <w:left w:val="none" w:sz="0" w:space="0" w:color="auto"/>
            <w:bottom w:val="none" w:sz="0" w:space="0" w:color="auto"/>
            <w:right w:val="none" w:sz="0" w:space="0" w:color="auto"/>
          </w:divBdr>
        </w:div>
      </w:divsChild>
    </w:div>
    <w:div w:id="875894457">
      <w:bodyDiv w:val="1"/>
      <w:marLeft w:val="0"/>
      <w:marRight w:val="0"/>
      <w:marTop w:val="0"/>
      <w:marBottom w:val="0"/>
      <w:divBdr>
        <w:top w:val="none" w:sz="0" w:space="0" w:color="auto"/>
        <w:left w:val="none" w:sz="0" w:space="0" w:color="auto"/>
        <w:bottom w:val="none" w:sz="0" w:space="0" w:color="auto"/>
        <w:right w:val="none" w:sz="0" w:space="0" w:color="auto"/>
      </w:divBdr>
    </w:div>
    <w:div w:id="935947138">
      <w:bodyDiv w:val="1"/>
      <w:marLeft w:val="0"/>
      <w:marRight w:val="0"/>
      <w:marTop w:val="0"/>
      <w:marBottom w:val="0"/>
      <w:divBdr>
        <w:top w:val="none" w:sz="0" w:space="0" w:color="auto"/>
        <w:left w:val="none" w:sz="0" w:space="0" w:color="auto"/>
        <w:bottom w:val="none" w:sz="0" w:space="0" w:color="auto"/>
        <w:right w:val="none" w:sz="0" w:space="0" w:color="auto"/>
      </w:divBdr>
    </w:div>
    <w:div w:id="1018240953">
      <w:bodyDiv w:val="1"/>
      <w:marLeft w:val="0"/>
      <w:marRight w:val="0"/>
      <w:marTop w:val="0"/>
      <w:marBottom w:val="0"/>
      <w:divBdr>
        <w:top w:val="none" w:sz="0" w:space="0" w:color="auto"/>
        <w:left w:val="none" w:sz="0" w:space="0" w:color="auto"/>
        <w:bottom w:val="none" w:sz="0" w:space="0" w:color="auto"/>
        <w:right w:val="none" w:sz="0" w:space="0" w:color="auto"/>
      </w:divBdr>
    </w:div>
    <w:div w:id="1097865177">
      <w:bodyDiv w:val="1"/>
      <w:marLeft w:val="0"/>
      <w:marRight w:val="0"/>
      <w:marTop w:val="0"/>
      <w:marBottom w:val="0"/>
      <w:divBdr>
        <w:top w:val="none" w:sz="0" w:space="0" w:color="auto"/>
        <w:left w:val="none" w:sz="0" w:space="0" w:color="auto"/>
        <w:bottom w:val="none" w:sz="0" w:space="0" w:color="auto"/>
        <w:right w:val="none" w:sz="0" w:space="0" w:color="auto"/>
      </w:divBdr>
    </w:div>
    <w:div w:id="1112213451">
      <w:bodyDiv w:val="1"/>
      <w:marLeft w:val="0"/>
      <w:marRight w:val="0"/>
      <w:marTop w:val="0"/>
      <w:marBottom w:val="0"/>
      <w:divBdr>
        <w:top w:val="none" w:sz="0" w:space="0" w:color="auto"/>
        <w:left w:val="none" w:sz="0" w:space="0" w:color="auto"/>
        <w:bottom w:val="none" w:sz="0" w:space="0" w:color="auto"/>
        <w:right w:val="none" w:sz="0" w:space="0" w:color="auto"/>
      </w:divBdr>
      <w:divsChild>
        <w:div w:id="1771730153">
          <w:marLeft w:val="0"/>
          <w:marRight w:val="0"/>
          <w:marTop w:val="0"/>
          <w:marBottom w:val="0"/>
          <w:divBdr>
            <w:top w:val="none" w:sz="0" w:space="0" w:color="auto"/>
            <w:left w:val="none" w:sz="0" w:space="0" w:color="auto"/>
            <w:bottom w:val="none" w:sz="0" w:space="0" w:color="auto"/>
            <w:right w:val="none" w:sz="0" w:space="0" w:color="auto"/>
          </w:divBdr>
        </w:div>
      </w:divsChild>
    </w:div>
    <w:div w:id="1175918622">
      <w:bodyDiv w:val="1"/>
      <w:marLeft w:val="0"/>
      <w:marRight w:val="0"/>
      <w:marTop w:val="0"/>
      <w:marBottom w:val="0"/>
      <w:divBdr>
        <w:top w:val="none" w:sz="0" w:space="0" w:color="auto"/>
        <w:left w:val="none" w:sz="0" w:space="0" w:color="auto"/>
        <w:bottom w:val="none" w:sz="0" w:space="0" w:color="auto"/>
        <w:right w:val="none" w:sz="0" w:space="0" w:color="auto"/>
      </w:divBdr>
    </w:div>
    <w:div w:id="1201547819">
      <w:bodyDiv w:val="1"/>
      <w:marLeft w:val="0"/>
      <w:marRight w:val="0"/>
      <w:marTop w:val="0"/>
      <w:marBottom w:val="0"/>
      <w:divBdr>
        <w:top w:val="none" w:sz="0" w:space="0" w:color="auto"/>
        <w:left w:val="none" w:sz="0" w:space="0" w:color="auto"/>
        <w:bottom w:val="none" w:sz="0" w:space="0" w:color="auto"/>
        <w:right w:val="none" w:sz="0" w:space="0" w:color="auto"/>
      </w:divBdr>
    </w:div>
    <w:div w:id="1325400127">
      <w:bodyDiv w:val="1"/>
      <w:marLeft w:val="0"/>
      <w:marRight w:val="0"/>
      <w:marTop w:val="0"/>
      <w:marBottom w:val="0"/>
      <w:divBdr>
        <w:top w:val="none" w:sz="0" w:space="0" w:color="auto"/>
        <w:left w:val="none" w:sz="0" w:space="0" w:color="auto"/>
        <w:bottom w:val="none" w:sz="0" w:space="0" w:color="auto"/>
        <w:right w:val="none" w:sz="0" w:space="0" w:color="auto"/>
      </w:divBdr>
    </w:div>
    <w:div w:id="1398552395">
      <w:bodyDiv w:val="1"/>
      <w:marLeft w:val="0"/>
      <w:marRight w:val="0"/>
      <w:marTop w:val="0"/>
      <w:marBottom w:val="0"/>
      <w:divBdr>
        <w:top w:val="none" w:sz="0" w:space="0" w:color="auto"/>
        <w:left w:val="none" w:sz="0" w:space="0" w:color="auto"/>
        <w:bottom w:val="none" w:sz="0" w:space="0" w:color="auto"/>
        <w:right w:val="none" w:sz="0" w:space="0" w:color="auto"/>
      </w:divBdr>
    </w:div>
    <w:div w:id="1514799496">
      <w:bodyDiv w:val="1"/>
      <w:marLeft w:val="0"/>
      <w:marRight w:val="0"/>
      <w:marTop w:val="0"/>
      <w:marBottom w:val="0"/>
      <w:divBdr>
        <w:top w:val="none" w:sz="0" w:space="0" w:color="auto"/>
        <w:left w:val="none" w:sz="0" w:space="0" w:color="auto"/>
        <w:bottom w:val="none" w:sz="0" w:space="0" w:color="auto"/>
        <w:right w:val="none" w:sz="0" w:space="0" w:color="auto"/>
      </w:divBdr>
    </w:div>
    <w:div w:id="1541547430">
      <w:bodyDiv w:val="1"/>
      <w:marLeft w:val="0"/>
      <w:marRight w:val="0"/>
      <w:marTop w:val="0"/>
      <w:marBottom w:val="0"/>
      <w:divBdr>
        <w:top w:val="none" w:sz="0" w:space="0" w:color="auto"/>
        <w:left w:val="none" w:sz="0" w:space="0" w:color="auto"/>
        <w:bottom w:val="none" w:sz="0" w:space="0" w:color="auto"/>
        <w:right w:val="none" w:sz="0" w:space="0" w:color="auto"/>
      </w:divBdr>
      <w:divsChild>
        <w:div w:id="516626125">
          <w:marLeft w:val="0"/>
          <w:marRight w:val="0"/>
          <w:marTop w:val="0"/>
          <w:marBottom w:val="0"/>
          <w:divBdr>
            <w:top w:val="none" w:sz="0" w:space="0" w:color="auto"/>
            <w:left w:val="none" w:sz="0" w:space="0" w:color="auto"/>
            <w:bottom w:val="none" w:sz="0" w:space="0" w:color="auto"/>
            <w:right w:val="none" w:sz="0" w:space="0" w:color="auto"/>
          </w:divBdr>
        </w:div>
        <w:div w:id="560943639">
          <w:marLeft w:val="0"/>
          <w:marRight w:val="0"/>
          <w:marTop w:val="0"/>
          <w:marBottom w:val="0"/>
          <w:divBdr>
            <w:top w:val="none" w:sz="0" w:space="0" w:color="auto"/>
            <w:left w:val="none" w:sz="0" w:space="0" w:color="auto"/>
            <w:bottom w:val="none" w:sz="0" w:space="0" w:color="auto"/>
            <w:right w:val="none" w:sz="0" w:space="0" w:color="auto"/>
          </w:divBdr>
        </w:div>
      </w:divsChild>
    </w:div>
    <w:div w:id="1604267241">
      <w:bodyDiv w:val="1"/>
      <w:marLeft w:val="0"/>
      <w:marRight w:val="0"/>
      <w:marTop w:val="0"/>
      <w:marBottom w:val="0"/>
      <w:divBdr>
        <w:top w:val="none" w:sz="0" w:space="0" w:color="auto"/>
        <w:left w:val="none" w:sz="0" w:space="0" w:color="auto"/>
        <w:bottom w:val="none" w:sz="0" w:space="0" w:color="auto"/>
        <w:right w:val="none" w:sz="0" w:space="0" w:color="auto"/>
      </w:divBdr>
    </w:div>
    <w:div w:id="1649480769">
      <w:bodyDiv w:val="1"/>
      <w:marLeft w:val="0"/>
      <w:marRight w:val="0"/>
      <w:marTop w:val="0"/>
      <w:marBottom w:val="0"/>
      <w:divBdr>
        <w:top w:val="none" w:sz="0" w:space="0" w:color="auto"/>
        <w:left w:val="none" w:sz="0" w:space="0" w:color="auto"/>
        <w:bottom w:val="none" w:sz="0" w:space="0" w:color="auto"/>
        <w:right w:val="none" w:sz="0" w:space="0" w:color="auto"/>
      </w:divBdr>
    </w:div>
    <w:div w:id="1654798915">
      <w:bodyDiv w:val="1"/>
      <w:marLeft w:val="0"/>
      <w:marRight w:val="0"/>
      <w:marTop w:val="0"/>
      <w:marBottom w:val="0"/>
      <w:divBdr>
        <w:top w:val="none" w:sz="0" w:space="0" w:color="auto"/>
        <w:left w:val="none" w:sz="0" w:space="0" w:color="auto"/>
        <w:bottom w:val="none" w:sz="0" w:space="0" w:color="auto"/>
        <w:right w:val="none" w:sz="0" w:space="0" w:color="auto"/>
      </w:divBdr>
    </w:div>
    <w:div w:id="1658073672">
      <w:bodyDiv w:val="1"/>
      <w:marLeft w:val="0"/>
      <w:marRight w:val="0"/>
      <w:marTop w:val="0"/>
      <w:marBottom w:val="0"/>
      <w:divBdr>
        <w:top w:val="none" w:sz="0" w:space="0" w:color="auto"/>
        <w:left w:val="none" w:sz="0" w:space="0" w:color="auto"/>
        <w:bottom w:val="none" w:sz="0" w:space="0" w:color="auto"/>
        <w:right w:val="none" w:sz="0" w:space="0" w:color="auto"/>
      </w:divBdr>
    </w:div>
    <w:div w:id="1779789946">
      <w:bodyDiv w:val="1"/>
      <w:marLeft w:val="0"/>
      <w:marRight w:val="0"/>
      <w:marTop w:val="0"/>
      <w:marBottom w:val="0"/>
      <w:divBdr>
        <w:top w:val="none" w:sz="0" w:space="0" w:color="auto"/>
        <w:left w:val="none" w:sz="0" w:space="0" w:color="auto"/>
        <w:bottom w:val="none" w:sz="0" w:space="0" w:color="auto"/>
        <w:right w:val="none" w:sz="0" w:space="0" w:color="auto"/>
      </w:divBdr>
    </w:div>
    <w:div w:id="1781946639">
      <w:bodyDiv w:val="1"/>
      <w:marLeft w:val="0"/>
      <w:marRight w:val="0"/>
      <w:marTop w:val="0"/>
      <w:marBottom w:val="0"/>
      <w:divBdr>
        <w:top w:val="none" w:sz="0" w:space="0" w:color="auto"/>
        <w:left w:val="none" w:sz="0" w:space="0" w:color="auto"/>
        <w:bottom w:val="none" w:sz="0" w:space="0" w:color="auto"/>
        <w:right w:val="none" w:sz="0" w:space="0" w:color="auto"/>
      </w:divBdr>
    </w:div>
    <w:div w:id="2069261721">
      <w:bodyDiv w:val="1"/>
      <w:marLeft w:val="0"/>
      <w:marRight w:val="0"/>
      <w:marTop w:val="0"/>
      <w:marBottom w:val="0"/>
      <w:divBdr>
        <w:top w:val="none" w:sz="0" w:space="0" w:color="auto"/>
        <w:left w:val="none" w:sz="0" w:space="0" w:color="auto"/>
        <w:bottom w:val="none" w:sz="0" w:space="0" w:color="auto"/>
        <w:right w:val="none" w:sz="0" w:space="0" w:color="auto"/>
      </w:divBdr>
    </w:div>
    <w:div w:id="207253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mo.org.uk/documents/comouk-mobility-hubs-guidance" TargetMode="External"/><Relationship Id="rId18" Type="http://schemas.openxmlformats.org/officeDocument/2006/relationships/hyperlink" Target="https://www.gov.scot/publications/preventing-overweight-obesity-scotland-route-map-towards-healthy-weight/" TargetMode="External"/><Relationship Id="rId26" Type="http://schemas.openxmlformats.org/officeDocument/2006/relationships/hyperlink" Target="https://www.gov.scot/policies/cities-regions/regional-growth-deals/" TargetMode="External"/><Relationship Id="rId39" Type="http://schemas.openxmlformats.org/officeDocument/2006/relationships/image" Target="media/image8.png"/><Relationship Id="rId21" Type="http://schemas.openxmlformats.org/officeDocument/2006/relationships/hyperlink" Target="https://www.transport.gov.scot/publication/reported-road-casualties-scotland-2018/" TargetMode="External"/><Relationship Id="rId34" Type="http://schemas.openxmlformats.org/officeDocument/2006/relationships/hyperlink" Target="https://www.transport.gov.scot/publication/national-transport-strategy-2/" TargetMode="External"/><Relationship Id="rId42" Type="http://schemas.openxmlformats.org/officeDocument/2006/relationships/hyperlink" Target="https://www.transport.gov.scot/publication/transport-and-travel-in-scotland-2019-results-from-the-scottish-household-survey/table-18b-car-bicycle-access-households-with-bicycles-cars-vans-available-for-private-use-2019/"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omo.org.uk/documents/comouk-mobility-hub-delivery-models"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port.gov.scot/public-transport/buses/bus-partnership-fund/" TargetMode="External"/><Relationship Id="rId32" Type="http://schemas.openxmlformats.org/officeDocument/2006/relationships/hyperlink" Target="https://www.eea.europa.eu/publications/the-first-and-last-mile" TargetMode="External"/><Relationship Id="rId37" Type="http://schemas.openxmlformats.org/officeDocument/2006/relationships/image" Target="media/image7.emf"/><Relationship Id="rId40" Type="http://schemas.openxmlformats.org/officeDocument/2006/relationships/hyperlink" Target="https://www.transportxtra.com/publications/local-transport-today/news/64673/congestion-cost-uk-economy-6-9-billion-in-2019"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ransport.gov.scot/publication/transport-and-travel-in-scotland-results-from-the-scottish-household-survey-1/table-14-travel-to-work-reasons-reasons-why-public-transport-is-not-used-for-travel-to-work-2014-20181-combined/" TargetMode="External"/><Relationship Id="rId23" Type="http://schemas.openxmlformats.org/officeDocument/2006/relationships/hyperlink" Target="https://www.transport.gov.scot/our-approach/national-transport-strategy/" TargetMode="External"/><Relationship Id="rId28" Type="http://schemas.openxmlformats.org/officeDocument/2006/relationships/hyperlink" Target="https://energysavingtrust.org.uk/service/low-carbon-travel-and-transport-challenge-fund/" TargetMode="External"/><Relationship Id="rId36"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hyperlink" Target="https://www.stagecoachgroup.com/media/news-releases/2017/2017-11-20.aspx" TargetMode="External"/><Relationship Id="rId31" Type="http://schemas.openxmlformats.org/officeDocument/2006/relationships/image" Target="media/image4.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mo.org.uk/documents/comouk-mobility-hubs-toolkit" TargetMode="External"/><Relationship Id="rId22" Type="http://schemas.openxmlformats.org/officeDocument/2006/relationships/hyperlink" Target="https://www.gov.scot/publications/securing-green-recovery-path-net-zero-update-climate-change-plan-20182032/" TargetMode="External"/><Relationship Id="rId27" Type="http://schemas.openxmlformats.org/officeDocument/2006/relationships/hyperlink" Target="https://www.transport.gov.scot/our-approach/mobility-as-a-service/maas-investment-fund-mobility-as-a-service/" TargetMode="External"/><Relationship Id="rId30" Type="http://schemas.openxmlformats.org/officeDocument/2006/relationships/hyperlink" Target="https://documents.hants.gov.uk/transport-fundingbids/july-2017/App7KPMGBRTEvaluationGosportFareham.pdf" TargetMode="External"/><Relationship Id="rId35" Type="http://schemas.openxmlformats.org/officeDocument/2006/relationships/hyperlink" Target="https://www.transport.gov.scot/publication/transport-and-travel-in-scotland-2019-results-from-the-scottish-household-survey/table-18b-car-bicycle-access-households-with-bicycles-cars-vans-available-for-private-use-2019/" TargetMode="External"/><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www.gov.scot/policies/cities-regions/city-region-deals/" TargetMode="External"/><Relationship Id="rId33" Type="http://schemas.openxmlformats.org/officeDocument/2006/relationships/image" Target="media/image5.emf"/><Relationship Id="rId38" Type="http://schemas.openxmlformats.org/officeDocument/2006/relationships/hyperlink" Target="https://content.tfl.gov.uk/residential-parking-provision-new-development.pdf" TargetMode="External"/><Relationship Id="rId46" Type="http://schemas.openxmlformats.org/officeDocument/2006/relationships/theme" Target="theme/theme1.xml"/><Relationship Id="rId20" Type="http://schemas.openxmlformats.org/officeDocument/2006/relationships/hyperlink" Target="https://naei.beis.gov.uk/reports/reports?report_id=981" TargetMode="External"/><Relationship Id="rId41" Type="http://schemas.openxmlformats.org/officeDocument/2006/relationships/hyperlink" Target="https://www.raildeliverygroup.com/files/Publications/2018-03_local_economic_benefits_of_station_investmen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53D26341A57B383EE0540010E0463CCA" version="1.0.0">
  <systemFields>
    <field name="Objective-Id">
      <value order="0">A40833120</value>
    </field>
    <field name="Objective-Title">
      <value order="0">AST_Non Tabular_Recommendation 22_Framework for Delivery of Mobility Hubs_V2_Final</value>
    </field>
    <field name="Objective-Description">
      <value order="0"/>
    </field>
    <field name="Objective-CreationStamp">
      <value order="0">2022-10-04T12:04:20Z</value>
    </field>
    <field name="Objective-IsApproved">
      <value order="0">false</value>
    </field>
    <field name="Objective-IsPublished">
      <value order="0">false</value>
    </field>
    <field name="Objective-DatePublished">
      <value order="0"/>
    </field>
    <field name="Objective-ModificationStamp">
      <value order="0">2022-10-04T16:07:24Z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Edited</value>
    </field>
    <field name="Objective-VersionId">
      <value order="0">vA60423719</value>
    </field>
    <field name="Objective-Version">
      <value order="0">3.1</value>
    </field>
    <field name="Objective-VersionNumber">
      <value order="0">4</value>
    </field>
    <field name="Objective-VersionComment">
      <value order="0">Final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75B4A-D1D6-4BDC-80E9-FEA58594A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B300C-8E94-4DBD-BBC3-6C0781488047}">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3.xml><?xml version="1.0" encoding="utf-8"?>
<ds:datastoreItem xmlns:ds="http://schemas.openxmlformats.org/officeDocument/2006/customXml" ds:itemID="{4979B2EA-7634-4DBF-87F9-9720607BC34D}">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941923A1-EDD5-4C2E-BF46-93442968C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16</Pages>
  <Words>4461</Words>
  <Characters>25429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29831</CharactersWithSpaces>
  <SharedDoc>false</SharedDoc>
  <HLinks>
    <vt:vector size="264" baseType="variant">
      <vt:variant>
        <vt:i4>7012464</vt:i4>
      </vt:variant>
      <vt:variant>
        <vt:i4>69</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4325448</vt:i4>
      </vt:variant>
      <vt:variant>
        <vt:i4>66</vt:i4>
      </vt:variant>
      <vt:variant>
        <vt:i4>0</vt:i4>
      </vt:variant>
      <vt:variant>
        <vt:i4>5</vt:i4>
      </vt:variant>
      <vt:variant>
        <vt:lpwstr>https://www.raildeliverygroup.com/files/Publications/2018-03_local_economic_benefits_of_station_investment.pdf</vt:lpwstr>
      </vt:variant>
      <vt:variant>
        <vt:lpwstr/>
      </vt:variant>
      <vt:variant>
        <vt:i4>3145850</vt:i4>
      </vt:variant>
      <vt:variant>
        <vt:i4>63</vt:i4>
      </vt:variant>
      <vt:variant>
        <vt:i4>0</vt:i4>
      </vt:variant>
      <vt:variant>
        <vt:i4>5</vt:i4>
      </vt:variant>
      <vt:variant>
        <vt:lpwstr>https://www.transportxtra.com/publications/local-transport-today/news/64673/congestion-cost-uk-economy-6-9-billion-in-2019</vt:lpwstr>
      </vt:variant>
      <vt:variant>
        <vt:lpwstr/>
      </vt:variant>
      <vt:variant>
        <vt:i4>4915276</vt:i4>
      </vt:variant>
      <vt:variant>
        <vt:i4>60</vt:i4>
      </vt:variant>
      <vt:variant>
        <vt:i4>0</vt:i4>
      </vt:variant>
      <vt:variant>
        <vt:i4>5</vt:i4>
      </vt:variant>
      <vt:variant>
        <vt:lpwstr>https://content.tfl.gov.uk/residential-parking-provision-new-development.pdf</vt:lpwstr>
      </vt:variant>
      <vt:variant>
        <vt:lpwstr/>
      </vt:variant>
      <vt:variant>
        <vt:i4>7012464</vt:i4>
      </vt:variant>
      <vt:variant>
        <vt:i4>57</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131097</vt:i4>
      </vt:variant>
      <vt:variant>
        <vt:i4>54</vt:i4>
      </vt:variant>
      <vt:variant>
        <vt:i4>0</vt:i4>
      </vt:variant>
      <vt:variant>
        <vt:i4>5</vt:i4>
      </vt:variant>
      <vt:variant>
        <vt:lpwstr>https://www.transport.gov.scot/publication/national-transport-strategy-2/</vt:lpwstr>
      </vt:variant>
      <vt:variant>
        <vt:lpwstr/>
      </vt:variant>
      <vt:variant>
        <vt:i4>6946927</vt:i4>
      </vt:variant>
      <vt:variant>
        <vt:i4>51</vt:i4>
      </vt:variant>
      <vt:variant>
        <vt:i4>0</vt:i4>
      </vt:variant>
      <vt:variant>
        <vt:i4>5</vt:i4>
      </vt:variant>
      <vt:variant>
        <vt:lpwstr>https://www.eea.europa.eu/publications/the-first-and-last-mile</vt:lpwstr>
      </vt:variant>
      <vt:variant>
        <vt:lpwstr/>
      </vt:variant>
      <vt:variant>
        <vt:i4>8323108</vt:i4>
      </vt:variant>
      <vt:variant>
        <vt:i4>48</vt:i4>
      </vt:variant>
      <vt:variant>
        <vt:i4>0</vt:i4>
      </vt:variant>
      <vt:variant>
        <vt:i4>5</vt:i4>
      </vt:variant>
      <vt:variant>
        <vt:lpwstr>https://documents.hants.gov.uk/transport-fundingbids/july-2017/App7KPMGBRTEvaluationGosportFareham.pdf</vt:lpwstr>
      </vt:variant>
      <vt:variant>
        <vt:lpwstr/>
      </vt:variant>
      <vt:variant>
        <vt:i4>1310732</vt:i4>
      </vt:variant>
      <vt:variant>
        <vt:i4>45</vt:i4>
      </vt:variant>
      <vt:variant>
        <vt:i4>0</vt:i4>
      </vt:variant>
      <vt:variant>
        <vt:i4>5</vt:i4>
      </vt:variant>
      <vt:variant>
        <vt:lpwstr>https://energysavingtrust.org.uk/service/low-carbon-travel-and-transport-challenge-fund/</vt:lpwstr>
      </vt:variant>
      <vt:variant>
        <vt:lpwstr/>
      </vt:variant>
      <vt:variant>
        <vt:i4>5046276</vt:i4>
      </vt:variant>
      <vt:variant>
        <vt:i4>42</vt:i4>
      </vt:variant>
      <vt:variant>
        <vt:i4>0</vt:i4>
      </vt:variant>
      <vt:variant>
        <vt:i4>5</vt:i4>
      </vt:variant>
      <vt:variant>
        <vt:lpwstr>https://www.transport.gov.scot/our-approach/mobility-as-a-service/maas-investment-fund-mobility-as-a-service/</vt:lpwstr>
      </vt:variant>
      <vt:variant>
        <vt:lpwstr/>
      </vt:variant>
      <vt:variant>
        <vt:i4>8126522</vt:i4>
      </vt:variant>
      <vt:variant>
        <vt:i4>39</vt:i4>
      </vt:variant>
      <vt:variant>
        <vt:i4>0</vt:i4>
      </vt:variant>
      <vt:variant>
        <vt:i4>5</vt:i4>
      </vt:variant>
      <vt:variant>
        <vt:lpwstr>https://www.gov.scot/policies/cities-regions/regional-growth-deals/</vt:lpwstr>
      </vt:variant>
      <vt:variant>
        <vt:lpwstr/>
      </vt:variant>
      <vt:variant>
        <vt:i4>8323106</vt:i4>
      </vt:variant>
      <vt:variant>
        <vt:i4>36</vt:i4>
      </vt:variant>
      <vt:variant>
        <vt:i4>0</vt:i4>
      </vt:variant>
      <vt:variant>
        <vt:i4>5</vt:i4>
      </vt:variant>
      <vt:variant>
        <vt:lpwstr>https://www.gov.scot/policies/cities-regions/city-region-deals/</vt:lpwstr>
      </vt:variant>
      <vt:variant>
        <vt:lpwstr/>
      </vt:variant>
      <vt:variant>
        <vt:i4>7864421</vt:i4>
      </vt:variant>
      <vt:variant>
        <vt:i4>33</vt:i4>
      </vt:variant>
      <vt:variant>
        <vt:i4>0</vt:i4>
      </vt:variant>
      <vt:variant>
        <vt:i4>5</vt:i4>
      </vt:variant>
      <vt:variant>
        <vt:lpwstr>https://www.transport.gov.scot/public-transport/buses/bus-partnership-fund/</vt:lpwstr>
      </vt:variant>
      <vt:variant>
        <vt:lpwstr/>
      </vt:variant>
      <vt:variant>
        <vt:i4>4915279</vt:i4>
      </vt:variant>
      <vt:variant>
        <vt:i4>30</vt:i4>
      </vt:variant>
      <vt:variant>
        <vt:i4>0</vt:i4>
      </vt:variant>
      <vt:variant>
        <vt:i4>5</vt:i4>
      </vt:variant>
      <vt:variant>
        <vt:lpwstr>https://www.transport.gov.scot/our-approach/national-transport-strategy/</vt:lpwstr>
      </vt:variant>
      <vt:variant>
        <vt:lpwstr/>
      </vt:variant>
      <vt:variant>
        <vt:i4>5046355</vt:i4>
      </vt:variant>
      <vt:variant>
        <vt:i4>27</vt:i4>
      </vt:variant>
      <vt:variant>
        <vt:i4>0</vt:i4>
      </vt:variant>
      <vt:variant>
        <vt:i4>5</vt:i4>
      </vt:variant>
      <vt:variant>
        <vt:lpwstr>https://www.gov.scot/publications/securing-green-recovery-path-net-zero-update-climate-change-plan-20182032/</vt:lpwstr>
      </vt:variant>
      <vt:variant>
        <vt:lpwstr/>
      </vt:variant>
      <vt:variant>
        <vt:i4>7536684</vt:i4>
      </vt:variant>
      <vt:variant>
        <vt:i4>24</vt:i4>
      </vt:variant>
      <vt:variant>
        <vt:i4>0</vt:i4>
      </vt:variant>
      <vt:variant>
        <vt:i4>5</vt:i4>
      </vt:variant>
      <vt:variant>
        <vt:lpwstr>https://www.transport.gov.scot/publication/reported-road-casualties-scotland-2018/</vt:lpwstr>
      </vt:variant>
      <vt:variant>
        <vt:lpwstr/>
      </vt:variant>
      <vt:variant>
        <vt:i4>5570618</vt:i4>
      </vt:variant>
      <vt:variant>
        <vt:i4>21</vt:i4>
      </vt:variant>
      <vt:variant>
        <vt:i4>0</vt:i4>
      </vt:variant>
      <vt:variant>
        <vt:i4>5</vt:i4>
      </vt:variant>
      <vt:variant>
        <vt:lpwstr>https://naei.beis.gov.uk/reports/reports?report_id=981</vt:lpwstr>
      </vt:variant>
      <vt:variant>
        <vt:lpwstr/>
      </vt:variant>
      <vt:variant>
        <vt:i4>5701639</vt:i4>
      </vt:variant>
      <vt:variant>
        <vt:i4>18</vt:i4>
      </vt:variant>
      <vt:variant>
        <vt:i4>0</vt:i4>
      </vt:variant>
      <vt:variant>
        <vt:i4>5</vt:i4>
      </vt:variant>
      <vt:variant>
        <vt:lpwstr>https://www.stagecoachgroup.com/media/news-releases/2017/2017-11-20.aspx</vt:lpwstr>
      </vt:variant>
      <vt:variant>
        <vt:lpwstr/>
      </vt:variant>
      <vt:variant>
        <vt:i4>6488171</vt:i4>
      </vt:variant>
      <vt:variant>
        <vt:i4>15</vt:i4>
      </vt:variant>
      <vt:variant>
        <vt:i4>0</vt:i4>
      </vt:variant>
      <vt:variant>
        <vt:i4>5</vt:i4>
      </vt:variant>
      <vt:variant>
        <vt:lpwstr>https://www.gov.scot/publications/preventing-overweight-obesity-scotland-route-map-towards-healthy-weight/</vt:lpwstr>
      </vt:variant>
      <vt:variant>
        <vt:lpwstr/>
      </vt:variant>
      <vt:variant>
        <vt:i4>4325441</vt:i4>
      </vt:variant>
      <vt:variant>
        <vt:i4>12</vt:i4>
      </vt:variant>
      <vt:variant>
        <vt:i4>0</vt:i4>
      </vt:variant>
      <vt:variant>
        <vt:i4>5</vt:i4>
      </vt:variant>
      <vt:variant>
        <vt:lpwstr>https://www.como.org.uk/documents/comouk-mobility-hub-delivery-models</vt:lpwstr>
      </vt:variant>
      <vt:variant>
        <vt:lpwstr/>
      </vt:variant>
      <vt:variant>
        <vt:i4>5898244</vt:i4>
      </vt:variant>
      <vt:variant>
        <vt:i4>9</vt:i4>
      </vt:variant>
      <vt:variant>
        <vt:i4>0</vt:i4>
      </vt:variant>
      <vt:variant>
        <vt:i4>5</vt:i4>
      </vt:variant>
      <vt:variant>
        <vt:lpwstr>https://www.transport.gov.scot/publication/transport-and-travel-in-scotland-results-from-the-scottish-household-survey-1/table-14-travel-to-work-reasons-reasons-why-public-transport-is-not-used-for-travel-to-work-2014-20181-combined/</vt:lpwstr>
      </vt:variant>
      <vt:variant>
        <vt:lpwstr/>
      </vt:variant>
      <vt:variant>
        <vt:i4>7143469</vt:i4>
      </vt:variant>
      <vt:variant>
        <vt:i4>6</vt:i4>
      </vt:variant>
      <vt:variant>
        <vt:i4>0</vt:i4>
      </vt:variant>
      <vt:variant>
        <vt:i4>5</vt:i4>
      </vt:variant>
      <vt:variant>
        <vt:lpwstr>https://www.como.org.uk/documents/comouk-mobility-hubs-toolkit</vt:lpwstr>
      </vt:variant>
      <vt:variant>
        <vt:lpwstr/>
      </vt:variant>
      <vt:variant>
        <vt:i4>6619192</vt:i4>
      </vt:variant>
      <vt:variant>
        <vt:i4>3</vt:i4>
      </vt:variant>
      <vt:variant>
        <vt:i4>0</vt:i4>
      </vt:variant>
      <vt:variant>
        <vt:i4>5</vt:i4>
      </vt:variant>
      <vt:variant>
        <vt:lpwstr>https://www.como.org.uk/documents/comouk-mobility-hubs-guidance</vt:lpwstr>
      </vt:variant>
      <vt:variant>
        <vt:lpwstr/>
      </vt:variant>
      <vt:variant>
        <vt:i4>3014691</vt:i4>
      </vt:variant>
      <vt:variant>
        <vt:i4>0</vt:i4>
      </vt:variant>
      <vt:variant>
        <vt:i4>0</vt:i4>
      </vt:variant>
      <vt:variant>
        <vt:i4>5</vt:i4>
      </vt:variant>
      <vt:variant>
        <vt:lpwstr>http://www.jacobs.com/</vt:lpwstr>
      </vt:variant>
      <vt:variant>
        <vt:lpwstr/>
      </vt:variant>
      <vt:variant>
        <vt:i4>7012464</vt:i4>
      </vt:variant>
      <vt:variant>
        <vt:i4>57</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4325448</vt:i4>
      </vt:variant>
      <vt:variant>
        <vt:i4>54</vt:i4>
      </vt:variant>
      <vt:variant>
        <vt:i4>0</vt:i4>
      </vt:variant>
      <vt:variant>
        <vt:i4>5</vt:i4>
      </vt:variant>
      <vt:variant>
        <vt:lpwstr>https://www.raildeliverygroup.com/files/Publications/2018-03_local_economic_benefits_of_station_investment.pdf</vt:lpwstr>
      </vt:variant>
      <vt:variant>
        <vt:lpwstr/>
      </vt:variant>
      <vt:variant>
        <vt:i4>3145850</vt:i4>
      </vt:variant>
      <vt:variant>
        <vt:i4>51</vt:i4>
      </vt:variant>
      <vt:variant>
        <vt:i4>0</vt:i4>
      </vt:variant>
      <vt:variant>
        <vt:i4>5</vt:i4>
      </vt:variant>
      <vt:variant>
        <vt:lpwstr>https://www.transportxtra.com/publications/local-transport-today/news/64673/congestion-cost-uk-economy-6-9-billion-in-2019</vt:lpwstr>
      </vt:variant>
      <vt:variant>
        <vt:lpwstr/>
      </vt:variant>
      <vt:variant>
        <vt:i4>7012464</vt:i4>
      </vt:variant>
      <vt:variant>
        <vt:i4>48</vt:i4>
      </vt:variant>
      <vt:variant>
        <vt:i4>0</vt:i4>
      </vt:variant>
      <vt:variant>
        <vt:i4>5</vt:i4>
      </vt:variant>
      <vt:variant>
        <vt:lpwstr>https://www.transport.gov.scot/publication/transport-and-travel-in-scotland-2019-results-from-the-scottish-household-survey/table-18b-car-bicycle-access-households-with-bicycles-cars-vans-available-for-private-use-2019/</vt:lpwstr>
      </vt:variant>
      <vt:variant>
        <vt:lpwstr/>
      </vt:variant>
      <vt:variant>
        <vt:i4>6619198</vt:i4>
      </vt:variant>
      <vt:variant>
        <vt:i4>45</vt:i4>
      </vt:variant>
      <vt:variant>
        <vt:i4>0</vt:i4>
      </vt:variant>
      <vt:variant>
        <vt:i4>5</vt:i4>
      </vt:variant>
      <vt:variant>
        <vt:lpwstr>https://www.transport.gov.scot/media/47052/national-transport-strategy.pdf</vt:lpwstr>
      </vt:variant>
      <vt:variant>
        <vt:lpwstr/>
      </vt:variant>
      <vt:variant>
        <vt:i4>8323108</vt:i4>
      </vt:variant>
      <vt:variant>
        <vt:i4>42</vt:i4>
      </vt:variant>
      <vt:variant>
        <vt:i4>0</vt:i4>
      </vt:variant>
      <vt:variant>
        <vt:i4>5</vt:i4>
      </vt:variant>
      <vt:variant>
        <vt:lpwstr>https://documents.hants.gov.uk/transport-fundingbids/july-2017/App7KPMGBRTEvaluationGosportFareham.pdf</vt:lpwstr>
      </vt:variant>
      <vt:variant>
        <vt:lpwstr/>
      </vt:variant>
      <vt:variant>
        <vt:i4>1310732</vt:i4>
      </vt:variant>
      <vt:variant>
        <vt:i4>39</vt:i4>
      </vt:variant>
      <vt:variant>
        <vt:i4>0</vt:i4>
      </vt:variant>
      <vt:variant>
        <vt:i4>5</vt:i4>
      </vt:variant>
      <vt:variant>
        <vt:lpwstr>https://energysavingtrust.org.uk/service/low-carbon-travel-and-transport-challenge-fund/</vt:lpwstr>
      </vt:variant>
      <vt:variant>
        <vt:lpwstr/>
      </vt:variant>
      <vt:variant>
        <vt:i4>5046276</vt:i4>
      </vt:variant>
      <vt:variant>
        <vt:i4>36</vt:i4>
      </vt:variant>
      <vt:variant>
        <vt:i4>0</vt:i4>
      </vt:variant>
      <vt:variant>
        <vt:i4>5</vt:i4>
      </vt:variant>
      <vt:variant>
        <vt:lpwstr>https://www.transport.gov.scot/our-approach/mobility-as-a-service/maas-investment-fund-mobility-as-a-service/</vt:lpwstr>
      </vt:variant>
      <vt:variant>
        <vt:lpwstr/>
      </vt:variant>
      <vt:variant>
        <vt:i4>8126522</vt:i4>
      </vt:variant>
      <vt:variant>
        <vt:i4>33</vt:i4>
      </vt:variant>
      <vt:variant>
        <vt:i4>0</vt:i4>
      </vt:variant>
      <vt:variant>
        <vt:i4>5</vt:i4>
      </vt:variant>
      <vt:variant>
        <vt:lpwstr>https://www.gov.scot/policies/cities-regions/regional-growth-deals/</vt:lpwstr>
      </vt:variant>
      <vt:variant>
        <vt:lpwstr/>
      </vt:variant>
      <vt:variant>
        <vt:i4>8323106</vt:i4>
      </vt:variant>
      <vt:variant>
        <vt:i4>30</vt:i4>
      </vt:variant>
      <vt:variant>
        <vt:i4>0</vt:i4>
      </vt:variant>
      <vt:variant>
        <vt:i4>5</vt:i4>
      </vt:variant>
      <vt:variant>
        <vt:lpwstr>https://www.gov.scot/policies/cities-regions/city-region-deals/</vt:lpwstr>
      </vt:variant>
      <vt:variant>
        <vt:lpwstr/>
      </vt:variant>
      <vt:variant>
        <vt:i4>7864421</vt:i4>
      </vt:variant>
      <vt:variant>
        <vt:i4>27</vt:i4>
      </vt:variant>
      <vt:variant>
        <vt:i4>0</vt:i4>
      </vt:variant>
      <vt:variant>
        <vt:i4>5</vt:i4>
      </vt:variant>
      <vt:variant>
        <vt:lpwstr>https://www.transport.gov.scot/public-transport/buses/bus-partnership-fund/</vt:lpwstr>
      </vt:variant>
      <vt:variant>
        <vt:lpwstr/>
      </vt:variant>
      <vt:variant>
        <vt:i4>4915279</vt:i4>
      </vt:variant>
      <vt:variant>
        <vt:i4>24</vt:i4>
      </vt:variant>
      <vt:variant>
        <vt:i4>0</vt:i4>
      </vt:variant>
      <vt:variant>
        <vt:i4>5</vt:i4>
      </vt:variant>
      <vt:variant>
        <vt:lpwstr>https://www.transport.gov.scot/our-approach/national-transport-strategy/</vt:lpwstr>
      </vt:variant>
      <vt:variant>
        <vt:lpwstr/>
      </vt:variant>
      <vt:variant>
        <vt:i4>5046355</vt:i4>
      </vt:variant>
      <vt:variant>
        <vt:i4>21</vt:i4>
      </vt:variant>
      <vt:variant>
        <vt:i4>0</vt:i4>
      </vt:variant>
      <vt:variant>
        <vt:i4>5</vt:i4>
      </vt:variant>
      <vt:variant>
        <vt:lpwstr>https://www.gov.scot/publications/securing-green-recovery-path-net-zero-update-climate-change-plan-20182032/</vt:lpwstr>
      </vt:variant>
      <vt:variant>
        <vt:lpwstr/>
      </vt:variant>
      <vt:variant>
        <vt:i4>655364</vt:i4>
      </vt:variant>
      <vt:variant>
        <vt:i4>18</vt:i4>
      </vt:variant>
      <vt:variant>
        <vt:i4>0</vt:i4>
      </vt:variant>
      <vt:variant>
        <vt:i4>5</vt:i4>
      </vt:variant>
      <vt:variant>
        <vt:lpwstr>https://www.transport.gov.scot/media/45015/sct05191903161.pdf</vt:lpwstr>
      </vt:variant>
      <vt:variant>
        <vt:lpwstr/>
      </vt:variant>
      <vt:variant>
        <vt:i4>4259915</vt:i4>
      </vt:variant>
      <vt:variant>
        <vt:i4>15</vt:i4>
      </vt:variant>
      <vt:variant>
        <vt:i4>0</vt:i4>
      </vt:variant>
      <vt:variant>
        <vt:i4>5</vt:i4>
      </vt:variant>
      <vt:variant>
        <vt:lpwstr>https://www.gov.scot/publications/preventing-overweight-obesity-scotland-route-maptowards-healthy-weight/</vt:lpwstr>
      </vt:variant>
      <vt:variant>
        <vt:lpwstr/>
      </vt:variant>
      <vt:variant>
        <vt:i4>7864320</vt:i4>
      </vt:variant>
      <vt:variant>
        <vt:i4>12</vt:i4>
      </vt:variant>
      <vt:variant>
        <vt:i4>0</vt:i4>
      </vt:variant>
      <vt:variant>
        <vt:i4>5</vt:i4>
      </vt:variant>
      <vt:variant>
        <vt:lpwstr>https://como.org.uk/wp-content/uploads/2021/10/CoMoUK-Mobility-hub-delivery-models_Oct-2021.pdf</vt:lpwstr>
      </vt:variant>
      <vt:variant>
        <vt:lpwstr/>
      </vt:variant>
      <vt:variant>
        <vt:i4>5898244</vt:i4>
      </vt:variant>
      <vt:variant>
        <vt:i4>9</vt:i4>
      </vt:variant>
      <vt:variant>
        <vt:i4>0</vt:i4>
      </vt:variant>
      <vt:variant>
        <vt:i4>5</vt:i4>
      </vt:variant>
      <vt:variant>
        <vt:lpwstr>https://www.transport.gov.scot/publication/transport-and-travel-in-scotland-results-from-the-scottish-household-survey-1/table-14-travel-to-work-reasons-reasons-why-public-transport-is-not-used-for-travel-to-work-2014-20181-combined/</vt:lpwstr>
      </vt:variant>
      <vt:variant>
        <vt:lpwstr/>
      </vt:variant>
      <vt:variant>
        <vt:i4>6029419</vt:i4>
      </vt:variant>
      <vt:variant>
        <vt:i4>6</vt:i4>
      </vt:variant>
      <vt:variant>
        <vt:i4>0</vt:i4>
      </vt:variant>
      <vt:variant>
        <vt:i4>5</vt:i4>
      </vt:variant>
      <vt:variant>
        <vt:lpwstr>https://uploads-ssl.webflow.com/6102564995f71c83fba14d54/618d2bc979399e1c2ba12cb5_CoMoUK How to plan for mobility hubs_A guide for planners and developers In Scotland_Jan 2021.pdf</vt:lpwstr>
      </vt:variant>
      <vt:variant>
        <vt:lpwstr/>
      </vt:variant>
      <vt:variant>
        <vt:i4>7143469</vt:i4>
      </vt:variant>
      <vt:variant>
        <vt:i4>3</vt:i4>
      </vt:variant>
      <vt:variant>
        <vt:i4>0</vt:i4>
      </vt:variant>
      <vt:variant>
        <vt:i4>5</vt:i4>
      </vt:variant>
      <vt:variant>
        <vt:lpwstr>https://www.como.org.uk/documents/comouk-mobility-hubs-toolkit</vt:lpwstr>
      </vt:variant>
      <vt:variant>
        <vt:lpwstr/>
      </vt:variant>
      <vt:variant>
        <vt:i4>2687038</vt:i4>
      </vt:variant>
      <vt:variant>
        <vt:i4>0</vt:i4>
      </vt:variant>
      <vt:variant>
        <vt:i4>0</vt:i4>
      </vt:variant>
      <vt:variant>
        <vt:i4>5</vt:i4>
      </vt:variant>
      <vt:variant>
        <vt:lpwstr>https://como.org.uk/wp-content/uploads/2019/10/Mobility-Hub-Guide-241019-final.pdf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Wisekal, Luke</cp:lastModifiedBy>
  <cp:revision>85</cp:revision>
  <cp:lastPrinted>2022-12-02T15:38:00Z</cp:lastPrinted>
  <dcterms:created xsi:type="dcterms:W3CDTF">2022-08-20T04:34:00Z</dcterms:created>
  <dcterms:modified xsi:type="dcterms:W3CDTF">2022-12-07T08:51:00Z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A40833120</vt:lpwstr>
  </property>
  <property fmtid="{D5CDD505-2E9C-101B-9397-08002B2CF9AE}" pid="4" name="Objective-Title">
    <vt:lpwstr>AST_Non Tabular_Recommendation 22_Framework for Delivery of Mobility Hubs_V2_Final</vt:lpwstr>
  </property>
  <property fmtid="{D5CDD505-2E9C-101B-9397-08002B2CF9AE}" pid="5" name="Objective-Description">
    <vt:lpwstr/>
  </property>
  <property fmtid="{D5CDD505-2E9C-101B-9397-08002B2CF9AE}" pid="6" name="Objective-CreationStamp">
    <vt:filetime>2022-10-04T12:04:20Z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2022-10-04T16:07:24Z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Edited</vt:lpwstr>
  </property>
  <property fmtid="{D5CDD505-2E9C-101B-9397-08002B2CF9AE}" pid="15" name="Objective-VersionId">
    <vt:lpwstr>vA60423719</vt:lpwstr>
  </property>
  <property fmtid="{D5CDD505-2E9C-101B-9397-08002B2CF9AE}" pid="16" name="Objective-Version">
    <vt:lpwstr>3.1</vt:lpwstr>
  </property>
  <property fmtid="{D5CDD505-2E9C-101B-9397-08002B2CF9AE}" pid="17" name="Objective-VersionNumber">
    <vt:r8>4</vt:r8>
  </property>
  <property fmtid="{D5CDD505-2E9C-101B-9397-08002B2CF9AE}" pid="18" name="Objective-VersionComment">
    <vt:lpwstr>Final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